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Theme="majorEastAsia" w:hAnsiTheme="majorEastAsia" w:eastAsiaTheme="majorEastAsia" w:cstheme="majorEastAsia"/>
          <w:i w:val="0"/>
          <w:caps w:val="0"/>
          <w:color w:val="333333"/>
          <w:spacing w:val="8"/>
          <w:sz w:val="44"/>
          <w:szCs w:val="44"/>
          <w:shd w:val="clear" w:fill="FFFFFF"/>
          <w:lang w:eastAsia="zh-CN"/>
        </w:rPr>
      </w:pPr>
      <w:r>
        <w:pict>
          <v:shape id="_x0000_i1025" o:spt="136" type="#_x0000_t136" style="height:52.35pt;width:414.65pt;" fillcolor="#FF0000" filled="t" stroked="t" coordsize="21600,21600">
            <v:path/>
            <v:fill on="t" focussize="0,0"/>
            <v:stroke color="#FF0000"/>
            <v:imagedata o:title=""/>
            <o:lock v:ext="edit"/>
            <v:textpath on="t" fitshape="t" fitpath="t" trim="t" xscale="f" string="韶关市武江区退役军人事务局" style="font-family:宋体;font-size:36pt;font-weight:bold;v-rotate-letters:f;v-same-letter-heights:f;v-text-align:center;"/>
            <w10:wrap type="none"/>
            <w10:anchorlock/>
          </v:shape>
        </w:pic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sz w:val="44"/>
          <w:szCs w:val="44"/>
          <w:lang w:val="en-US" w:eastAsia="zh-CN"/>
        </w:rPr>
      </w:pPr>
      <w:r>
        <w:rPr>
          <w:rFonts w:hint="eastAsia"/>
          <w:sz w:val="32"/>
          <w:szCs w:val="32"/>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196215</wp:posOffset>
                </wp:positionV>
                <wp:extent cx="5796915" cy="0"/>
                <wp:effectExtent l="0" t="19050" r="13335" b="19050"/>
                <wp:wrapNone/>
                <wp:docPr id="2" name="直接连接符 2"/>
                <wp:cNvGraphicFramePr/>
                <a:graphic xmlns:a="http://schemas.openxmlformats.org/drawingml/2006/main">
                  <a:graphicData uri="http://schemas.microsoft.com/office/word/2010/wordprocessingShape">
                    <wps:wsp>
                      <wps:cNvCnPr/>
                      <wps:spPr>
                        <a:xfrm>
                          <a:off x="0" y="0"/>
                          <a:ext cx="5796915"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5pt;margin-top:15.45pt;height:0pt;width:456.45pt;z-index:251660288;mso-width-relative:page;mso-height-relative:page;" filled="f" stroked="t" coordsize="21600,21600" o:gfxdata="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1RPtoAAAAJAQAADwAAAAAAAAABACAAAAAiAAAAZHJzL2Rvd25yZXYu&#10;eG1sUEsBAhQAFAAAAAgAh07iQLoEXnD5AQAA5QMAAA4AAAAAAAAAAQAgAAAAKQEAAGRycy9lMm9E&#10;b2MueG1sUEsFBgAAAAAGAAYAWQEAAJQFAAAAAA==&#10;">
                <v:fill on="f" focussize="0,0"/>
                <v:stroke weight="3pt" color="#FF0000" joinstyle="round"/>
                <v:imagedata o:title=""/>
                <o:lock v:ext="edit" aspectratio="f"/>
              </v:line>
            </w:pict>
          </mc:Fallback>
        </mc:AlternateContent>
      </w:r>
      <w:r>
        <w:rPr>
          <w:rFonts w:hint="eastAsia"/>
          <w:sz w:val="44"/>
          <w:szCs w:val="44"/>
          <w:lang w:val="en-US" w:eastAsia="zh-CN"/>
        </w:rPr>
        <w:t xml:space="preserve"> </w:t>
      </w:r>
    </w:p>
    <w:p>
      <w:pPr>
        <w:numPr>
          <w:numId w:val="0"/>
        </w:numPr>
        <w:spacing w:line="288" w:lineRule="auto"/>
        <w:jc w:val="center"/>
        <w:outlineLvl w:val="0"/>
        <w:rPr>
          <w:rFonts w:hint="eastAsia" w:ascii="仿宋_GB2312" w:hAnsi="宋体" w:eastAsia="仿宋_GB2312" w:cs="宋体"/>
          <w:b/>
          <w:sz w:val="36"/>
          <w:szCs w:val="36"/>
          <w:lang w:val="en-US" w:eastAsia="zh-CN"/>
        </w:rPr>
      </w:pPr>
      <w:r>
        <w:rPr>
          <w:rFonts w:hint="eastAsia" w:ascii="仿宋_GB2312" w:hAnsi="宋体" w:eastAsia="仿宋_GB2312" w:cs="宋体"/>
          <w:b/>
          <w:sz w:val="36"/>
          <w:szCs w:val="36"/>
          <w:lang w:val="en-US" w:eastAsia="zh-CN"/>
        </w:rPr>
        <w:t>韶关市武江区退役军人事务局2020年度</w:t>
      </w:r>
    </w:p>
    <w:p>
      <w:pPr>
        <w:numPr>
          <w:numId w:val="0"/>
        </w:numPr>
        <w:spacing w:line="288" w:lineRule="auto"/>
        <w:jc w:val="center"/>
        <w:outlineLvl w:val="0"/>
        <w:rPr>
          <w:rFonts w:hint="eastAsia" w:ascii="仿宋_GB2312" w:hAnsi="宋体" w:eastAsia="仿宋_GB2312" w:cs="宋体"/>
          <w:b/>
          <w:sz w:val="36"/>
          <w:szCs w:val="36"/>
          <w:lang w:val="en-US" w:eastAsia="zh-CN"/>
        </w:rPr>
      </w:pPr>
      <w:r>
        <w:rPr>
          <w:rFonts w:hint="eastAsia" w:ascii="仿宋_GB2312" w:hAnsi="宋体" w:eastAsia="仿宋_GB2312" w:cs="宋体"/>
          <w:b/>
          <w:sz w:val="36"/>
          <w:szCs w:val="36"/>
          <w:lang w:val="en-US" w:eastAsia="zh-CN"/>
        </w:rPr>
        <w:t>财政支出重点项目绩效自评报告</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w:t>
      </w:r>
      <w:r>
        <w:rPr>
          <w:rFonts w:hint="eastAsia" w:ascii="仿宋_GB2312" w:hAnsi="仿宋_GB2312" w:eastAsia="仿宋_GB2312" w:cs="仿宋_GB2312"/>
          <w:sz w:val="32"/>
          <w:szCs w:val="32"/>
          <w:lang w:val="en-US" w:eastAsia="zh-CN"/>
        </w:rPr>
        <w:t>加强</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性</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管理，提高专项资金使用效益和项目管理水平，根据《</w:t>
      </w:r>
      <w:r>
        <w:rPr>
          <w:rFonts w:hint="eastAsia" w:ascii="仿宋_GB2312" w:hAnsi="宋体" w:eastAsia="仿宋_GB2312" w:cs="宋体"/>
          <w:sz w:val="32"/>
          <w:szCs w:val="32"/>
        </w:rPr>
        <w:t>中华人民共和国</w:t>
      </w:r>
      <w:r>
        <w:rPr>
          <w:rFonts w:hint="eastAsia" w:ascii="仿宋_GB2312" w:hAnsi="仿宋_GB2312" w:eastAsia="仿宋_GB2312" w:cs="仿宋_GB2312"/>
          <w:sz w:val="32"/>
          <w:szCs w:val="32"/>
        </w:rPr>
        <w:t>预算法》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中共中央 国务院关于全面实施预算绩效管理的意见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中共广东省委 广东省人民政府关于全面实施预算绩效管理的若干意见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粤发﹝2019﹞5号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韶关市武江区人民政府办公室关于印发&lt;韶关市武江区全面实施预算绩效管理工作方案（2020-2022年）&gt;的通知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韶武府办﹝2020﹞16号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的有关</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val="en-US" w:eastAsia="zh-CN"/>
        </w:rPr>
        <w:t>现就本部门2020年度财政支出重点</w:t>
      </w:r>
      <w:r>
        <w:rPr>
          <w:rFonts w:hint="eastAsia" w:ascii="仿宋_GB2312" w:hAnsi="仿宋_GB2312" w:eastAsia="仿宋_GB2312" w:cs="仿宋_GB2312"/>
          <w:sz w:val="32"/>
          <w:szCs w:val="32"/>
        </w:rPr>
        <w:t>项目开展</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自评，现将自评</w:t>
      </w:r>
      <w:r>
        <w:rPr>
          <w:rFonts w:hint="eastAsia" w:ascii="仿宋_GB2312" w:hAnsi="仿宋_GB2312" w:eastAsia="仿宋_GB2312" w:cs="仿宋_GB2312"/>
          <w:sz w:val="32"/>
          <w:szCs w:val="32"/>
          <w:lang w:val="en-US" w:eastAsia="zh-CN"/>
        </w:rPr>
        <w:t>结果汇报</w:t>
      </w:r>
      <w:r>
        <w:rPr>
          <w:rFonts w:hint="eastAsia" w:ascii="仿宋_GB2312" w:hAnsi="仿宋_GB2312" w:eastAsia="仿宋_GB2312" w:cs="仿宋_GB2312"/>
          <w:sz w:val="32"/>
          <w:szCs w:val="32"/>
        </w:rPr>
        <w:t>如下：</w:t>
      </w:r>
    </w:p>
    <w:p>
      <w:pPr>
        <w:spacing w:line="288" w:lineRule="auto"/>
        <w:ind w:firstLine="643" w:firstLineChars="200"/>
        <w:jc w:val="left"/>
        <w:outlineLvl w:val="0"/>
        <w:rPr>
          <w:rFonts w:hint="eastAsia" w:ascii="仿宋_GB2312" w:hAnsi="宋体" w:eastAsia="仿宋_GB2312" w:cs="宋体"/>
          <w:b/>
          <w:sz w:val="32"/>
          <w:szCs w:val="32"/>
        </w:rPr>
      </w:pPr>
      <w:r>
        <w:rPr>
          <w:rFonts w:hint="eastAsia" w:ascii="仿宋_GB2312" w:hAnsi="宋体" w:eastAsia="仿宋_GB2312" w:cs="宋体"/>
          <w:b/>
          <w:sz w:val="32"/>
          <w:szCs w:val="32"/>
        </w:rPr>
        <w:t>一、项目基本情况及自评结论</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rPr>
        <w:t>（一）项目用款单位简要情况</w:t>
      </w:r>
    </w:p>
    <w:p>
      <w:pPr>
        <w:keepNext w:val="0"/>
        <w:keepLines w:val="0"/>
        <w:pageBreakBefore w:val="0"/>
        <w:widowControl w:val="0"/>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韶关市武江区退役军人事务局成立于2019年3月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内设机构为：办公室、业务综合股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二级机构为：</w:t>
      </w:r>
      <w:r>
        <w:rPr>
          <w:rFonts w:hint="eastAsia" w:ascii="仿宋_GB2312" w:hAnsi="仿宋_GB2312" w:eastAsia="仿宋_GB2312" w:cs="仿宋_GB2312"/>
          <w:sz w:val="32"/>
          <w:szCs w:val="32"/>
          <w:lang w:val="en-US" w:eastAsia="zh-CN"/>
        </w:rPr>
        <w:t>韶关市</w:t>
      </w:r>
      <w:r>
        <w:rPr>
          <w:rFonts w:hint="eastAsia" w:ascii="仿宋_GB2312" w:hAnsi="仿宋_GB2312" w:eastAsia="仿宋_GB2312" w:cs="仿宋_GB2312"/>
          <w:sz w:val="32"/>
          <w:szCs w:val="32"/>
        </w:rPr>
        <w:t xml:space="preserve">武江区退役军人服务中心。主要职责是：退役军人移交安置、优待抚恤、拥军优属、权益维护、适应性培训、困难帮扶、褒扬纪念等。 </w:t>
      </w:r>
      <w:bookmarkStart w:id="0" w:name="_GoBack"/>
      <w:bookmarkEnd w:id="0"/>
      <w:r>
        <w:rPr>
          <w:rFonts w:hint="eastAsia" w:ascii="仿宋_GB2312" w:hAnsi="仿宋_GB2312" w:eastAsia="仿宋_GB2312" w:cs="仿宋_GB2312"/>
          <w:sz w:val="32"/>
          <w:szCs w:val="32"/>
        </w:rPr>
        <w:t xml:space="preserve"> </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rPr>
        <w:t>（二）项目实施主要内容及实施程序</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w:t>
      </w:r>
      <w:r>
        <w:rPr>
          <w:rFonts w:hint="eastAsia" w:ascii="仿宋_GB2312" w:hAnsi="仿宋_GB2312" w:eastAsia="仿宋_GB2312" w:cs="仿宋_GB2312"/>
          <w:sz w:val="32"/>
          <w:szCs w:val="32"/>
          <w:lang w:val="en-US" w:eastAsia="zh-CN"/>
        </w:rPr>
        <w:t>财政支出重点项目共三个，分别</w:t>
      </w:r>
      <w:r>
        <w:rPr>
          <w:rFonts w:hint="eastAsia" w:ascii="仿宋_GB2312" w:hAnsi="仿宋_GB2312" w:eastAsia="仿宋_GB2312" w:cs="仿宋_GB2312"/>
          <w:sz w:val="32"/>
          <w:szCs w:val="32"/>
        </w:rPr>
        <w:t>为:</w:t>
      </w:r>
      <w:r>
        <w:rPr>
          <w:rFonts w:hint="eastAsia" w:ascii="仿宋_GB2312" w:hAnsi="仿宋_GB2312" w:eastAsia="仿宋_GB2312" w:cs="仿宋_GB2312"/>
          <w:bCs/>
          <w:sz w:val="32"/>
          <w:szCs w:val="32"/>
          <w:lang w:val="en-US" w:eastAsia="zh-CN"/>
        </w:rPr>
        <w:t>优抚对象抚恤补助金，义务兵优待补助金，退役士兵安置补助金。</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为规范各项目资金的管理，严格执行《优抚补助资金使用管理办法》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《韶关市武江区退役军人事务局财务管理制度》相关规定，所有项目支出</w:t>
      </w:r>
      <w:r>
        <w:rPr>
          <w:rFonts w:hint="eastAsia" w:ascii="仿宋_GB2312" w:hAnsi="仿宋_GB2312" w:eastAsia="仿宋_GB2312" w:cs="仿宋_GB2312"/>
          <w:sz w:val="32"/>
          <w:szCs w:val="32"/>
          <w:lang w:val="en-US" w:eastAsia="zh-CN"/>
        </w:rPr>
        <w:t>审批全流程由财政部门进行有效监管，并采用国库集中支付方式实行社会化发放。</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lang w:eastAsia="zh-CN"/>
        </w:rPr>
        <w:t>（</w:t>
      </w:r>
      <w:r>
        <w:rPr>
          <w:rFonts w:hint="eastAsia" w:ascii="仿宋_GB2312" w:hAnsi="宋体" w:eastAsia="仿宋_GB2312" w:cs="宋体"/>
          <w:b/>
          <w:sz w:val="32"/>
          <w:szCs w:val="32"/>
          <w:lang w:val="en-US" w:eastAsia="zh-CN"/>
        </w:rPr>
        <w:t>三</w:t>
      </w:r>
      <w:r>
        <w:rPr>
          <w:rFonts w:hint="eastAsia" w:ascii="仿宋_GB2312" w:hAnsi="宋体" w:eastAsia="仿宋_GB2312" w:cs="宋体"/>
          <w:b/>
          <w:sz w:val="32"/>
          <w:szCs w:val="32"/>
          <w:lang w:eastAsia="zh-CN"/>
        </w:rPr>
        <w:t>）</w:t>
      </w:r>
      <w:r>
        <w:rPr>
          <w:rFonts w:hint="eastAsia" w:ascii="仿宋_GB2312" w:hAnsi="宋体" w:eastAsia="仿宋_GB2312" w:cs="宋体"/>
          <w:b/>
          <w:sz w:val="32"/>
          <w:szCs w:val="32"/>
        </w:rPr>
        <w:t>项目自评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上级</w:t>
      </w:r>
      <w:r>
        <w:rPr>
          <w:rFonts w:hint="eastAsia" w:ascii="仿宋_GB2312" w:hAnsi="仿宋_GB2312" w:eastAsia="仿宋_GB2312" w:cs="仿宋_GB2312"/>
          <w:sz w:val="32"/>
          <w:szCs w:val="32"/>
        </w:rPr>
        <w:t>相关文件精神,从资金落实、业务管理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项目效益等方面进行评价，</w:t>
      </w:r>
      <w:r>
        <w:rPr>
          <w:rFonts w:hint="eastAsia" w:ascii="仿宋_GB2312" w:hAnsi="仿宋_GB2312" w:eastAsia="仿宋_GB2312" w:cs="仿宋_GB2312"/>
          <w:sz w:val="32"/>
          <w:szCs w:val="32"/>
          <w:lang w:val="en-US" w:eastAsia="zh-CN"/>
        </w:rPr>
        <w:t>综合</w:t>
      </w:r>
      <w:r>
        <w:rPr>
          <w:rFonts w:hint="eastAsia" w:ascii="仿宋_GB2312" w:hAnsi="仿宋_GB2312" w:eastAsia="仿宋_GB2312" w:cs="仿宋_GB2312"/>
          <w:sz w:val="32"/>
          <w:szCs w:val="32"/>
        </w:rPr>
        <w:t>评定</w:t>
      </w: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三个财政性重点项目</w:t>
      </w:r>
      <w:r>
        <w:rPr>
          <w:rFonts w:hint="eastAsia" w:ascii="仿宋_GB2312" w:hAnsi="仿宋_GB2312" w:eastAsia="仿宋_GB2312" w:cs="仿宋_GB2312"/>
          <w:sz w:val="32"/>
          <w:szCs w:val="32"/>
        </w:rPr>
        <w:t>绩效评价得分为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绩效级别评定为“优秀”。</w:t>
      </w:r>
    </w:p>
    <w:p>
      <w:pPr>
        <w:spacing w:line="288" w:lineRule="auto"/>
        <w:ind w:firstLine="643" w:firstLineChars="200"/>
        <w:jc w:val="left"/>
        <w:outlineLvl w:val="0"/>
        <w:rPr>
          <w:rFonts w:hint="eastAsia" w:ascii="仿宋_GB2312" w:hAnsi="宋体" w:eastAsia="仿宋_GB2312" w:cs="宋体"/>
          <w:b/>
          <w:sz w:val="32"/>
          <w:szCs w:val="32"/>
        </w:rPr>
      </w:pPr>
      <w:r>
        <w:rPr>
          <w:rFonts w:hint="eastAsia" w:ascii="仿宋_GB2312" w:hAnsi="宋体" w:eastAsia="仿宋_GB2312" w:cs="宋体"/>
          <w:b/>
          <w:sz w:val="32"/>
          <w:szCs w:val="32"/>
        </w:rPr>
        <w:t>二、绩效表现</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rPr>
        <w:t>（一）资金使用绩效</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1.重点项目资金实际投入情况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三个财政性重点项目预算收入2127.60万元，其中：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优抚对象抚恤补助金全年预算收入1351.29万元，其中：中央财政专项补助金506.72万元，省财政专项补助金308.33万元，市财政专项补助金125.41万元，区配套专项资金326.60万元，上年度专项结转资金84.23万元。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义务兵优待补助金全年预算收入375.22万元，全额为区级专项补助金。</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退役士兵安置补助金全年预算收入401.09万元，其中：省财政专项补助金54万元，区配套专项资金347.09万元。</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2.重点项目实际支出情况</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三个财政性重点项目</w:t>
      </w:r>
      <w:r>
        <w:rPr>
          <w:rFonts w:hint="eastAsia" w:ascii="仿宋_GB2312" w:hAnsi="仿宋_GB2312" w:cs="仿宋_GB2312"/>
          <w:sz w:val="32"/>
          <w:szCs w:val="32"/>
          <w:lang w:val="en-US" w:eastAsia="zh-CN"/>
        </w:rPr>
        <w:t>预算支出1806.37万元，其中：</w:t>
      </w:r>
      <w:r>
        <w:rPr>
          <w:rFonts w:hint="eastAsia" w:ascii="仿宋_GB2312" w:hAnsi="仿宋_GB2312" w:eastAsia="仿宋_GB2312" w:cs="仿宋_GB2312"/>
          <w:bCs/>
          <w:sz w:val="32"/>
          <w:szCs w:val="32"/>
          <w:lang w:val="en-US" w:eastAsia="zh-CN"/>
        </w:rPr>
        <w:t>优抚对象抚恤补助金全年预算支出1224.39万元，义务兵优待金全年预算支出338.32万元，退役士兵安置补助金全年预算支出243.66万元。</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3.重点项目绩效目标完成情况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2020年度本局按抚恤优待政策发放本区942名各类优抚对象一次性抚恤金及定期抚恤（生活补助）金，专项资金使用全面实施动态管理。抚恤补助标准按规定执行率为100%,经费足额拨付率为100%。严格地落实了国家抚恤优待政策，确保了各类优抚对象抚恤补助金</w:t>
      </w:r>
      <w:r>
        <w:rPr>
          <w:rFonts w:hint="eastAsia" w:ascii="仿宋_GB2312" w:hAnsi="仿宋_GB2312" w:eastAsia="仿宋_GB2312" w:cs="仿宋_GB2312"/>
          <w:sz w:val="32"/>
          <w:szCs w:val="32"/>
          <w:lang w:val="en-US" w:eastAsia="zh-CN"/>
        </w:rPr>
        <w:t>及时、准确、足额发放到位</w:t>
      </w:r>
      <w:r>
        <w:rPr>
          <w:rFonts w:hint="eastAsia" w:ascii="仿宋_GB2312" w:hAnsi="仿宋_GB2312" w:eastAsia="仿宋_GB2312" w:cs="仿宋_GB2312"/>
          <w:bCs/>
          <w:sz w:val="32"/>
          <w:szCs w:val="32"/>
          <w:lang w:val="en-US" w:eastAsia="zh-CN"/>
        </w:rPr>
        <w:t>，使其基本生活得到了有效保障。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2020年度本局按《中华人民共和国兵役法》《军人抚恤优待条例》《韶关市优抚安置规定》保障了现役军人待遇，为139名2018年、2019年入伍的义务兵发放了义务兵家属优待金和立功受奖奖励金。义务兵家属优待金及立功受奖奖励金发放率为100%，发放标准按规定执行率为100%。义务兵家属优待金及立功受奖奖励金的及时发放，使义务兵家属基本生活得到有效保障，进一步促进了适龄青年踊跃应征入伍，有效地支持了国防和军队建设。</w:t>
      </w:r>
    </w:p>
    <w:p>
      <w:pPr>
        <w:keepNext w:val="0"/>
        <w:keepLines w:val="0"/>
        <w:pageBreakBefore w:val="0"/>
        <w:widowControl w:val="0"/>
        <w:numPr>
          <w:ilvl w:val="0"/>
          <w:numId w:val="0"/>
        </w:numPr>
        <w:tabs>
          <w:tab w:val="left" w:pos="5040"/>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bCs/>
          <w:sz w:val="32"/>
          <w:szCs w:val="32"/>
          <w:lang w:val="en-US" w:eastAsia="zh-CN"/>
        </w:rPr>
        <w:t>按广东省人民政府出台的年度安置性政策为2019年度接收的57名退役士兵发放自主就业一次性经济补助金；为2019年度接收的11名符合政府安排工作条件的退役士兵发放待安置工作期间生活补助金。</w:t>
      </w:r>
      <w:r>
        <w:rPr>
          <w:rFonts w:hint="default" w:ascii="仿宋_GB2312" w:hAnsi="仿宋_GB2312" w:eastAsia="仿宋_GB2312" w:cs="仿宋_GB2312"/>
          <w:bCs/>
          <w:sz w:val="32"/>
          <w:szCs w:val="32"/>
          <w:lang w:val="en-US" w:eastAsia="zh-CN"/>
        </w:rPr>
        <w:t>一次性经济补助</w:t>
      </w:r>
      <w:r>
        <w:rPr>
          <w:rFonts w:hint="eastAsia" w:ascii="仿宋_GB2312" w:hAnsi="仿宋_GB2312" w:eastAsia="仿宋_GB2312" w:cs="仿宋_GB2312"/>
          <w:bCs/>
          <w:sz w:val="32"/>
          <w:szCs w:val="32"/>
          <w:lang w:val="en-US" w:eastAsia="zh-CN"/>
        </w:rPr>
        <w:t>金及符合政府安排工作条件退役士兵待安置工作期间生活补助金发放率均为100%，拨付经费符合相关政策规定比率为100%，资金拨付及时率为100%。退役安置补助金的逐年递增和及时发放，有效地保障了</w:t>
      </w:r>
      <w:r>
        <w:rPr>
          <w:rFonts w:hint="default" w:ascii="仿宋_GB2312" w:hAnsi="仿宋_GB2312" w:eastAsia="仿宋_GB2312" w:cs="仿宋_GB2312"/>
          <w:bCs/>
          <w:sz w:val="32"/>
          <w:szCs w:val="32"/>
          <w:lang w:val="en-US" w:eastAsia="zh-CN"/>
        </w:rPr>
        <w:t>自主就业退役士兵</w:t>
      </w:r>
      <w:r>
        <w:rPr>
          <w:rFonts w:hint="eastAsia" w:ascii="仿宋_GB2312" w:hAnsi="仿宋_GB2312" w:eastAsia="仿宋_GB2312" w:cs="仿宋_GB2312"/>
          <w:bCs/>
          <w:sz w:val="32"/>
          <w:szCs w:val="32"/>
          <w:lang w:val="en-US" w:eastAsia="zh-CN"/>
        </w:rPr>
        <w:t>的</w:t>
      </w:r>
      <w:r>
        <w:rPr>
          <w:rFonts w:hint="default" w:ascii="仿宋_GB2312" w:hAnsi="仿宋_GB2312" w:eastAsia="仿宋_GB2312" w:cs="仿宋_GB2312"/>
          <w:bCs/>
          <w:sz w:val="32"/>
          <w:szCs w:val="32"/>
          <w:lang w:val="en-US" w:eastAsia="zh-CN"/>
        </w:rPr>
        <w:t>经济待遇</w:t>
      </w:r>
      <w:r>
        <w:rPr>
          <w:rFonts w:hint="eastAsia" w:ascii="仿宋_GB2312" w:hAnsi="仿宋_GB2312" w:eastAsia="仿宋_GB2312" w:cs="仿宋_GB2312"/>
          <w:bCs/>
          <w:sz w:val="32"/>
          <w:szCs w:val="32"/>
          <w:lang w:val="en-US" w:eastAsia="zh-CN"/>
        </w:rPr>
        <w:t>及</w:t>
      </w:r>
      <w:r>
        <w:rPr>
          <w:rFonts w:hint="default" w:ascii="仿宋_GB2312" w:hAnsi="仿宋_GB2312" w:eastAsia="仿宋_GB2312" w:cs="仿宋_GB2312"/>
          <w:bCs/>
          <w:sz w:val="32"/>
          <w:szCs w:val="32"/>
          <w:lang w:val="en-US" w:eastAsia="zh-CN"/>
        </w:rPr>
        <w:t>合法权益</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促进社会和谐</w:t>
      </w:r>
      <w:r>
        <w:rPr>
          <w:rFonts w:hint="eastAsia" w:ascii="仿宋_GB2312" w:hAnsi="仿宋_GB2312" w:eastAsia="仿宋_GB2312" w:cs="仿宋_GB2312"/>
          <w:bCs/>
          <w:sz w:val="32"/>
          <w:szCs w:val="32"/>
          <w:lang w:val="en-US" w:eastAsia="zh-CN"/>
        </w:rPr>
        <w:t>的效果明显，受益退役士兵满意度较高。</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4.项目资金使用效益</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本部门2020年度</w:t>
      </w:r>
      <w:r>
        <w:rPr>
          <w:rFonts w:hint="eastAsia" w:ascii="仿宋_GB2312" w:hAnsi="仿宋_GB2312" w:eastAsia="仿宋_GB2312" w:cs="仿宋_GB2312"/>
          <w:i w:val="0"/>
          <w:caps w:val="0"/>
          <w:color w:val="auto"/>
          <w:spacing w:val="0"/>
          <w:sz w:val="32"/>
          <w:szCs w:val="32"/>
        </w:rPr>
        <w:t>履职尽责</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i w:val="0"/>
          <w:caps w:val="0"/>
          <w:color w:val="auto"/>
          <w:spacing w:val="0"/>
          <w:sz w:val="32"/>
          <w:szCs w:val="32"/>
          <w:lang w:val="en-US" w:eastAsia="zh-CN"/>
        </w:rPr>
        <w:t>各项业务</w:t>
      </w:r>
      <w:r>
        <w:rPr>
          <w:rFonts w:hint="eastAsia" w:ascii="仿宋_GB2312" w:hAnsi="仿宋_GB2312" w:eastAsia="仿宋_GB2312" w:cs="仿宋_GB2312"/>
          <w:i w:val="0"/>
          <w:caps w:val="0"/>
          <w:color w:val="auto"/>
          <w:spacing w:val="0"/>
          <w:sz w:val="32"/>
          <w:szCs w:val="32"/>
        </w:rPr>
        <w:t>组织运行良好，年度各项工作目标任务基本</w:t>
      </w:r>
      <w:r>
        <w:rPr>
          <w:rFonts w:hint="eastAsia" w:ascii="仿宋_GB2312" w:hAnsi="仿宋_GB2312" w:eastAsia="仿宋_GB2312" w:cs="仿宋_GB2312"/>
          <w:i w:val="0"/>
          <w:caps w:val="0"/>
          <w:color w:val="auto"/>
          <w:spacing w:val="0"/>
          <w:sz w:val="32"/>
          <w:szCs w:val="32"/>
          <w:lang w:val="en-US" w:eastAsia="zh-CN"/>
        </w:rPr>
        <w:t>完</w:t>
      </w:r>
      <w:r>
        <w:rPr>
          <w:rFonts w:hint="eastAsia" w:ascii="仿宋_GB2312" w:hAnsi="仿宋_GB2312" w:eastAsia="仿宋_GB2312" w:cs="仿宋_GB2312"/>
          <w:i w:val="0"/>
          <w:caps w:val="0"/>
          <w:color w:val="auto"/>
          <w:spacing w:val="0"/>
          <w:sz w:val="32"/>
          <w:szCs w:val="32"/>
        </w:rPr>
        <w:t>成</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i w:val="0"/>
          <w:caps w:val="0"/>
          <w:color w:val="auto"/>
          <w:spacing w:val="0"/>
          <w:sz w:val="32"/>
          <w:szCs w:val="32"/>
          <w:lang w:val="en-US" w:eastAsia="zh-CN"/>
        </w:rPr>
        <w:t>财政性支出重点项目资金绩效目标总体完成优秀。得益于各级财政性项目资金支持，本区逾千名各类优抚对象优抚专项补助金及退役安置支出能按标准安全、足额、及时发放，确保了各类优抚安置对象各项待遇及时兑现，保障其基本生活不低于当地平均生活水平和基本生活所需，体现了党和政府以人为本的关心和关怀，为构建和谐社会，促进社会稳定提供了重要保证。</w:t>
      </w:r>
    </w:p>
    <w:p>
      <w:pPr>
        <w:spacing w:line="288" w:lineRule="auto"/>
        <w:ind w:firstLine="643" w:firstLineChars="200"/>
        <w:jc w:val="left"/>
        <w:rPr>
          <w:rFonts w:hint="eastAsia" w:ascii="仿宋_GB2312" w:hAnsi="宋体" w:eastAsia="仿宋_GB2312" w:cs="宋体"/>
          <w:b/>
          <w:sz w:val="32"/>
          <w:szCs w:val="32"/>
          <w:lang w:val="en-US" w:eastAsia="zh-CN"/>
        </w:rPr>
      </w:pPr>
      <w:r>
        <w:rPr>
          <w:rFonts w:hint="eastAsia" w:ascii="仿宋_GB2312" w:hAnsi="宋体" w:eastAsia="仿宋_GB2312" w:cs="宋体"/>
          <w:b/>
          <w:sz w:val="32"/>
          <w:szCs w:val="32"/>
          <w:lang w:val="en-US" w:eastAsia="zh-CN"/>
        </w:rPr>
        <w:t>（二）存在问题</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退役士兵安置补助金年初预算估计接收人数为75人，实际接收人数为57人，</w:t>
      </w:r>
      <w:r>
        <w:rPr>
          <w:rFonts w:hint="eastAsia" w:ascii="仿宋_GB2312" w:hAnsi="仿宋_GB2312" w:eastAsia="仿宋_GB2312" w:cs="仿宋_GB2312"/>
          <w:bCs/>
          <w:sz w:val="32"/>
          <w:szCs w:val="32"/>
          <w:lang w:val="en-US" w:eastAsia="zh-CN"/>
        </w:rPr>
        <w:t>士官人数占比偏低，</w:t>
      </w:r>
      <w:r>
        <w:rPr>
          <w:rFonts w:hint="eastAsia" w:ascii="仿宋_GB2312" w:hAnsi="仿宋_GB2312" w:eastAsia="仿宋_GB2312" w:cs="仿宋_GB2312"/>
          <w:i w:val="0"/>
          <w:caps w:val="0"/>
          <w:color w:val="auto"/>
          <w:spacing w:val="0"/>
          <w:sz w:val="32"/>
          <w:szCs w:val="32"/>
          <w:lang w:val="en-US" w:eastAsia="zh-CN"/>
        </w:rPr>
        <w:t>导致退役士兵安置补助金预算支出减少，预算执行率不达预期。</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ascii="仿宋_GB2312" w:hAnsi="仿宋_GB2312" w:eastAsia="仿宋_GB2312" w:cs="仿宋_GB2312"/>
          <w:i w:val="0"/>
          <w:caps w:val="0"/>
          <w:color w:val="auto"/>
          <w:spacing w:val="0"/>
          <w:sz w:val="32"/>
          <w:szCs w:val="32"/>
          <w:lang w:val="en-US"/>
        </w:rPr>
      </w:pPr>
      <w:r>
        <w:rPr>
          <w:rFonts w:hint="eastAsia" w:ascii="仿宋_GB2312" w:hAnsi="仿宋_GB2312" w:eastAsia="仿宋_GB2312" w:cs="仿宋_GB2312"/>
          <w:i w:val="0"/>
          <w:caps w:val="0"/>
          <w:color w:val="auto"/>
          <w:spacing w:val="0"/>
          <w:sz w:val="32"/>
          <w:szCs w:val="32"/>
          <w:lang w:val="en-US" w:eastAsia="zh-CN"/>
        </w:rPr>
        <w:t>本部门在退役军人服务体系的建设方面还存在一些短板，为退役军人提供精细化服务方面还有很大的提升空间，如原有支付方式支付流程过长，优抚专项资金支出个别月度有延时现象。</w:t>
      </w:r>
    </w:p>
    <w:p>
      <w:pPr>
        <w:spacing w:line="288" w:lineRule="auto"/>
        <w:ind w:firstLine="643" w:firstLineChars="200"/>
        <w:jc w:val="left"/>
        <w:outlineLvl w:val="0"/>
        <w:rPr>
          <w:rFonts w:hint="eastAsia" w:ascii="仿宋_GB2312" w:hAnsi="宋体" w:eastAsia="仿宋_GB2312" w:cs="宋体"/>
          <w:b/>
          <w:sz w:val="32"/>
          <w:szCs w:val="32"/>
          <w:lang w:val="en-US" w:eastAsia="zh-CN"/>
        </w:rPr>
      </w:pPr>
      <w:r>
        <w:rPr>
          <w:rFonts w:hint="eastAsia" w:ascii="仿宋_GB2312" w:hAnsi="宋体" w:eastAsia="仿宋_GB2312" w:cs="宋体"/>
          <w:b/>
          <w:sz w:val="32"/>
          <w:szCs w:val="32"/>
          <w:lang w:val="en-US" w:eastAsia="zh-CN"/>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一是努力提升预算管理水平，使预算编制更趋合理，合理安排项目资金支出计划，加快财政性专项资金支出进度；二是进一步加强与相关业务部门及开户银行的沟通协调，尽最大的努力改变原有的支付方式，缩短专项资金的支付时间，确保每月10日前将各类优抚安置专项补助资金发放到位。</w:t>
      </w:r>
    </w:p>
    <w:p>
      <w:pPr>
        <w:pStyle w:val="2"/>
        <w:rPr>
          <w:rFonts w:hint="eastAsia" w:ascii="仿宋_GB2312" w:hAnsi="仿宋_GB2312" w:eastAsia="仿宋_GB2312" w:cs="仿宋_GB2312"/>
          <w:i w:val="0"/>
          <w:caps w:val="0"/>
          <w:color w:val="auto"/>
          <w:spacing w:val="0"/>
          <w:sz w:val="32"/>
          <w:szCs w:val="32"/>
          <w:lang w:val="en-US" w:eastAsia="zh-CN"/>
        </w:rPr>
      </w:pPr>
    </w:p>
    <w:p>
      <w:pPr>
        <w:rPr>
          <w:rFonts w:hint="eastAsia"/>
          <w:lang w:val="en-US" w:eastAsia="zh-CN"/>
        </w:rPr>
      </w:pPr>
    </w:p>
    <w:p>
      <w:pPr>
        <w:ind w:firstLine="63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韶关市武江区退役军人事务局</w:t>
      </w:r>
    </w:p>
    <w:p>
      <w:pPr>
        <w:ind w:firstLine="63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2021年9月15日</w:t>
      </w:r>
    </w:p>
    <w:sectPr>
      <w:footerReference r:id="rId3" w:type="default"/>
      <w:pgSz w:w="11906" w:h="16838"/>
      <w:pgMar w:top="2098" w:right="1417" w:bottom="204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default" w:eastAsia="楷体_GB2312" w:cs="楷体_GB2312" w:asciiTheme="minorAscii" w:hAnsiTheme="minorAscii"/>
                              <w:sz w:val="18"/>
                              <w:szCs w:val="18"/>
                            </w:rPr>
                            <w:fldChar w:fldCharType="begin"/>
                          </w:r>
                          <w:r>
                            <w:rPr>
                              <w:rFonts w:hint="default" w:eastAsia="楷体_GB2312" w:cs="楷体_GB2312" w:asciiTheme="minorAscii" w:hAnsiTheme="minorAscii"/>
                              <w:sz w:val="18"/>
                              <w:szCs w:val="18"/>
                            </w:rPr>
                            <w:instrText xml:space="preserve"> PAGE  \* MERGEFORMAT </w:instrText>
                          </w:r>
                          <w:r>
                            <w:rPr>
                              <w:rFonts w:hint="default" w:eastAsia="楷体_GB2312" w:cs="楷体_GB2312" w:asciiTheme="minorAscii" w:hAnsiTheme="minorAscii"/>
                              <w:sz w:val="18"/>
                              <w:szCs w:val="18"/>
                            </w:rPr>
                            <w:fldChar w:fldCharType="separate"/>
                          </w:r>
                          <w:r>
                            <w:rPr>
                              <w:rFonts w:hint="default" w:eastAsia="楷体_GB2312" w:cs="楷体_GB2312" w:asciiTheme="minorAscii" w:hAnsiTheme="minorAscii"/>
                              <w:sz w:val="18"/>
                              <w:szCs w:val="18"/>
                            </w:rPr>
                            <w:t>1</w:t>
                          </w:r>
                          <w:r>
                            <w:rPr>
                              <w:rFonts w:hint="default" w:eastAsia="楷体_GB2312" w:cs="楷体_GB2312" w:asciiTheme="minorAscii" w:hAnsiTheme="minorAscii"/>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default" w:eastAsia="楷体_GB2312" w:cs="楷体_GB2312" w:asciiTheme="minorAscii" w:hAnsiTheme="minorAscii"/>
                        <w:sz w:val="18"/>
                        <w:szCs w:val="18"/>
                      </w:rPr>
                      <w:fldChar w:fldCharType="begin"/>
                    </w:r>
                    <w:r>
                      <w:rPr>
                        <w:rFonts w:hint="default" w:eastAsia="楷体_GB2312" w:cs="楷体_GB2312" w:asciiTheme="minorAscii" w:hAnsiTheme="minorAscii"/>
                        <w:sz w:val="18"/>
                        <w:szCs w:val="18"/>
                      </w:rPr>
                      <w:instrText xml:space="preserve"> PAGE  \* MERGEFORMAT </w:instrText>
                    </w:r>
                    <w:r>
                      <w:rPr>
                        <w:rFonts w:hint="default" w:eastAsia="楷体_GB2312" w:cs="楷体_GB2312" w:asciiTheme="minorAscii" w:hAnsiTheme="minorAscii"/>
                        <w:sz w:val="18"/>
                        <w:szCs w:val="18"/>
                      </w:rPr>
                      <w:fldChar w:fldCharType="separate"/>
                    </w:r>
                    <w:r>
                      <w:rPr>
                        <w:rFonts w:hint="default" w:eastAsia="楷体_GB2312" w:cs="楷体_GB2312" w:asciiTheme="minorAscii" w:hAnsiTheme="minorAscii"/>
                        <w:sz w:val="18"/>
                        <w:szCs w:val="18"/>
                      </w:rPr>
                      <w:t>1</w:t>
                    </w:r>
                    <w:r>
                      <w:rPr>
                        <w:rFonts w:hint="default" w:eastAsia="楷体_GB2312" w:cs="楷体_GB2312" w:asciiTheme="minorAscii" w:hAnsiTheme="minorAscii"/>
                        <w:sz w:val="18"/>
                        <w:szCs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389C"/>
    <w:rsid w:val="00352785"/>
    <w:rsid w:val="06222719"/>
    <w:rsid w:val="0CA73FA0"/>
    <w:rsid w:val="0E5655BE"/>
    <w:rsid w:val="1C8E3188"/>
    <w:rsid w:val="206D2049"/>
    <w:rsid w:val="213459F8"/>
    <w:rsid w:val="25BE05FB"/>
    <w:rsid w:val="28B85195"/>
    <w:rsid w:val="2BDC1273"/>
    <w:rsid w:val="37A96C72"/>
    <w:rsid w:val="3ACE3359"/>
    <w:rsid w:val="400602E5"/>
    <w:rsid w:val="407C60EC"/>
    <w:rsid w:val="44226EA2"/>
    <w:rsid w:val="4BDA51C9"/>
    <w:rsid w:val="4E664581"/>
    <w:rsid w:val="52CE7CEE"/>
    <w:rsid w:val="56D5537B"/>
    <w:rsid w:val="57F77017"/>
    <w:rsid w:val="58694511"/>
    <w:rsid w:val="5AE14049"/>
    <w:rsid w:val="61FA5517"/>
    <w:rsid w:val="62292035"/>
    <w:rsid w:val="6A68533D"/>
    <w:rsid w:val="6F02799D"/>
    <w:rsid w:val="6FBC4F77"/>
    <w:rsid w:val="70DF7644"/>
    <w:rsid w:val="7A71782D"/>
    <w:rsid w:val="7DB914EA"/>
    <w:rsid w:val="7EF03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next w:val="1"/>
    <w:unhideWhenUsed/>
    <w:qFormat/>
    <w:uiPriority w:val="99"/>
    <w:pPr>
      <w:widowControl w:val="0"/>
      <w:ind w:left="420" w:leftChars="200"/>
      <w:jc w:val="both"/>
    </w:pPr>
    <w:rPr>
      <w:rFonts w:ascii="Calibri" w:hAnsi="Calibri" w:eastAsia="仿宋_GB2312" w:cs="Times New Roman"/>
      <w:kern w:val="2"/>
      <w:sz w:val="32"/>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2003</Words>
  <Characters>2171</Characters>
  <Lines>0</Lines>
  <Paragraphs>0</Paragraphs>
  <TotalTime>5</TotalTime>
  <ScaleCrop>false</ScaleCrop>
  <LinksUpToDate>false</LinksUpToDate>
  <CharactersWithSpaces>2209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cp:lastPrinted>2021-09-23T03:33:00Z</cp:lastPrinted>
  <dcterms:modified xsi:type="dcterms:W3CDTF">2021-09-26T08:13:29Z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ribbonExt">
    <vt:lpwstr>{"WPSExtOfficeTab":{"OnGetEnabled":false,"OnGetVisible":false}}</vt:lpwstr>
  </property>
  <property fmtid="{D5CDD505-2E9C-101B-9397-08002B2CF9AE}" pid="4" name="ICV">
    <vt:lpwstr>BF4CA77190F94051934AA1911EB99041</vt:lpwstr>
  </property>
</Properties>
</file>