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8"/>
          <w:sz w:val="44"/>
          <w:szCs w:val="44"/>
          <w:shd w:val="clear" w:fill="FFFFFF"/>
          <w:lang w:eastAsia="zh-CN"/>
        </w:rPr>
      </w:pPr>
      <w:r>
        <w:pict>
          <v:shape id="_x0000_i1025" o:spt="136" type="#_x0000_t136" style="height:52.35pt;width:414.65pt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韶关市武江区总工会" style="font-family:宋体;font-size:36pt;font-weight:bold;v-rotate-letters:f;v-same-letter-heights:f;v-text-align:center;"/>
            <w10:wrap type="none"/>
            <w10:anchorlock/>
          </v:shape>
        </w:pic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196215</wp:posOffset>
                </wp:positionV>
                <wp:extent cx="5796915" cy="0"/>
                <wp:effectExtent l="0" t="19050" r="13335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6915" cy="0"/>
                        </a:xfrm>
                        <a:prstGeom prst="line">
                          <a:avLst/>
                        </a:prstGeom>
                        <a:ln w="381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0.5pt;margin-top:15.45pt;height:0pt;width:456.45pt;z-index:251660288;mso-width-relative:page;mso-height-relative:page;" filled="f" stroked="t" coordsize="21600,21600" o:gfxdata="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/o1RPtoAAAAJAQAADwAAAAAAAAABACAAAAAiAAAAZHJzL2Rvd25yZXYu&#10;eG1sUEsBAhQAFAAAAAgAh07iQLoEXnD5AQAA5QMAAA4AAAAAAAAAAQAgAAAAKQEAAGRycy9lMm9E&#10;b2MueG1sUEsFBgAAAAAGAAYAWQEAAJQFAAAAAA==&#10;">
                <v:fill on="f" focussize="0,0"/>
                <v:stroke weight="3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44"/>
          <w:szCs w:val="44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288" w:lineRule="auto"/>
        <w:jc w:val="center"/>
        <w:outlineLvl w:val="0"/>
        <w:rPr>
          <w:rFonts w:hint="eastAsia" w:ascii="仿宋_GB2312" w:hAnsi="宋体" w:eastAsia="仿宋_GB2312" w:cs="宋体"/>
          <w:b/>
          <w:sz w:val="36"/>
          <w:szCs w:val="36"/>
          <w:lang w:val="en-US" w:eastAsia="zh-CN"/>
        </w:rPr>
      </w:pPr>
      <w:r>
        <w:rPr>
          <w:rFonts w:hint="eastAsia" w:ascii="仿宋_GB2312" w:hAnsi="宋体" w:eastAsia="仿宋_GB2312" w:cs="宋体"/>
          <w:b/>
          <w:sz w:val="36"/>
          <w:szCs w:val="36"/>
          <w:lang w:val="en-US" w:eastAsia="zh-CN"/>
        </w:rPr>
        <w:t>韶关市武江区总工会2020年度</w:t>
      </w:r>
    </w:p>
    <w:p>
      <w:pPr>
        <w:numPr>
          <w:ilvl w:val="0"/>
          <w:numId w:val="0"/>
        </w:numPr>
        <w:spacing w:line="288" w:lineRule="auto"/>
        <w:jc w:val="center"/>
        <w:outlineLvl w:val="0"/>
        <w:rPr>
          <w:rFonts w:hint="eastAsia" w:ascii="仿宋_GB2312" w:hAnsi="宋体" w:eastAsia="仿宋_GB2312" w:cs="宋体"/>
          <w:b/>
          <w:sz w:val="36"/>
          <w:szCs w:val="36"/>
          <w:lang w:val="en-US" w:eastAsia="zh-CN"/>
        </w:rPr>
      </w:pPr>
      <w:r>
        <w:rPr>
          <w:rFonts w:hint="eastAsia" w:ascii="仿宋_GB2312" w:hAnsi="宋体" w:eastAsia="仿宋_GB2312" w:cs="宋体"/>
          <w:b/>
          <w:sz w:val="36"/>
          <w:szCs w:val="36"/>
          <w:lang w:val="en-US" w:eastAsia="zh-CN"/>
        </w:rPr>
        <w:t>财政支出重点项目绩效自评报告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为进一步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加强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管理，提高专项资金使用效益和项目管理水平，根据《</w:t>
      </w:r>
      <w:r>
        <w:rPr>
          <w:rFonts w:hint="eastAsia" w:ascii="仿宋_GB2312" w:hAnsi="宋体" w:eastAsia="仿宋_GB2312" w:cs="宋体"/>
          <w:sz w:val="32"/>
          <w:szCs w:val="32"/>
        </w:rPr>
        <w:t>中华人民共和国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预算法》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中共中央 国务院关于全面实施预算绩效管理的意见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中共广东省委 广东省人民政府关于全面实施预算绩效管理的若干意见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粤发﹝2019﹞5号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韶关市武江区人民政府办公室关于印发&lt;韶关市武江区全面实施预算绩效管理工作方案（2020-2022年）&gt;的通知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韶武府办﹝2020﹞16号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的有关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现就本部门2020年度财政支出重点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</w:t>
      </w:r>
      <w:r>
        <w:rPr>
          <w:rFonts w:hint="eastAsia" w:ascii="仿宋_GB2312" w:hAnsi="仿宋_GB2312" w:eastAsia="仿宋_GB2312" w:cs="仿宋_GB2312"/>
          <w:sz w:val="32"/>
          <w:szCs w:val="32"/>
        </w:rPr>
        <w:t>自评，现将自评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结果汇报</w:t>
      </w:r>
      <w:r>
        <w:rPr>
          <w:rFonts w:hint="eastAsia" w:ascii="仿宋_GB2312" w:hAnsi="仿宋_GB2312" w:eastAsia="仿宋_GB2312" w:cs="仿宋_GB2312"/>
          <w:sz w:val="32"/>
          <w:szCs w:val="32"/>
        </w:rPr>
        <w:t>如下：</w:t>
      </w:r>
    </w:p>
    <w:p>
      <w:pPr>
        <w:spacing w:line="288" w:lineRule="auto"/>
        <w:ind w:firstLine="643" w:firstLineChars="200"/>
        <w:jc w:val="left"/>
        <w:outlineLvl w:val="0"/>
        <w:rPr>
          <w:rFonts w:hint="eastAsia" w:ascii="仿宋_GB2312" w:hAnsi="宋体" w:eastAsia="仿宋_GB2312" w:cs="宋体"/>
          <w:b/>
          <w:sz w:val="32"/>
          <w:szCs w:val="32"/>
        </w:rPr>
      </w:pPr>
      <w:r>
        <w:rPr>
          <w:rFonts w:hint="eastAsia" w:ascii="仿宋_GB2312" w:hAnsi="宋体" w:eastAsia="仿宋_GB2312" w:cs="宋体"/>
          <w:b/>
          <w:sz w:val="32"/>
          <w:szCs w:val="32"/>
        </w:rPr>
        <w:t>一、项目基本情况及自评结论</w:t>
      </w:r>
    </w:p>
    <w:p>
      <w:pPr>
        <w:spacing w:line="288" w:lineRule="auto"/>
        <w:ind w:firstLine="643" w:firstLineChars="200"/>
        <w:jc w:val="left"/>
        <w:rPr>
          <w:rFonts w:hint="eastAsia" w:ascii="仿宋_GB2312" w:hAnsi="宋体" w:eastAsia="仿宋_GB2312" w:cs="宋体"/>
          <w:b/>
          <w:sz w:val="32"/>
          <w:szCs w:val="32"/>
        </w:rPr>
      </w:pPr>
      <w:r>
        <w:rPr>
          <w:rFonts w:hint="eastAsia" w:ascii="仿宋_GB2312" w:hAnsi="宋体" w:eastAsia="仿宋_GB2312" w:cs="宋体"/>
          <w:b/>
          <w:sz w:val="32"/>
          <w:szCs w:val="32"/>
        </w:rPr>
        <w:t>（一）项目用款单位简要情况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韶关市武江区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总工会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是区委群团机关工作部门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内设机构为：办公室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二级机构为：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韶关市</w:t>
      </w:r>
      <w:r>
        <w:rPr>
          <w:rFonts w:hint="eastAsia" w:ascii="仿宋_GB2312" w:hAnsi="仿宋_GB2312" w:eastAsia="仿宋_GB2312" w:cs="仿宋_GB2312"/>
          <w:sz w:val="32"/>
          <w:szCs w:val="32"/>
        </w:rPr>
        <w:t>武江区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总工会职工</w:t>
      </w:r>
      <w:r>
        <w:rPr>
          <w:rFonts w:hint="eastAsia" w:ascii="仿宋_GB2312" w:hAnsi="仿宋_GB2312" w:eastAsia="仿宋_GB2312" w:cs="仿宋_GB2312"/>
          <w:sz w:val="32"/>
          <w:szCs w:val="32"/>
        </w:rPr>
        <w:t>服务中心。主要职责是：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和引导广大职工积极参加建设和改革；组织引导职工积极投身应急和公益行动，参与重大劳资纠纷的预防排查。处置、劳动争议调解工作；组织、指导职工开展劳动竞赛、技术创新、合理建设；指导各类型工会组织建设工会干部培训教育；按照法律法规做好工会经费的收缴、管理、使用；承担区委和市总工会交办的其他任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等。  </w:t>
      </w:r>
    </w:p>
    <w:p>
      <w:pPr>
        <w:spacing w:line="288" w:lineRule="auto"/>
        <w:ind w:firstLine="643" w:firstLineChars="200"/>
        <w:jc w:val="left"/>
        <w:rPr>
          <w:rFonts w:hint="eastAsia" w:ascii="仿宋_GB2312" w:hAnsi="宋体" w:eastAsia="仿宋_GB2312" w:cs="宋体"/>
          <w:b/>
          <w:sz w:val="32"/>
          <w:szCs w:val="32"/>
        </w:rPr>
      </w:pPr>
      <w:r>
        <w:rPr>
          <w:rFonts w:hint="eastAsia" w:ascii="仿宋_GB2312" w:hAnsi="宋体" w:eastAsia="仿宋_GB2312" w:cs="宋体"/>
          <w:b/>
          <w:sz w:val="32"/>
          <w:szCs w:val="32"/>
        </w:rPr>
        <w:t>（二）项目实施主要内容及实施程序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财政支出重点项目共两个，分别</w:t>
      </w:r>
      <w:r>
        <w:rPr>
          <w:rFonts w:hint="eastAsia" w:ascii="仿宋_GB2312" w:hAnsi="仿宋_GB2312" w:eastAsia="仿宋_GB2312" w:cs="仿宋_GB2312"/>
          <w:sz w:val="32"/>
          <w:szCs w:val="32"/>
        </w:rPr>
        <w:t>为: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机关工会经费，五一活动经费。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为规范各项目资金的管理，“五一”劳动节活动经费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中华人民共和国工会法第三章工会权利和义务第三十一条规定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工会要组织职工开展文娱、体育活动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五一活动</w:t>
      </w:r>
      <w:r>
        <w:rPr>
          <w:rFonts w:hint="eastAsia" w:ascii="仿宋_GB2312" w:eastAsia="仿宋_GB2312"/>
          <w:sz w:val="32"/>
          <w:szCs w:val="32"/>
        </w:rPr>
        <w:t>由该项经费保障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依据《中华人民共和国工会法》第四十二条建立工会组织的企业、事业单位、机关按每月全部职工工资总额的百分之二向工会拨缴的经费，机关活动</w:t>
      </w:r>
      <w:r>
        <w:rPr>
          <w:rFonts w:hint="eastAsia" w:ascii="仿宋_GB2312" w:eastAsia="仿宋_GB2312"/>
          <w:sz w:val="32"/>
          <w:szCs w:val="32"/>
        </w:rPr>
        <w:t>由该项经费保障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所有项目支出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审批全流程由财政部门进行有效监管，并采用国库集中支付方式实行社会化发放。</w:t>
      </w:r>
    </w:p>
    <w:p>
      <w:pPr>
        <w:spacing w:line="288" w:lineRule="auto"/>
        <w:ind w:firstLine="643" w:firstLineChars="200"/>
        <w:jc w:val="left"/>
        <w:rPr>
          <w:rFonts w:hint="eastAsia" w:ascii="仿宋_GB2312" w:hAnsi="宋体" w:eastAsia="仿宋_GB2312" w:cs="宋体"/>
          <w:b/>
          <w:sz w:val="32"/>
          <w:szCs w:val="32"/>
        </w:rPr>
      </w:pPr>
      <w:r>
        <w:rPr>
          <w:rFonts w:hint="eastAsia" w:ascii="仿宋_GB2312" w:hAnsi="宋体" w:eastAsia="仿宋_GB2312" w:cs="宋体"/>
          <w:b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b/>
          <w:sz w:val="32"/>
          <w:szCs w:val="32"/>
          <w:lang w:val="en-US" w:eastAsia="zh-CN"/>
        </w:rPr>
        <w:t>三</w:t>
      </w:r>
      <w:r>
        <w:rPr>
          <w:rFonts w:hint="eastAsia" w:ascii="仿宋_GB2312" w:hAnsi="宋体" w:eastAsia="仿宋_GB2312" w:cs="宋体"/>
          <w:b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b/>
          <w:sz w:val="32"/>
          <w:szCs w:val="32"/>
        </w:rPr>
        <w:t>项目自评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上级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相关文件精神,从资金落实、业务管理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项目效益等方面进行评价，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综合</w:t>
      </w:r>
      <w:r>
        <w:rPr>
          <w:rFonts w:hint="eastAsia" w:ascii="仿宋_GB2312" w:hAnsi="仿宋_GB2312" w:eastAsia="仿宋_GB2312" w:cs="仿宋_GB2312"/>
          <w:sz w:val="32"/>
          <w:szCs w:val="32"/>
        </w:rPr>
        <w:t>评定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两个项目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绩效评价得分为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绩效级别评定为“优秀”。</w:t>
      </w:r>
    </w:p>
    <w:p>
      <w:pPr>
        <w:spacing w:line="288" w:lineRule="auto"/>
        <w:ind w:firstLine="643" w:firstLineChars="200"/>
        <w:jc w:val="left"/>
        <w:outlineLvl w:val="0"/>
        <w:rPr>
          <w:rFonts w:hint="eastAsia" w:ascii="仿宋_GB2312" w:hAnsi="宋体" w:eastAsia="仿宋_GB2312" w:cs="宋体"/>
          <w:b/>
          <w:sz w:val="32"/>
          <w:szCs w:val="32"/>
        </w:rPr>
      </w:pPr>
      <w:r>
        <w:rPr>
          <w:rFonts w:hint="eastAsia" w:ascii="仿宋_GB2312" w:hAnsi="宋体" w:eastAsia="仿宋_GB2312" w:cs="宋体"/>
          <w:b/>
          <w:sz w:val="32"/>
          <w:szCs w:val="32"/>
        </w:rPr>
        <w:t>二、绩效表现</w:t>
      </w:r>
    </w:p>
    <w:p>
      <w:pPr>
        <w:spacing w:line="288" w:lineRule="auto"/>
        <w:ind w:firstLine="643" w:firstLineChars="200"/>
        <w:jc w:val="left"/>
        <w:rPr>
          <w:rFonts w:hint="eastAsia" w:ascii="仿宋_GB2312" w:hAnsi="宋体" w:eastAsia="仿宋_GB2312" w:cs="宋体"/>
          <w:b/>
          <w:sz w:val="32"/>
          <w:szCs w:val="32"/>
        </w:rPr>
      </w:pPr>
      <w:r>
        <w:rPr>
          <w:rFonts w:hint="eastAsia" w:ascii="仿宋_GB2312" w:hAnsi="宋体" w:eastAsia="仿宋_GB2312" w:cs="宋体"/>
          <w:b/>
          <w:sz w:val="32"/>
          <w:szCs w:val="32"/>
        </w:rPr>
        <w:t>（一）资金使用绩效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两个财政性项目预算收入25万元，其中：</w:t>
      </w:r>
    </w:p>
    <w:p>
      <w:pPr>
        <w:spacing w:line="360" w:lineRule="auto"/>
        <w:ind w:firstLine="640" w:firstLineChars="200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020年武江区总工会五一活动经费实际投入为2万元，为预算内收入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2020年武江区总工会机关</w:t>
      </w:r>
      <w:r>
        <w:rPr>
          <w:rFonts w:hint="eastAsia" w:ascii="仿宋_GB2312"/>
          <w:sz w:val="32"/>
          <w:szCs w:val="32"/>
          <w:lang w:val="en-US" w:eastAsia="zh-CN"/>
        </w:rPr>
        <w:t>工会</w:t>
      </w:r>
      <w:r>
        <w:rPr>
          <w:rFonts w:hint="eastAsia" w:ascii="仿宋_GB2312" w:eastAsia="仿宋_GB2312"/>
          <w:sz w:val="32"/>
          <w:szCs w:val="32"/>
        </w:rPr>
        <w:t>经费实际投入为23万元，为预算内收入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2.项目实际支出情况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个财政性项目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预算支出25万元，其中：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五一活动经费全年预算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万元，</w:t>
      </w:r>
      <w:r>
        <w:rPr>
          <w:rFonts w:hint="eastAsia" w:ascii="仿宋_GB2312" w:eastAsia="仿宋_GB2312"/>
          <w:sz w:val="32"/>
          <w:szCs w:val="32"/>
        </w:rPr>
        <w:t>机关</w:t>
      </w:r>
      <w:r>
        <w:rPr>
          <w:rFonts w:hint="eastAsia" w:ascii="仿宋_GB2312"/>
          <w:sz w:val="32"/>
          <w:szCs w:val="32"/>
          <w:lang w:val="en-US" w:eastAsia="zh-CN"/>
        </w:rPr>
        <w:t>工会</w:t>
      </w:r>
      <w:r>
        <w:rPr>
          <w:rFonts w:hint="eastAsia" w:ascii="仿宋_GB2312" w:eastAsia="仿宋_GB2312"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全年预算支出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3.项目绩效目标完成情况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2020年武江区总工会活动经费保障了“夏日送清凉”的顺利实施，激发职工群众不畏艰辛，勇于开拓的工作热情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2020年武江区总工会机关工会经费保障了各项活动的顺利实施，</w:t>
      </w:r>
      <w:r>
        <w:rPr>
          <w:rFonts w:hint="eastAsia" w:ascii="仿宋_GB2312" w:hAnsi="仿宋_GB2312" w:eastAsia="仿宋_GB2312" w:cs="仿宋_GB2312"/>
          <w:sz w:val="32"/>
          <w:szCs w:val="32"/>
        </w:rPr>
        <w:t>增强工会组织的凝聚力，</w:t>
      </w:r>
      <w:r>
        <w:rPr>
          <w:rFonts w:hint="eastAsia" w:ascii="仿宋_GB2312" w:eastAsia="仿宋_GB2312"/>
          <w:sz w:val="32"/>
          <w:szCs w:val="32"/>
        </w:rPr>
        <w:t>不断丰富职工文化生活。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</w:p>
    <w:p>
      <w:pPr>
        <w:spacing w:line="288" w:lineRule="auto"/>
        <w:ind w:firstLine="643" w:firstLineChars="200"/>
        <w:jc w:val="left"/>
        <w:rPr>
          <w:rFonts w:hint="eastAsia" w:ascii="仿宋_GB2312" w:hAnsi="宋体" w:eastAsia="仿宋_GB2312" w:cs="宋体"/>
          <w:b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sz w:val="32"/>
          <w:szCs w:val="32"/>
          <w:lang w:val="en-US" w:eastAsia="zh-CN"/>
        </w:rPr>
        <w:t>（二）存在问题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资金不足，影响面不广，体检人数不能全覆盖。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/>
        </w:rPr>
      </w:pPr>
    </w:p>
    <w:p>
      <w:pPr>
        <w:spacing w:line="288" w:lineRule="auto"/>
        <w:ind w:firstLine="643" w:firstLineChars="200"/>
        <w:jc w:val="left"/>
        <w:outlineLvl w:val="0"/>
        <w:rPr>
          <w:rFonts w:hint="eastAsia" w:ascii="仿宋_GB2312" w:hAnsi="宋体" w:eastAsia="仿宋_GB2312" w:cs="宋体"/>
          <w:b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sz w:val="32"/>
          <w:szCs w:val="32"/>
          <w:lang w:val="en-US" w:eastAsia="zh-CN"/>
        </w:rPr>
        <w:t>三、改进意见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需增加预算资金投入，保障全面覆盖的重要实施作用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需增加预算资金投入，保障全面覆盖机关事业单位在职人员身体健康的重要实施作用。</w:t>
      </w:r>
    </w:p>
    <w:p>
      <w:pPr>
        <w:pStyle w:val="2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63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韶关市武江区总工会</w:t>
      </w:r>
    </w:p>
    <w:p>
      <w:pPr>
        <w:ind w:firstLine="63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2021年9月15日</w:t>
      </w:r>
    </w:p>
    <w:sectPr>
      <w:footerReference r:id="rId3" w:type="default"/>
      <w:pgSz w:w="11906" w:h="16838"/>
      <w:pgMar w:top="2098" w:right="1417" w:bottom="204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default" w:eastAsia="楷体_GB2312" w:cs="楷体_GB2312" w:asciiTheme="minorAscii" w:hAnsiTheme="minorAscii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hint="default" w:eastAsia="楷体_GB2312" w:cs="楷体_GB2312" w:asciiTheme="minorAscii" w:hAnsiTheme="minorAscii"/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eastAsia="楷体_GB2312" w:cs="楷体_GB2312" w:asciiTheme="minorAscii" w:hAnsiTheme="minorAscii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hint="default" w:eastAsia="楷体_GB2312" w:cs="楷体_GB2312" w:asciiTheme="minorAscii" w:hAnsiTheme="minorAscii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hint="default" w:eastAsia="楷体_GB2312" w:cs="楷体_GB2312" w:asciiTheme="minorAscii" w:hAnsiTheme="minorAscii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default" w:eastAsia="楷体_GB2312" w:cs="楷体_GB2312" w:asciiTheme="minorAscii" w:hAnsiTheme="minorAscii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hint="default" w:eastAsia="楷体_GB2312" w:cs="楷体_GB2312" w:asciiTheme="minorAscii" w:hAnsiTheme="minorAscii"/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rFonts w:hint="default" w:eastAsia="楷体_GB2312" w:cs="楷体_GB2312" w:asciiTheme="minorAscii" w:hAnsiTheme="minorAscii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hint="default" w:eastAsia="楷体_GB2312" w:cs="楷体_GB2312" w:asciiTheme="minorAscii" w:hAnsiTheme="minorAscii"/>
                        <w:sz w:val="18"/>
                        <w:szCs w:val="18"/>
                      </w:rPr>
                      <w:t>1</w:t>
                    </w:r>
                    <w:r>
                      <w:rPr>
                        <w:rFonts w:hint="default" w:eastAsia="楷体_GB2312" w:cs="楷体_GB2312" w:asciiTheme="minorAscii" w:hAnsiTheme="minorAscii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4389C"/>
    <w:rsid w:val="00352785"/>
    <w:rsid w:val="06222719"/>
    <w:rsid w:val="0CA73FA0"/>
    <w:rsid w:val="0E5655BE"/>
    <w:rsid w:val="13E65F72"/>
    <w:rsid w:val="1C8E3188"/>
    <w:rsid w:val="206D2049"/>
    <w:rsid w:val="213459F8"/>
    <w:rsid w:val="25BE05FB"/>
    <w:rsid w:val="28B85195"/>
    <w:rsid w:val="2BDC1273"/>
    <w:rsid w:val="37A96C72"/>
    <w:rsid w:val="3ACE3359"/>
    <w:rsid w:val="400602E5"/>
    <w:rsid w:val="407C60EC"/>
    <w:rsid w:val="42E94DB9"/>
    <w:rsid w:val="44226EA2"/>
    <w:rsid w:val="4BDA51C9"/>
    <w:rsid w:val="4E664581"/>
    <w:rsid w:val="508B3975"/>
    <w:rsid w:val="52CE7CEE"/>
    <w:rsid w:val="56D5537B"/>
    <w:rsid w:val="57F77017"/>
    <w:rsid w:val="58074657"/>
    <w:rsid w:val="58694511"/>
    <w:rsid w:val="5AE14049"/>
    <w:rsid w:val="61FA5517"/>
    <w:rsid w:val="62292035"/>
    <w:rsid w:val="6A68533D"/>
    <w:rsid w:val="6C4133CF"/>
    <w:rsid w:val="6F02799D"/>
    <w:rsid w:val="6FBC4F77"/>
    <w:rsid w:val="70DF7644"/>
    <w:rsid w:val="7A71782D"/>
    <w:rsid w:val="7DB914EA"/>
    <w:rsid w:val="7EF0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unhideWhenUsed/>
    <w:qFormat/>
    <w:uiPriority w:val="99"/>
    <w:pPr>
      <w:widowControl w:val="0"/>
      <w:ind w:left="420" w:left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2003</Words>
  <Characters>2171</Characters>
  <Lines>0</Lines>
  <Paragraphs>0</Paragraphs>
  <TotalTime>2</TotalTime>
  <ScaleCrop>false</ScaleCrop>
  <LinksUpToDate>false</LinksUpToDate>
  <CharactersWithSpaces>2209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Sailor Moon</cp:lastModifiedBy>
  <cp:lastPrinted>2021-09-23T03:33:00Z</cp:lastPrinted>
  <dcterms:modified xsi:type="dcterms:W3CDTF">2021-12-02T07:13:22Z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BF4CA77190F94051934AA1911EB99041</vt:lpwstr>
  </property>
</Properties>
</file>