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武江区新华街道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年政府信息公开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工作年度报告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根据《中华人民共和国政府信息公开条例》规定，现公布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武江区新华街道</w:t>
      </w: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政府信息公开工作年度报告。本报告由总体情况、主动公开政府信息情况、收到和处理政府信息公开申请情况、政府信息公开行政复议及行政诉讼情况、存在的主要问题及改进情况、其他需要报告的事项等六部分组成，涵盖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武江区新华街道</w:t>
      </w:r>
      <w:r>
        <w:rPr>
          <w:rFonts w:hint="eastAsia" w:ascii="仿宋_GB2312" w:hAnsi="黑体" w:eastAsia="仿宋_GB2312"/>
          <w:sz w:val="32"/>
          <w:szCs w:val="32"/>
        </w:rPr>
        <w:t>政府信息公开工作情况。</w:t>
      </w: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　　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武江区新华街道</w:t>
      </w:r>
      <w:r>
        <w:rPr>
          <w:rFonts w:hint="eastAsia" w:ascii="仿宋_GB2312" w:hAnsi="黑体" w:eastAsia="仿宋_GB2312"/>
          <w:sz w:val="32"/>
          <w:szCs w:val="32"/>
        </w:rPr>
        <w:t>全面贯彻党的十九届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黑体" w:eastAsia="仿宋_GB2312"/>
          <w:sz w:val="32"/>
          <w:szCs w:val="32"/>
        </w:rPr>
        <w:t>中全会精神，坚持以习近平新时代中国特色社会主义思想为指导，深入贯彻落实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习近平总书记“七一”重要讲话精神和视察广东重要讲话、重要指示批示精神</w:t>
      </w:r>
      <w:r>
        <w:rPr>
          <w:rFonts w:hint="eastAsia" w:ascii="仿宋_GB2312" w:hAnsi="黑体" w:eastAsia="仿宋_GB2312"/>
          <w:sz w:val="32"/>
          <w:szCs w:val="32"/>
        </w:rPr>
        <w:t>，按照党中央、国务院关于全面推进政务公开工作的部署，认真学习贯彻《中华人民共和国政府信息公开条例》，紧紧围绕经济社会发展和群众关注关切，大力推进政务公开工作取得实效。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黑体" w:eastAsia="仿宋_GB2312"/>
          <w:sz w:val="32"/>
          <w:szCs w:val="32"/>
        </w:rPr>
        <w:t>年，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武江区新华街道</w:t>
      </w:r>
      <w:r>
        <w:rPr>
          <w:rFonts w:hint="eastAsia" w:ascii="仿宋_GB2312" w:hAnsi="黑体" w:eastAsia="仿宋_GB2312"/>
          <w:sz w:val="32"/>
          <w:szCs w:val="32"/>
        </w:rPr>
        <w:t>通过韶关市武江区公众信息网站主动公开信息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53</w:t>
      </w:r>
      <w:r>
        <w:rPr>
          <w:rFonts w:hint="eastAsia" w:ascii="仿宋_GB2312" w:hAnsi="黑体" w:eastAsia="仿宋_GB2312"/>
          <w:sz w:val="32"/>
          <w:szCs w:val="32"/>
        </w:rPr>
        <w:t>条，其他文件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条；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新华街道</w:t>
      </w:r>
      <w:r>
        <w:rPr>
          <w:rFonts w:hint="eastAsia" w:ascii="仿宋_GB2312" w:hAnsi="黑体" w:eastAsia="仿宋_GB2312"/>
          <w:sz w:val="32"/>
          <w:szCs w:val="32"/>
        </w:rPr>
        <w:t>工作报告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条、财政预决算信息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黑体" w:eastAsia="仿宋_GB2312"/>
          <w:sz w:val="32"/>
          <w:szCs w:val="32"/>
        </w:rPr>
        <w:t>条、政务动态类信息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黑体" w:eastAsia="仿宋_GB2312"/>
          <w:sz w:val="32"/>
          <w:szCs w:val="32"/>
        </w:rPr>
        <w:t>条、其他信息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ascii="黑体" w:hAnsi="黑体" w:eastAsia="黑体"/>
          <w:sz w:val="32"/>
          <w:szCs w:val="32"/>
        </w:rPr>
        <w:t>主动公开政府信息情况</w:t>
      </w: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208"/>
        <w:gridCol w:w="220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8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一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规范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性文件</w:t>
            </w:r>
          </w:p>
        </w:tc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二是条第（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五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许可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六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信息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eastAsia="zh-CN"/>
              </w:rPr>
              <w:t>本年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处理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处罚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强制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第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二十条第（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八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）</w:t>
            </w: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行政</w:t>
            </w:r>
            <w:r>
              <w:rPr>
                <w:rFonts w:ascii="黑体" w:hAnsi="黑体" w:eastAsia="黑体"/>
                <w:color w:val="000000"/>
                <w:sz w:val="28"/>
                <w:szCs w:val="28"/>
              </w:rPr>
              <w:t>事业性收费</w:t>
            </w:r>
          </w:p>
        </w:tc>
        <w:tc>
          <w:tcPr>
            <w:tcW w:w="66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ascii="黑体" w:hAnsi="黑体" w:eastAsia="黑体"/>
          <w:sz w:val="32"/>
          <w:szCs w:val="32"/>
        </w:rPr>
        <w:t>收到和处理政府信息公开申请情况</w:t>
      </w:r>
    </w:p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846"/>
        <w:gridCol w:w="2637"/>
        <w:gridCol w:w="850"/>
        <w:gridCol w:w="709"/>
        <w:gridCol w:w="709"/>
        <w:gridCol w:w="850"/>
        <w:gridCol w:w="851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申请</w:t>
            </w:r>
            <w:r>
              <w:rPr>
                <w:rFonts w:ascii="黑体" w:hAnsi="黑体" w:eastAsia="黑体"/>
                <w:szCs w:val="21"/>
              </w:rPr>
              <w:t>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自然人</w:t>
            </w:r>
          </w:p>
        </w:tc>
        <w:tc>
          <w:tcPr>
            <w:tcW w:w="3686" w:type="dxa"/>
            <w:gridSpan w:val="5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法人</w:t>
            </w:r>
            <w:r>
              <w:rPr>
                <w:rFonts w:ascii="黑体" w:hAnsi="黑体" w:eastAsia="黑体"/>
                <w:szCs w:val="21"/>
              </w:rPr>
              <w:t>或其它组织</w:t>
            </w:r>
          </w:p>
        </w:tc>
        <w:tc>
          <w:tcPr>
            <w:tcW w:w="709" w:type="dxa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商业</w:t>
            </w:r>
            <w:r>
              <w:rPr>
                <w:rFonts w:ascii="黑体" w:hAnsi="黑体" w:eastAsia="黑体"/>
                <w:szCs w:val="21"/>
              </w:rPr>
              <w:t>企业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科研</w:t>
            </w:r>
            <w:r>
              <w:rPr>
                <w:rFonts w:ascii="黑体" w:hAnsi="黑体" w:eastAsia="黑体"/>
                <w:szCs w:val="21"/>
              </w:rPr>
              <w:t>机构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社会</w:t>
            </w:r>
            <w:r>
              <w:rPr>
                <w:rFonts w:ascii="黑体" w:hAnsi="黑体" w:eastAsia="黑体"/>
                <w:szCs w:val="21"/>
              </w:rPr>
              <w:t>公益组织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法律</w:t>
            </w:r>
            <w:r>
              <w:rPr>
                <w:rFonts w:ascii="黑体" w:hAnsi="黑体" w:eastAsia="黑体"/>
                <w:szCs w:val="21"/>
              </w:rPr>
              <w:t>服务机构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其它</w:t>
            </w:r>
          </w:p>
        </w:tc>
        <w:tc>
          <w:tcPr>
            <w:tcW w:w="709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</w:t>
            </w:r>
            <w:r>
              <w:rPr>
                <w:rFonts w:ascii="黑体" w:hAnsi="黑体" w:eastAsia="黑体"/>
                <w:szCs w:val="21"/>
              </w:rPr>
              <w:t>、本年新收</w:t>
            </w:r>
            <w:r>
              <w:rPr>
                <w:rFonts w:hint="eastAsia" w:ascii="黑体" w:hAnsi="黑体" w:eastAsia="黑体"/>
                <w:szCs w:val="21"/>
              </w:rPr>
              <w:t>政府</w:t>
            </w:r>
            <w:r>
              <w:rPr>
                <w:rFonts w:ascii="黑体" w:hAnsi="黑体" w:eastAsia="黑体"/>
                <w:szCs w:val="21"/>
              </w:rPr>
              <w:t>信息公开申请</w:t>
            </w: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</w:t>
            </w:r>
            <w:r>
              <w:rPr>
                <w:rFonts w:ascii="黑体" w:hAnsi="黑体" w:eastAsia="黑体"/>
                <w:szCs w:val="21"/>
              </w:rPr>
              <w:t>、上年结转政府信息公开申请数量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、本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年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度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办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理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结</w:t>
            </w:r>
          </w:p>
          <w:p>
            <w:pPr>
              <w:spacing w:line="240" w:lineRule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果</w:t>
            </w:r>
          </w:p>
        </w:tc>
        <w:tc>
          <w:tcPr>
            <w:tcW w:w="3483" w:type="dxa"/>
            <w:gridSpan w:val="2"/>
            <w:vAlign w:val="top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(一)予以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64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3483" w:type="dxa"/>
            <w:gridSpan w:val="2"/>
            <w:vAlign w:val="top"/>
          </w:tcPr>
          <w:p>
            <w:pPr>
              <w:spacing w:line="240" w:lineRule="auto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（二）部分</w:t>
            </w:r>
            <w:r>
              <w:rPr>
                <w:rFonts w:ascii="黑体" w:hAnsi="黑体" w:eastAsia="黑体"/>
                <w:szCs w:val="21"/>
              </w:rPr>
              <w:t>公开（</w:t>
            </w:r>
            <w:r>
              <w:rPr>
                <w:rFonts w:hint="eastAsia" w:ascii="黑体" w:hAnsi="黑体" w:eastAsia="黑体"/>
                <w:szCs w:val="21"/>
              </w:rPr>
              <w:t>区分</w:t>
            </w:r>
            <w:r>
              <w:rPr>
                <w:rFonts w:ascii="黑体" w:hAnsi="黑体" w:eastAsia="黑体"/>
                <w:szCs w:val="21"/>
              </w:rPr>
              <w:t>处理的，只计这一情形，</w:t>
            </w:r>
            <w:r>
              <w:rPr>
                <w:rFonts w:hint="eastAsia" w:ascii="黑体" w:hAnsi="黑体" w:eastAsia="黑体"/>
                <w:szCs w:val="21"/>
              </w:rPr>
              <w:t>不</w:t>
            </w:r>
            <w:r>
              <w:rPr>
                <w:rFonts w:ascii="黑体" w:hAnsi="黑体" w:eastAsia="黑体"/>
                <w:szCs w:val="21"/>
              </w:rPr>
              <w:t>计其他情形）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（三）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公开</w:t>
            </w:r>
          </w:p>
        </w:tc>
        <w:tc>
          <w:tcPr>
            <w:tcW w:w="2637" w:type="dxa"/>
            <w:vAlign w:val="top"/>
          </w:tcPr>
          <w:p>
            <w:pPr>
              <w:pStyle w:val="8"/>
              <w:numPr>
                <w:ilvl w:val="0"/>
                <w:numId w:val="1"/>
              </w:numPr>
              <w:spacing w:line="240" w:lineRule="auto"/>
              <w:ind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属于</w:t>
            </w:r>
            <w:r>
              <w:rPr>
                <w:rFonts w:ascii="黑体" w:hAnsi="黑体" w:eastAsia="黑体"/>
                <w:szCs w:val="21"/>
              </w:rPr>
              <w:t>国家秘密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2.其它</w:t>
            </w:r>
            <w:r>
              <w:rPr>
                <w:rFonts w:ascii="黑体" w:hAnsi="黑体" w:eastAsia="黑体"/>
                <w:szCs w:val="21"/>
              </w:rPr>
              <w:t>法律行政法规禁止公开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3.危及</w:t>
            </w: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三安全一</w:t>
            </w:r>
            <w:r>
              <w:rPr>
                <w:rFonts w:ascii="黑体" w:hAnsi="黑体" w:eastAsia="黑体"/>
                <w:szCs w:val="21"/>
              </w:rPr>
              <w:t>稳定”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4.保护</w:t>
            </w:r>
            <w:r>
              <w:rPr>
                <w:rFonts w:ascii="黑体" w:hAnsi="黑体" w:eastAsia="黑体"/>
                <w:szCs w:val="21"/>
              </w:rPr>
              <w:t>第三方合法权益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5.属于</w:t>
            </w:r>
            <w:r>
              <w:rPr>
                <w:rFonts w:ascii="黑体" w:hAnsi="黑体" w:eastAsia="黑体"/>
                <w:szCs w:val="21"/>
              </w:rPr>
              <w:t>三类内部事务信息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6.属于</w:t>
            </w:r>
            <w:r>
              <w:rPr>
                <w:rFonts w:ascii="黑体" w:hAnsi="黑体" w:eastAsia="黑体"/>
                <w:szCs w:val="21"/>
              </w:rPr>
              <w:t>四类过程性信息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7.属于</w:t>
            </w:r>
            <w:r>
              <w:rPr>
                <w:rFonts w:ascii="黑体" w:hAnsi="黑体" w:eastAsia="黑体"/>
                <w:szCs w:val="21"/>
              </w:rPr>
              <w:t>行政执法</w:t>
            </w:r>
            <w:r>
              <w:rPr>
                <w:rFonts w:hint="eastAsia" w:ascii="黑体" w:hAnsi="黑体" w:eastAsia="黑体"/>
                <w:szCs w:val="21"/>
              </w:rPr>
              <w:t>案卷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8.属于</w:t>
            </w:r>
            <w:r>
              <w:rPr>
                <w:rFonts w:ascii="黑体" w:hAnsi="黑体" w:eastAsia="黑体"/>
                <w:szCs w:val="21"/>
              </w:rPr>
              <w:t>行政查询事项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(四)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无法</w:t>
            </w:r>
            <w:r>
              <w:rPr>
                <w:rFonts w:ascii="黑体" w:hAnsi="黑体" w:eastAsia="黑体"/>
                <w:szCs w:val="21"/>
              </w:rPr>
              <w:t>提供</w:t>
            </w: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1.本</w:t>
            </w:r>
            <w:r>
              <w:rPr>
                <w:rFonts w:ascii="黑体" w:hAnsi="黑体" w:eastAsia="黑体"/>
                <w:szCs w:val="21"/>
              </w:rPr>
              <w:t>机关不</w:t>
            </w:r>
            <w:r>
              <w:rPr>
                <w:rFonts w:hint="eastAsia" w:ascii="黑体" w:hAnsi="黑体" w:eastAsia="黑体"/>
                <w:szCs w:val="21"/>
              </w:rPr>
              <w:t>掌握</w:t>
            </w:r>
            <w:r>
              <w:rPr>
                <w:rFonts w:ascii="黑体" w:hAnsi="黑体" w:eastAsia="黑体"/>
                <w:szCs w:val="21"/>
              </w:rPr>
              <w:t>相关政府信息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2.没有</w:t>
            </w:r>
            <w:r>
              <w:rPr>
                <w:rFonts w:ascii="黑体" w:hAnsi="黑体" w:eastAsia="黑体"/>
                <w:szCs w:val="21"/>
              </w:rPr>
              <w:t>现成信息需要另行制作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3.补正</w:t>
            </w:r>
            <w:r>
              <w:rPr>
                <w:rFonts w:ascii="黑体" w:hAnsi="黑体" w:eastAsia="黑体"/>
                <w:szCs w:val="21"/>
              </w:rPr>
              <w:t>后申请内容仍不明确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restart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（五）</w:t>
            </w:r>
          </w:p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不予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1.信</w:t>
            </w:r>
            <w:r>
              <w:rPr>
                <w:rFonts w:ascii="黑体" w:hAnsi="黑体" w:eastAsia="黑体"/>
                <w:szCs w:val="21"/>
              </w:rPr>
              <w:t>访举报投诉类申请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2.重复</w:t>
            </w:r>
            <w:r>
              <w:rPr>
                <w:rFonts w:ascii="黑体" w:hAnsi="黑体" w:eastAsia="黑体"/>
                <w:szCs w:val="21"/>
              </w:rPr>
              <w:t>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3.要求</w:t>
            </w:r>
            <w:r>
              <w:rPr>
                <w:rFonts w:ascii="黑体" w:hAnsi="黑体" w:eastAsia="黑体"/>
                <w:szCs w:val="21"/>
              </w:rPr>
              <w:t>提供公开出版物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4.无</w:t>
            </w:r>
            <w:r>
              <w:rPr>
                <w:rFonts w:ascii="黑体" w:hAnsi="黑体" w:eastAsia="黑体"/>
                <w:szCs w:val="21"/>
              </w:rPr>
              <w:t>正当理由大量反复申请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3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5.</w:t>
            </w:r>
            <w:r>
              <w:rPr>
                <w:rFonts w:hint="eastAsia" w:ascii="黑体" w:hAnsi="黑体" w:eastAsia="黑体"/>
                <w:szCs w:val="21"/>
              </w:rPr>
              <w:t>要求</w:t>
            </w:r>
            <w:r>
              <w:rPr>
                <w:rFonts w:ascii="黑体" w:hAnsi="黑体" w:eastAsia="黑体"/>
                <w:szCs w:val="21"/>
              </w:rPr>
              <w:t>行政机关确认或</w:t>
            </w:r>
            <w:r>
              <w:rPr>
                <w:rFonts w:hint="eastAsia" w:ascii="黑体" w:hAnsi="黑体" w:eastAsia="黑体"/>
                <w:szCs w:val="21"/>
              </w:rPr>
              <w:t>重新</w:t>
            </w:r>
            <w:r>
              <w:rPr>
                <w:rFonts w:ascii="黑体" w:hAnsi="黑体" w:eastAsia="黑体"/>
                <w:szCs w:val="21"/>
              </w:rPr>
              <w:t>出具已获取</w:t>
            </w:r>
            <w:r>
              <w:rPr>
                <w:rFonts w:hint="eastAsia" w:ascii="黑体" w:hAnsi="黑体" w:eastAsia="黑体"/>
                <w:szCs w:val="21"/>
              </w:rPr>
              <w:t>信息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（六）其他</w:t>
            </w:r>
            <w:r>
              <w:rPr>
                <w:rFonts w:ascii="黑体" w:hAnsi="黑体" w:eastAsia="黑体"/>
                <w:szCs w:val="21"/>
              </w:rPr>
              <w:t>处理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483" w:type="dxa"/>
            <w:gridSpan w:val="2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（七）总计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8" w:type="dxa"/>
            <w:gridSpan w:val="3"/>
            <w:vAlign w:val="top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四</w:t>
            </w:r>
            <w:r>
              <w:rPr>
                <w:rFonts w:ascii="黑体" w:hAnsi="黑体" w:eastAsia="黑体"/>
                <w:szCs w:val="21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结转</w:t>
            </w:r>
            <w:r>
              <w:rPr>
                <w:rFonts w:ascii="黑体" w:hAnsi="黑体" w:eastAsia="黑体"/>
                <w:szCs w:val="21"/>
              </w:rPr>
              <w:t>下年度继续办理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ascii="黑体" w:hAnsi="黑体" w:eastAsia="黑体"/>
          <w:sz w:val="32"/>
          <w:szCs w:val="32"/>
        </w:rPr>
        <w:t>政府信息公开</w:t>
      </w:r>
      <w:r>
        <w:rPr>
          <w:rFonts w:hint="eastAsia" w:ascii="黑体" w:hAnsi="黑体" w:eastAsia="黑体"/>
          <w:sz w:val="32"/>
          <w:szCs w:val="32"/>
        </w:rPr>
        <w:t>行政</w:t>
      </w:r>
      <w:r>
        <w:rPr>
          <w:rFonts w:ascii="黑体" w:hAnsi="黑体" w:eastAsia="黑体"/>
          <w:sz w:val="32"/>
          <w:szCs w:val="32"/>
        </w:rPr>
        <w:t>复议、行政诉讼情况</w:t>
      </w:r>
    </w:p>
    <w:tbl>
      <w:tblPr>
        <w:tblStyle w:val="6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543"/>
        <w:gridCol w:w="542"/>
        <w:gridCol w:w="542"/>
        <w:gridCol w:w="660"/>
        <w:gridCol w:w="540"/>
        <w:gridCol w:w="453"/>
        <w:gridCol w:w="513"/>
        <w:gridCol w:w="540"/>
        <w:gridCol w:w="540"/>
        <w:gridCol w:w="540"/>
        <w:gridCol w:w="540"/>
        <w:gridCol w:w="540"/>
        <w:gridCol w:w="54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830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复议</w:t>
            </w:r>
          </w:p>
        </w:tc>
        <w:tc>
          <w:tcPr>
            <w:tcW w:w="5387" w:type="dxa"/>
            <w:gridSpan w:val="10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行政</w:t>
            </w:r>
            <w:r>
              <w:rPr>
                <w:rFonts w:ascii="黑体" w:hAnsi="黑体" w:eastAsia="黑体"/>
                <w:szCs w:val="21"/>
              </w:rPr>
              <w:t>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2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尚未审</w:t>
            </w:r>
            <w:r>
              <w:rPr>
                <w:rFonts w:ascii="黑体" w:hAnsi="黑体" w:eastAsia="黑体"/>
                <w:szCs w:val="21"/>
              </w:rPr>
              <w:t>结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  <w:tc>
          <w:tcPr>
            <w:tcW w:w="2586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未经</w:t>
            </w:r>
            <w:r>
              <w:rPr>
                <w:rFonts w:ascii="黑体" w:hAnsi="黑体" w:eastAsia="黑体"/>
                <w:szCs w:val="21"/>
              </w:rPr>
              <w:t>复议直接起诉</w:t>
            </w:r>
          </w:p>
        </w:tc>
        <w:tc>
          <w:tcPr>
            <w:tcW w:w="2801" w:type="dxa"/>
            <w:gridSpan w:val="5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复议</w:t>
            </w:r>
            <w:r>
              <w:rPr>
                <w:rFonts w:ascii="黑体" w:hAnsi="黑体" w:eastAsia="黑体"/>
                <w:szCs w:val="21"/>
              </w:rPr>
              <w:t>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3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45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1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</w:t>
            </w:r>
            <w:r>
              <w:rPr>
                <w:rFonts w:ascii="黑体" w:hAnsi="黑体" w:eastAsia="黑体"/>
                <w:szCs w:val="21"/>
              </w:rPr>
              <w:t>计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维持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结果</w:t>
            </w:r>
            <w:r>
              <w:rPr>
                <w:rFonts w:ascii="黑体" w:hAnsi="黑体" w:eastAsia="黑体"/>
                <w:szCs w:val="21"/>
              </w:rPr>
              <w:t>纠正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  <w:r>
              <w:rPr>
                <w:rFonts w:ascii="黑体" w:hAnsi="黑体" w:eastAsia="黑体"/>
                <w:szCs w:val="21"/>
              </w:rPr>
              <w:t>结果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尚未</w:t>
            </w:r>
            <w:r>
              <w:rPr>
                <w:rFonts w:ascii="黑体" w:hAnsi="黑体" w:eastAsia="黑体"/>
                <w:szCs w:val="21"/>
              </w:rPr>
              <w:t>审结</w:t>
            </w:r>
          </w:p>
        </w:tc>
        <w:tc>
          <w:tcPr>
            <w:tcW w:w="641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4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2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  <w:tc>
          <w:tcPr>
            <w:tcW w:w="641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</w:p>
        </w:tc>
      </w:tr>
    </w:tbl>
    <w:p>
      <w:pPr>
        <w:pStyle w:val="8"/>
        <w:ind w:left="720"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ascii="黑体" w:hAnsi="黑体" w:eastAsia="黑体"/>
          <w:sz w:val="32"/>
          <w:szCs w:val="32"/>
        </w:rPr>
        <w:t>存在的主要问题及改进情况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存在主要问题：一是政务信息公开力度有待进一步加大，二是政务信息公开的内容还不够全面。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下一步改进措施：一是大力开展宣传教育活动，增强群众对政务信息公开工作的认知度，二是更好地接受社会公众对信息公开情况的监督。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ascii="黑体" w:hAnsi="黑体" w:eastAsia="黑体"/>
          <w:sz w:val="32"/>
          <w:szCs w:val="32"/>
        </w:rPr>
        <w:t>其他需要报告的</w:t>
      </w:r>
      <w:r>
        <w:rPr>
          <w:rFonts w:hint="eastAsia" w:ascii="黑体" w:hAnsi="黑体" w:eastAsia="黑体"/>
          <w:sz w:val="32"/>
          <w:szCs w:val="32"/>
        </w:rPr>
        <w:t>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收取信息处理费的情况：本年度无发出收费通知，无收取信息处理费用。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韶关市武江区人民政府新华街道办事处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2022年1月19日</w:t>
      </w:r>
    </w:p>
    <w:p>
      <w:pPr>
        <w:rPr>
          <w:rFonts w:ascii="仿宋_GB2312" w:hAnsi="黑体" w:eastAsia="仿宋_GB2312"/>
          <w:sz w:val="32"/>
          <w:szCs w:val="32"/>
        </w:rPr>
      </w:pPr>
    </w:p>
    <w:sectPr>
      <w:headerReference r:id="rId5" w:type="default"/>
      <w:footerReference r:id="rId7" w:type="default"/>
      <w:headerReference r:id="rId6" w:type="even"/>
      <w:pgSz w:w="11906" w:h="16838"/>
      <w:pgMar w:top="1701" w:right="1474" w:bottom="1477" w:left="1588" w:header="0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20660"/>
    <w:multiLevelType w:val="multilevel"/>
    <w:tmpl w:val="4B7206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2E4F98"/>
    <w:rsid w:val="00312083"/>
    <w:rsid w:val="003150E2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7F2A2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02FF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02AB256F"/>
    <w:rsid w:val="0B7F0175"/>
    <w:rsid w:val="18B3665D"/>
    <w:rsid w:val="295703E0"/>
    <w:rsid w:val="3A1071BD"/>
    <w:rsid w:val="40F1696F"/>
    <w:rsid w:val="41862E33"/>
    <w:rsid w:val="42C24DB9"/>
    <w:rsid w:val="434537E6"/>
    <w:rsid w:val="4A0F6449"/>
    <w:rsid w:val="5E1E15D6"/>
    <w:rsid w:val="6B01111E"/>
    <w:rsid w:val="6BD35497"/>
    <w:rsid w:val="70761190"/>
    <w:rsid w:val="750F405C"/>
    <w:rsid w:val="7D406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174</Words>
  <Characters>1461</Characters>
  <Lines>8</Lines>
  <Paragraphs>2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Administrator</cp:lastModifiedBy>
  <dcterms:modified xsi:type="dcterms:W3CDTF">2022-03-23T08:16:00Z</dcterms:modified>
  <dc:title>武江区新华街道2020年政府信息公开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B9CCD4A2E6974341B33A0637DBAEB031</vt:lpwstr>
  </property>
</Properties>
</file>