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武江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区医保局内设机构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区医疗保障局设下列内设机构：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(一)办公室。负责文电、会务、保密、信访、财务、资产管理、党建、意识形态等机关日常运转工作。审核汇总全区职工基本医疗保险基金、城乡居民基本医疗保险基金、生育保险基金预决算草案。承担全区医疗保障相关数据的管理、统计分析及精算等工作,推进医疗保障标准化和信息化建设。草拟规范性文件,承担行政应诉等工作。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(二)待遇保障和医药管理股。贯彻落实医疗保障改革、医疗保障筹资和待遇政策措施,推进多层次医疗保障体系建设,统筹城乡医疗保障待遇标准。组织实施医疗保障目录、支付标准、医疗保障关系转移接续制度以及异地就医管理和费用结算工作,做好医保支付方式改革。组织实施医药机构医保协议和支付管理办法,指导全区医疗保障定点机构管理。建立健全定点医药服务评价体系和信息披露制度。监督管理纳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入区属医疗保障支付范围的医疗服务行为和医疗费用,规范医保经办业务, 协助上级依法查处区属医疗保障领域违法违规行为。</w:t>
      </w:r>
      <w:r>
        <w:rPr>
          <w:rFonts w:hint="eastAsia" w:ascii="仿宋" w:hAnsi="仿宋" w:eastAsia="仿宋" w:cs="宋体"/>
          <w:sz w:val="32"/>
          <w:szCs w:val="32"/>
        </w:rPr>
        <w:t>组织实施城乡居民医疗救助工作。</w:t>
      </w:r>
    </w:p>
    <w:p>
      <w:pPr>
        <w:ind w:firstLine="640" w:firstLineChars="2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三）医药采购和价格管理股。贯彻落实药品、医用耗材的招标采购，配送及结算管理政策措施并监督实施。指导、组织、监督全区药品、医用耗材的联合采购、配送和结算管理。组织开展药品、医用耗材、医疗技术的经济性评价。组织实施药品、医用耗材价格和医疗服务项目、医疗服务设施收费等政策措施，建立价格信息监测和信息发布制度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0219D"/>
    <w:rsid w:val="70406487"/>
    <w:rsid w:val="71F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曾伟虾</cp:lastModifiedBy>
  <dcterms:modified xsi:type="dcterms:W3CDTF">2021-07-26T09:06:43Z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