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442" w:hanging="442" w:hangingChars="100"/>
        <w:jc w:val="left"/>
        <w:rPr>
          <w:rFonts w:hint="eastAsia" w:cs="Arial" w:asciiTheme="minorEastAsia" w:hAnsiTheme="minorEastAsia"/>
          <w:b w:val="0"/>
          <w:bCs/>
          <w:color w:val="222222"/>
          <w:sz w:val="44"/>
          <w:szCs w:val="44"/>
          <w:shd w:val="clear" w:color="auto" w:fill="FFFFFF"/>
          <w:lang w:eastAsia="zh-CN"/>
        </w:rPr>
      </w:pPr>
      <w:r>
        <w:rPr>
          <w:rFonts w:hint="eastAsia" w:cs="Arial" w:asciiTheme="minorEastAsia" w:hAnsiTheme="minorEastAsia"/>
          <w:b/>
          <w:color w:val="222222"/>
          <w:sz w:val="44"/>
          <w:szCs w:val="44"/>
          <w:shd w:val="clear" w:color="auto" w:fill="FFFFFF"/>
          <w:lang w:val="en-US" w:eastAsia="zh-CN"/>
        </w:rPr>
        <w:t xml:space="preserve"> 改革攻坚规范治理</w:t>
      </w:r>
      <w:r>
        <w:rPr>
          <w:rFonts w:hint="eastAsia" w:ascii="微软雅黑" w:hAnsi="微软雅黑" w:eastAsia="微软雅黑" w:cs="微软雅黑"/>
          <w:b/>
          <w:color w:val="222222"/>
          <w:sz w:val="44"/>
          <w:szCs w:val="44"/>
          <w:shd w:val="clear" w:color="auto" w:fill="FFFFFF"/>
          <w:lang w:val="en-US" w:eastAsia="zh-CN"/>
        </w:rPr>
        <w:t>│</w:t>
      </w:r>
      <w:r>
        <w:rPr>
          <w:rFonts w:hint="eastAsia" w:cs="Arial" w:asciiTheme="minorEastAsia" w:hAnsiTheme="minorEastAsia"/>
          <w:b w:val="0"/>
          <w:bCs/>
          <w:color w:val="222222"/>
          <w:sz w:val="44"/>
          <w:szCs w:val="44"/>
          <w:shd w:val="clear" w:color="auto" w:fill="FFFFFF"/>
        </w:rPr>
        <w:t>区</w:t>
      </w:r>
      <w:r>
        <w:rPr>
          <w:rFonts w:hint="eastAsia" w:cs="Arial" w:asciiTheme="minorEastAsia" w:hAnsiTheme="minorEastAsia"/>
          <w:b w:val="0"/>
          <w:bCs/>
          <w:color w:val="222222"/>
          <w:sz w:val="44"/>
          <w:szCs w:val="44"/>
          <w:shd w:val="clear" w:color="auto" w:fill="FFFFFF"/>
          <w:lang w:eastAsia="zh-CN"/>
        </w:rPr>
        <w:t>人社</w:t>
      </w:r>
      <w:r>
        <w:rPr>
          <w:rFonts w:hint="eastAsia" w:cs="Arial" w:asciiTheme="minorEastAsia" w:hAnsiTheme="minorEastAsia"/>
          <w:b w:val="0"/>
          <w:bCs/>
          <w:color w:val="222222"/>
          <w:sz w:val="44"/>
          <w:szCs w:val="44"/>
          <w:shd w:val="clear" w:color="auto" w:fill="FFFFFF"/>
        </w:rPr>
        <w:t>局</w:t>
      </w:r>
      <w:r>
        <w:rPr>
          <w:rFonts w:hint="eastAsia" w:cs="Arial" w:asciiTheme="minorEastAsia" w:hAnsiTheme="minorEastAsia"/>
          <w:b w:val="0"/>
          <w:bCs/>
          <w:color w:val="222222"/>
          <w:sz w:val="44"/>
          <w:szCs w:val="44"/>
          <w:shd w:val="clear" w:color="auto" w:fill="FFFFFF"/>
          <w:lang w:eastAsia="zh-CN"/>
        </w:rPr>
        <w:t>抓小抓细根治欠薪问题</w:t>
      </w:r>
    </w:p>
    <w:p>
      <w:pPr>
        <w:adjustRightInd w:val="0"/>
        <w:snapToGrid w:val="0"/>
        <w:spacing w:line="600" w:lineRule="exact"/>
        <w:jc w:val="center"/>
        <w:rPr>
          <w:rFonts w:hint="eastAsia" w:cs="Arial" w:asciiTheme="minorEastAsia" w:hAnsiTheme="minorEastAsia"/>
          <w:b/>
          <w:color w:val="222222"/>
          <w:sz w:val="44"/>
          <w:szCs w:val="44"/>
          <w:shd w:val="clear" w:color="auto" w:fill="FFFFFF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为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有效防范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化解根治辖区用工企业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拖欠工资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问题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攻坚治理欠薪问题，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人社局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劳动监察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执法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大队从提高巡察检查覆盖面、严肃查处投诉案件入手，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抓小抓细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提升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能力根治欠薪问题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开展“全覆盖巡查行动”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加大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巡查力度，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尤其重点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辖区建筑企业开展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全覆盖巡查。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以在建项目落实用工实名制、工资分账管理、施工总承包单位代发工资等保障制度为主要检查内容，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做细巡查，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开展日常巡查和专项检查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深入施工现场实地检查制度落实情况，对发现的问题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及时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提出整改意见，切实维护建筑工地农民工的合法权益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堵截拖欠农民工工资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漏洞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Arial"/>
          <w:color w:val="222222"/>
          <w:sz w:val="21"/>
          <w:szCs w:val="21"/>
          <w:shd w:val="clear" w:color="auto" w:fill="FFFFFF"/>
        </w:rPr>
      </w:pPr>
      <w:r>
        <w:rPr>
          <w:rFonts w:ascii="仿宋" w:hAnsi="仿宋" w:eastAsia="仿宋" w:cs="Arial"/>
          <w:color w:val="222222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200025</wp:posOffset>
            </wp:positionV>
            <wp:extent cx="5238750" cy="3914775"/>
            <wp:effectExtent l="0" t="0" r="0" b="9525"/>
            <wp:wrapSquare wrapText="bothSides"/>
            <wp:docPr id="3" name="图片 3" descr="F:\2.工作照片\20220710巡查\7e566f227f615ddf01332ba97799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2.工作照片\20220710巡查\7e566f227f615ddf01332ba977995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7" t="239" r="179" b="477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color w:val="222222"/>
          <w:sz w:val="21"/>
          <w:szCs w:val="21"/>
          <w:shd w:val="clear" w:color="auto" w:fill="FFFFFF"/>
          <w:lang w:val="en-US" w:eastAsia="zh-CN"/>
        </w:rPr>
        <w:t>区人社局</w:t>
      </w:r>
      <w:r>
        <w:rPr>
          <w:rFonts w:hint="eastAsia" w:ascii="仿宋" w:hAnsi="仿宋" w:eastAsia="仿宋" w:cs="Arial"/>
          <w:color w:val="222222"/>
          <w:sz w:val="21"/>
          <w:szCs w:val="21"/>
          <w:shd w:val="clear" w:color="auto" w:fill="FFFFFF"/>
        </w:rPr>
        <w:t>劳动监察</w:t>
      </w:r>
      <w:r>
        <w:rPr>
          <w:rFonts w:hint="eastAsia" w:ascii="仿宋" w:hAnsi="仿宋" w:eastAsia="仿宋" w:cs="Arial"/>
          <w:color w:val="222222"/>
          <w:sz w:val="21"/>
          <w:szCs w:val="21"/>
          <w:shd w:val="clear" w:color="auto" w:fill="FFFFFF"/>
          <w:lang w:eastAsia="zh-CN"/>
        </w:rPr>
        <w:t>执法</w:t>
      </w:r>
      <w:r>
        <w:rPr>
          <w:rFonts w:hint="eastAsia" w:ascii="仿宋" w:hAnsi="仿宋" w:eastAsia="仿宋" w:cs="Arial"/>
          <w:color w:val="222222"/>
          <w:sz w:val="21"/>
          <w:szCs w:val="21"/>
          <w:shd w:val="clear" w:color="auto" w:fill="FFFFFF"/>
        </w:rPr>
        <w:t>大队</w:t>
      </w:r>
      <w:r>
        <w:rPr>
          <w:rFonts w:hint="eastAsia" w:ascii="仿宋" w:hAnsi="仿宋" w:eastAsia="仿宋" w:cs="Arial"/>
          <w:color w:val="222222"/>
          <w:sz w:val="21"/>
          <w:szCs w:val="21"/>
          <w:shd w:val="clear" w:color="auto" w:fill="FFFFFF"/>
          <w:lang w:eastAsia="zh-CN"/>
        </w:rPr>
        <w:t>到辖区建筑企业现场检查工资支付制度并</w:t>
      </w:r>
      <w:r>
        <w:rPr>
          <w:rFonts w:ascii="仿宋" w:hAnsi="仿宋" w:eastAsia="仿宋" w:cs="Arial"/>
          <w:color w:val="222222"/>
          <w:sz w:val="21"/>
          <w:szCs w:val="21"/>
          <w:shd w:val="clear" w:color="auto" w:fill="FFFFFF"/>
        </w:rPr>
        <w:t>提出整改意见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Arial"/>
          <w:color w:val="222222"/>
          <w:sz w:val="21"/>
          <w:szCs w:val="21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color w:val="222222"/>
          <w:sz w:val="32"/>
          <w:szCs w:val="32"/>
          <w:shd w:val="clear" w:color="auto" w:fill="FFFFFF"/>
        </w:rPr>
        <w:t>严肃查处投诉案</w:t>
      </w:r>
      <w:r>
        <w:rPr>
          <w:rFonts w:hint="eastAsia" w:ascii="仿宋" w:hAnsi="仿宋" w:eastAsia="仿宋" w:cs="Arial"/>
          <w:b/>
          <w:bCs/>
          <w:color w:val="22222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劳动监察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执法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大队对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查处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案件做到全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流程不脱节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从抓小入手，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采取谈话调查、实地走访、查阅资料、发函督办、责令改正、行政处罚等方式，督促用人单位履行工资支付义务，对拒不执行及无力支付的，全面收集整理相关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材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料，及时移送司法机关；对来人来访投诉案件和网络平台转办案件，及时建立案件台账，指派专人全程跟踪</w:t>
      </w:r>
      <w:r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  <w:t>办理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，明确办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结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期限，提升办案效能，全面保障农民工依法获取劳动报酬的权益。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Arial"/>
          <w:color w:val="222222"/>
          <w:sz w:val="24"/>
          <w:szCs w:val="24"/>
          <w:shd w:val="clear" w:color="auto" w:fill="FFFFFF"/>
          <w:lang w:eastAsia="zh-CN"/>
        </w:rPr>
      </w:pPr>
      <w:r>
        <w:rPr>
          <w:rFonts w:ascii="仿宋" w:hAnsi="仿宋" w:eastAsia="仿宋" w:cs="Arial"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8890</wp:posOffset>
            </wp:positionV>
            <wp:extent cx="5269230" cy="3951605"/>
            <wp:effectExtent l="0" t="0" r="7620" b="10795"/>
            <wp:wrapSquare wrapText="bothSides"/>
            <wp:docPr id="5" name="图片 5" descr="F:\2.工作照片\20220710巡查\b7faab46346576a6c9b0bb934e0f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2.工作照片\20220710巡查\b7faab46346576a6c9b0bb934e0f1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color w:val="222222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eastAsia" w:ascii="仿宋" w:hAnsi="仿宋" w:eastAsia="仿宋" w:cs="Arial"/>
          <w:color w:val="222222"/>
          <w:sz w:val="24"/>
          <w:szCs w:val="24"/>
          <w:shd w:val="clear" w:color="auto" w:fill="FFFFFF"/>
        </w:rPr>
        <w:t>劳动监察</w:t>
      </w:r>
      <w:r>
        <w:rPr>
          <w:rFonts w:hint="eastAsia" w:ascii="仿宋" w:hAnsi="仿宋" w:eastAsia="仿宋" w:cs="Arial"/>
          <w:color w:val="222222"/>
          <w:sz w:val="24"/>
          <w:szCs w:val="24"/>
          <w:shd w:val="clear" w:color="auto" w:fill="FFFFFF"/>
          <w:lang w:eastAsia="zh-CN"/>
        </w:rPr>
        <w:t>执法</w:t>
      </w:r>
      <w:r>
        <w:rPr>
          <w:rFonts w:hint="eastAsia" w:ascii="仿宋" w:hAnsi="仿宋" w:eastAsia="仿宋" w:cs="Arial"/>
          <w:color w:val="222222"/>
          <w:sz w:val="24"/>
          <w:szCs w:val="24"/>
          <w:shd w:val="clear" w:color="auto" w:fill="FFFFFF"/>
        </w:rPr>
        <w:t>大队</w:t>
      </w:r>
      <w:r>
        <w:rPr>
          <w:rFonts w:hint="eastAsia" w:ascii="仿宋" w:hAnsi="仿宋" w:eastAsia="仿宋" w:cs="Arial"/>
          <w:color w:val="222222"/>
          <w:sz w:val="24"/>
          <w:szCs w:val="24"/>
          <w:shd w:val="clear" w:color="auto" w:fill="FFFFFF"/>
          <w:lang w:eastAsia="zh-CN"/>
        </w:rPr>
        <w:t>到辖区建筑企业核查农民工工资发放情况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 w:cs="Arial"/>
          <w:color w:val="222222"/>
          <w:sz w:val="28"/>
          <w:szCs w:val="28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据统计，</w:t>
      </w:r>
      <w:r>
        <w:rPr>
          <w:rFonts w:ascii="仿宋_GB2312" w:hAnsi="仿宋_GB2312" w:eastAsia="仿宋_GB2312"/>
          <w:sz w:val="32"/>
          <w:szCs w:val="32"/>
        </w:rPr>
        <w:t>202</w:t>
      </w:r>
      <w:r>
        <w:rPr>
          <w:rFonts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1-8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武江区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共核处各类劳资纠纷1423宗，同比增长68%，其中工程类欠薪案件759宗，非工程类欠薪案件664宗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共为1247名工人讨回2351万元“血汗钱”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。同时，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发出《劳动保障监察询问通知书》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val="en-US" w:eastAsia="zh-CN"/>
        </w:rPr>
        <w:t>160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份，《劳动保障限期整改指令书》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份，作出行政处理决定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宗，作出行政处罚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宗，移交公安机关涉嫌拒不支付劳动报酬罪案件1起，列入欠薪“黑名单”企业1户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下一步，区人社局劳动监察执法大队将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持续加大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规范治理能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力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，发挥区治欠办成员单位合力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开展联合惩戒行动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，严厉打击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惩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处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欠薪行为，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切实维护劳动者合法权益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  <w:t>，为优化全区劳动力市场、营商环境提供法治保障。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ind w:firstLine="4160" w:firstLineChars="1300"/>
        <w:jc w:val="right"/>
        <w:rPr>
          <w:rFonts w:hint="default" w:ascii="仿宋" w:hAnsi="仿宋" w:eastAsia="仿宋" w:cs="Arial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区人社</w:t>
      </w:r>
      <w:bookmarkStart w:id="0" w:name="_GoBack"/>
      <w:bookmarkEnd w:id="0"/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Arial"/>
          <w:color w:val="222222"/>
          <w:sz w:val="32"/>
          <w:szCs w:val="32"/>
          <w:shd w:val="clear" w:color="auto" w:fill="FFFFFF"/>
          <w:lang w:val="en-US" w:eastAsia="zh-CN"/>
        </w:rPr>
        <w:t xml:space="preserve"> 王天然</w:t>
      </w:r>
    </w:p>
    <w:p>
      <w:pPr>
        <w:widowControl/>
        <w:jc w:val="left"/>
        <w:rPr>
          <w:rFonts w:ascii="仿宋" w:hAnsi="仿宋" w:eastAsia="仿宋" w:cs="Arial"/>
          <w:color w:val="22222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jEwN2NiNzZjY2M1ZjhjYzdmYmM0YzI1NzcyM2MifQ=="/>
  </w:docVars>
  <w:rsids>
    <w:rsidRoot w:val="003C4848"/>
    <w:rsid w:val="001657FB"/>
    <w:rsid w:val="00196A8C"/>
    <w:rsid w:val="001A73FC"/>
    <w:rsid w:val="001D1B19"/>
    <w:rsid w:val="002447F1"/>
    <w:rsid w:val="002A271D"/>
    <w:rsid w:val="002B3BE6"/>
    <w:rsid w:val="003C4848"/>
    <w:rsid w:val="00403E9B"/>
    <w:rsid w:val="00427369"/>
    <w:rsid w:val="004C4EAF"/>
    <w:rsid w:val="00585BC0"/>
    <w:rsid w:val="006015DB"/>
    <w:rsid w:val="0060765A"/>
    <w:rsid w:val="00665A96"/>
    <w:rsid w:val="0079748F"/>
    <w:rsid w:val="007E6032"/>
    <w:rsid w:val="00885CE0"/>
    <w:rsid w:val="008C7FB2"/>
    <w:rsid w:val="00945753"/>
    <w:rsid w:val="0098185C"/>
    <w:rsid w:val="009B7B4F"/>
    <w:rsid w:val="00A9090A"/>
    <w:rsid w:val="00B3466D"/>
    <w:rsid w:val="00C35A7B"/>
    <w:rsid w:val="00C94801"/>
    <w:rsid w:val="00CD25EE"/>
    <w:rsid w:val="00CD3A6C"/>
    <w:rsid w:val="00CF1946"/>
    <w:rsid w:val="00CF3139"/>
    <w:rsid w:val="00D10747"/>
    <w:rsid w:val="00DB531A"/>
    <w:rsid w:val="00DD6E53"/>
    <w:rsid w:val="00E274DD"/>
    <w:rsid w:val="00E5799D"/>
    <w:rsid w:val="00E700F4"/>
    <w:rsid w:val="00EE0227"/>
    <w:rsid w:val="00F531A6"/>
    <w:rsid w:val="00FA55D8"/>
    <w:rsid w:val="08510EF1"/>
    <w:rsid w:val="08901A19"/>
    <w:rsid w:val="11F64448"/>
    <w:rsid w:val="122356AC"/>
    <w:rsid w:val="17B123FA"/>
    <w:rsid w:val="1FB626EA"/>
    <w:rsid w:val="21090163"/>
    <w:rsid w:val="22112669"/>
    <w:rsid w:val="22F747DA"/>
    <w:rsid w:val="231560D9"/>
    <w:rsid w:val="2AD31A63"/>
    <w:rsid w:val="2C4F01C5"/>
    <w:rsid w:val="2E9C2616"/>
    <w:rsid w:val="31D10829"/>
    <w:rsid w:val="379817B5"/>
    <w:rsid w:val="3D670293"/>
    <w:rsid w:val="40A85D81"/>
    <w:rsid w:val="41F3548B"/>
    <w:rsid w:val="426B0921"/>
    <w:rsid w:val="47143C88"/>
    <w:rsid w:val="4EE3270D"/>
    <w:rsid w:val="4F696914"/>
    <w:rsid w:val="567B1415"/>
    <w:rsid w:val="61507F3F"/>
    <w:rsid w:val="66D24F99"/>
    <w:rsid w:val="71BA2F54"/>
    <w:rsid w:val="74F636CF"/>
    <w:rsid w:val="79963077"/>
    <w:rsid w:val="7A102AD6"/>
    <w:rsid w:val="7A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bjh-strong"/>
    <w:basedOn w:val="7"/>
    <w:qFormat/>
    <w:uiPriority w:val="0"/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780</Words>
  <Characters>804</Characters>
  <Lines>6</Lines>
  <Paragraphs>1</Paragraphs>
  <TotalTime>205</TotalTime>
  <ScaleCrop>false</ScaleCrop>
  <LinksUpToDate>false</LinksUpToDate>
  <CharactersWithSpaces>806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2022-08-04T07:38:00Z</dcterms:created>
  <dc:creator>admin</dc:creator>
  <cp:lastModifiedBy>Administrator</cp:lastModifiedBy>
  <dcterms:modified xsi:type="dcterms:W3CDTF">2022-08-23T03:14:30Z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4CBC951A006244968918B90DC5A97BFD</vt:lpwstr>
  </property>
</Properties>
</file>