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960" w:lineRule="exact"/>
        <w:ind w:left="-199" w:leftChars="-95" w:firstLine="198" w:firstLineChars="33"/>
        <w:jc w:val="both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pacing w:val="1"/>
          <w:w w:val="62"/>
          <w:kern w:val="0"/>
          <w:sz w:val="96"/>
          <w:szCs w:val="96"/>
          <w:fitText w:val="596" w:id="9308565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2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960" w:lineRule="exact"/>
        <w:ind w:left="-199" w:leftChars="-95" w:right="-313" w:rightChars="-149" w:firstLine="318" w:firstLineChars="33"/>
        <w:jc w:val="both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96"/>
          <w:szCs w:val="9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2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960" w:lineRule="exact"/>
        <w:ind w:left="-199" w:leftChars="-95" w:right="-313" w:rightChars="-149" w:firstLine="198" w:firstLineChars="33"/>
        <w:jc w:val="both"/>
        <w:textAlignment w:val="auto"/>
        <w:rPr>
          <w:rFonts w:hint="default" w:ascii="方正小标宋简体" w:hAnsi="仿宋" w:eastAsia="方正小标宋简体"/>
          <w:b/>
          <w:color w:val="FF0000"/>
          <w:w w:val="50"/>
          <w:sz w:val="56"/>
          <w:szCs w:val="5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pacing w:val="1"/>
          <w:w w:val="62"/>
          <w:kern w:val="0"/>
          <w:sz w:val="96"/>
          <w:szCs w:val="96"/>
          <w:fitText w:val="8960" w:id="2094746998"/>
          <w:lang w:val="en-US" w:eastAsia="zh-CN"/>
        </w:rPr>
        <w:t>韶</w:t>
      </w:r>
      <w:r>
        <w:rPr>
          <w:rFonts w:hint="eastAsia" w:asciiTheme="minorEastAsia" w:hAnsiTheme="minorEastAsia" w:eastAsiaTheme="minorEastAsia" w:cstheme="minorEastAsia"/>
          <w:b/>
          <w:bCs w:val="0"/>
          <w:color w:val="FF0000"/>
          <w:spacing w:val="1"/>
          <w:w w:val="62"/>
          <w:kern w:val="0"/>
          <w:sz w:val="96"/>
          <w:szCs w:val="96"/>
          <w:fitText w:val="8960" w:id="2094746998"/>
          <w:lang w:val="en-US" w:eastAsia="zh-CN"/>
        </w:rPr>
        <w:t>关市武江区江湾镇人民政府文</w:t>
      </w:r>
      <w:r>
        <w:rPr>
          <w:rFonts w:hint="eastAsia" w:asciiTheme="minorEastAsia" w:hAnsiTheme="minorEastAsia" w:eastAsiaTheme="minorEastAsia" w:cstheme="minorEastAsia"/>
          <w:b/>
          <w:bCs w:val="0"/>
          <w:color w:val="FF0000"/>
          <w:spacing w:val="-5"/>
          <w:w w:val="62"/>
          <w:kern w:val="0"/>
          <w:sz w:val="96"/>
          <w:szCs w:val="96"/>
          <w:fitText w:val="8960" w:id="2094746998"/>
          <w:lang w:val="en-US" w:eastAsia="zh-CN"/>
        </w:rPr>
        <w:t>件</w:t>
      </w:r>
    </w:p>
    <w:p>
      <w:pPr>
        <w:keepNext w:val="0"/>
        <w:keepLines w:val="0"/>
        <w:pageBreakBefore w:val="0"/>
        <w:widowControl w:val="0"/>
        <w:tabs>
          <w:tab w:val="left" w:pos="52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both"/>
        <w:textAlignment w:val="auto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2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2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2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hint="default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江府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〔2018〕13号</w:t>
      </w:r>
    </w:p>
    <w:p>
      <w:pPr>
        <w:tabs>
          <w:tab w:val="left" w:pos="5250"/>
        </w:tabs>
        <w:adjustRightInd w:val="0"/>
        <w:snapToGri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-180340</wp:posOffset>
                </wp:positionH>
                <wp:positionV relativeFrom="paragraph">
                  <wp:posOffset>16510</wp:posOffset>
                </wp:positionV>
                <wp:extent cx="6276975" cy="0"/>
                <wp:effectExtent l="0" t="13970" r="9525" b="2413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08660" y="2683510"/>
                          <a:ext cx="62769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4.2pt;margin-top:1.3pt;height:0pt;width:494.25pt;z-index:251659264;mso-width-relative:page;mso-height-relative:page;" filled="f" stroked="t" coordsize="21600,21600" o:gfxdata="UEsDBAoAAAAAAIdO4kAAAAAAAAAAAAAAAAAEAAAAZHJzL1BLAwQUAAAACACHTuJA1vwoAdkAAAAJ&#10;AQAADwAAAGRycy9kb3ducmV2LnhtbE2PwUrDQBCG74LvsIzgRdpNgoQ2zaag0EMPorYVPG6z0yS6&#10;Oxuy2zS+vSMe9DgzP998f7menBUjDqHzpCCdJyCQam86ahQc9pvZAkSImoy2nlDBFwZYV9dXpS6M&#10;v9ArjrvYCIZQKLSCNsa+kDLULTod5r5H4tvJD05HHodGmkFfGO6szJIkl053xB9a3eNji/Xn7uwU&#10;ZHb5sn162N/h2+Z96rYfz3SQo1K3N2myAhFxin9h+NFndajY6ejPZIKwCmbZ4p6jDMtzEBxY5kkK&#10;4vi7kFUp/zeovgFQSwMEFAAAAAgAh07iQHB8QHH0AQAAvQMAAA4AAABkcnMvZTJvRG9jLnhtbK1T&#10;TY7TMBTeI3EHy3uatEzTEDWdxVRlg6AScADXcRJL/pOfp2kvwQWQ2MGKJXtuM8MxeHYyMzBsZkEW&#10;ju333vf5+/y8vjxpRY7Cg7SmpvNZTokw3DbSdDX9+GH3oqQEAjMNU9aImp4F0MvN82frwVViYXur&#10;GuEJghioBlfTPgRXZRnwXmgGM+uEwWBrvWYBl77LGs8GRNcqW+R5kQ3WN85bLgBwdzsG6YTonwJo&#10;21ZysbX8WgsTRlQvFAsoCXrpgG7SadtW8PCubUEEomqKSkMakQTnhzhmmzWrOs9cL/l0BPaUIzzS&#10;pJk0SHoPtWWBkWsv/4HSknsLtg0zbnU2CkmOoIp5/sib9z1zImlBq8Hdmw7/D5a/Pe49kU1NLygx&#10;TOOF337+cfPp66+fX3C8/f6NXESTBgcV5l6ZvZ9W4PY+Kj61Xsc/aiGnmq7ysijQ3XNNF0X5cjmf&#10;PBanQDjGi8WqeLVaUsIxI8WyBwznIbwWVpM4qamSJspnFTu+gYC8mHqXEreN3Uml0hUqQwZkLJcJ&#10;mmFfttgPyKIdagPTUcJUhw3Pg0+QYJVsYnkEAt8drpQnR4Ztstvl+EXRSPdXWuTeMujHvBQaG0jL&#10;gG9CSV3TMhbfVSuDING60aw4O9jmnDxM+3iriWbqwNg2f65T9cOr2/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1vwoAdkAAAAJAQAADwAAAAAAAAABACAAAAAiAAAAZHJzL2Rvd25yZXYueG1sUEsB&#10;AhQAFAAAAAgAh07iQHB8QHH0AQAAvQMAAA4AAAAAAAAAAQAgAAAAKAEAAGRycy9lMm9Eb2MueG1s&#10;UEsFBgAAAAAGAAYAWQEAAI4FAAAAAA==&#10;">
                <v:fill on="f" focussize="0,0"/>
                <v:stroke weight="2.25pt" color="#FF0000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250"/>
        </w:tabs>
        <w:adjustRightInd w:val="0"/>
        <w:snapToGrid w:val="0"/>
        <w:spacing w:line="600" w:lineRule="exact"/>
        <w:ind w:left="-199" w:leftChars="-95" w:firstLine="181" w:firstLineChars="45"/>
        <w:jc w:val="center"/>
        <w:rPr>
          <w:rFonts w:hint="eastAsia" w:asciiTheme="majorEastAsia" w:hAnsiTheme="majorEastAsia" w:eastAsiaTheme="majorEastAsia" w:cstheme="majorEastAsia"/>
          <w:b/>
          <w:bCs w:val="0"/>
          <w:sz w:val="40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0"/>
          <w:szCs w:val="40"/>
        </w:rPr>
        <w:t>关于印发《</w:t>
      </w:r>
      <w:r>
        <w:rPr>
          <w:rFonts w:hint="eastAsia" w:asciiTheme="majorEastAsia" w:hAnsiTheme="majorEastAsia" w:eastAsiaTheme="majorEastAsia" w:cstheme="majorEastAsia"/>
          <w:b/>
          <w:bCs w:val="0"/>
          <w:sz w:val="40"/>
          <w:szCs w:val="40"/>
          <w:lang w:eastAsia="zh-CN"/>
        </w:rPr>
        <w:t>江湾镇人民政府财务管理制度</w:t>
      </w:r>
      <w:r>
        <w:rPr>
          <w:rFonts w:hint="eastAsia" w:asciiTheme="majorEastAsia" w:hAnsiTheme="majorEastAsia" w:eastAsiaTheme="majorEastAsia" w:cstheme="majorEastAsia"/>
          <w:b/>
          <w:bCs w:val="0"/>
          <w:sz w:val="40"/>
          <w:szCs w:val="40"/>
        </w:rPr>
        <w:t>》的通知</w:t>
      </w:r>
    </w:p>
    <w:p>
      <w:pPr>
        <w:tabs>
          <w:tab w:val="left" w:pos="5250"/>
        </w:tabs>
        <w:adjustRightInd w:val="0"/>
        <w:snapToGrid w:val="0"/>
        <w:spacing w:line="600" w:lineRule="exact"/>
        <w:rPr>
          <w:rFonts w:hint="eastAsia" w:ascii="仿宋" w:hAnsi="仿宋" w:eastAsia="仿宋"/>
          <w:szCs w:val="32"/>
        </w:rPr>
      </w:pPr>
    </w:p>
    <w:p>
      <w:pPr>
        <w:tabs>
          <w:tab w:val="left" w:pos="5250"/>
        </w:tabs>
        <w:adjustRightInd w:val="0"/>
        <w:snapToGrid w:val="0"/>
        <w:spacing w:line="600" w:lineRule="exac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各办公</w:t>
      </w:r>
      <w:r>
        <w:rPr>
          <w:rFonts w:hint="eastAsia" w:ascii="仿宋" w:hAnsi="仿宋" w:eastAsia="仿宋"/>
          <w:color w:val="000000"/>
          <w:sz w:val="32"/>
          <w:szCs w:val="32"/>
        </w:rPr>
        <w:t>室及下属单位</w:t>
      </w:r>
      <w:r>
        <w:rPr>
          <w:rFonts w:hint="eastAsia" w:ascii="仿宋" w:hAnsi="仿宋" w:eastAsia="仿宋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52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经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Times New Roman"/>
          <w:sz w:val="32"/>
          <w:szCs w:val="32"/>
        </w:rPr>
        <w:t>领导同意，现将《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江湾镇人民政府财务管理制度</w:t>
      </w:r>
      <w:r>
        <w:rPr>
          <w:rFonts w:hint="eastAsia" w:ascii="仿宋" w:hAnsi="仿宋" w:eastAsia="仿宋" w:cs="Times New Roman"/>
          <w:sz w:val="32"/>
          <w:szCs w:val="32"/>
        </w:rPr>
        <w:t>》印发给你们，请遵照执行。</w:t>
      </w:r>
    </w:p>
    <w:p>
      <w:pPr>
        <w:snapToGrid w:val="0"/>
        <w:spacing w:line="600" w:lineRule="exact"/>
        <w:rPr>
          <w:rFonts w:hint="eastAsia" w:ascii="仿宋" w:hAnsi="仿宋" w:eastAsia="仿宋"/>
          <w:szCs w:val="32"/>
        </w:rPr>
      </w:pPr>
      <w:bookmarkStart w:id="0" w:name="_GoBack"/>
      <w:bookmarkEnd w:id="0"/>
    </w:p>
    <w:p>
      <w:pPr>
        <w:snapToGrid w:val="0"/>
        <w:spacing w:line="600" w:lineRule="exact"/>
        <w:rPr>
          <w:rFonts w:hint="eastAsia" w:ascii="仿宋" w:hAnsi="仿宋" w:eastAsia="仿宋" w:cs="Times New Roman"/>
          <w:sz w:val="32"/>
          <w:szCs w:val="32"/>
        </w:rPr>
      </w:pPr>
    </w:p>
    <w:p>
      <w:pPr>
        <w:snapToGrid w:val="0"/>
        <w:spacing w:line="600" w:lineRule="exact"/>
        <w:ind w:firstLine="480"/>
        <w:jc w:val="right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   韶关市武江区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江湾镇人民政府</w:t>
      </w:r>
    </w:p>
    <w:p>
      <w:pPr>
        <w:snapToGrid w:val="0"/>
        <w:spacing w:line="600" w:lineRule="exact"/>
        <w:ind w:firstLine="480"/>
        <w:jc w:val="righ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            201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月20日</w:t>
      </w:r>
    </w:p>
    <w:p/>
    <w:p/>
    <w:p/>
    <w:p/>
    <w:p/>
    <w:p/>
    <w:p/>
    <w:p/>
    <w:p/>
    <w:p/>
    <w:p/>
    <w:p/>
    <w:p>
      <w:pPr>
        <w:snapToGrid w:val="0"/>
        <w:spacing w:line="600" w:lineRule="exact"/>
        <w:jc w:val="center"/>
        <w:rPr>
          <w:rFonts w:hint="eastAsia" w:ascii="方正小标宋简体" w:hAnsi="仿宋" w:eastAsia="方正小标宋简体"/>
          <w:b/>
          <w:color w:val="000000"/>
          <w:sz w:val="44"/>
          <w:szCs w:val="44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="方正小标宋简体" w:hAnsi="仿宋" w:eastAsia="方正小标宋简体"/>
          <w:b/>
          <w:color w:val="000000"/>
          <w:sz w:val="44"/>
          <w:szCs w:val="44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="方正小标宋简体" w:hAnsi="仿宋" w:eastAsia="方正小标宋简体"/>
          <w:b/>
          <w:color w:val="000000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/>
          <w:b/>
          <w:color w:val="000000"/>
          <w:sz w:val="44"/>
          <w:szCs w:val="44"/>
          <w:lang w:eastAsia="zh-CN"/>
        </w:rPr>
        <w:t>江湾镇人民政府财务管理制度</w:t>
      </w:r>
    </w:p>
    <w:p>
      <w:pPr>
        <w:snapToGrid w:val="0"/>
        <w:spacing w:line="600" w:lineRule="exact"/>
        <w:jc w:val="center"/>
        <w:rPr>
          <w:rFonts w:hint="eastAsia" w:ascii="方正小标宋简体" w:hAnsi="仿宋" w:eastAsia="方正小标宋简体"/>
          <w:b/>
          <w:color w:val="00000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2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为了进一步加强政府财务管理，推进财务管理制度化和规范化建设，提高政府资金使用效益，杜绝铺张浪费情况的发生，根据财经制度及相关规定，结合我镇实际，经镇党委、政府研究决定，制定如下财务管理制度：</w:t>
      </w:r>
    </w:p>
    <w:p>
      <w:pPr>
        <w:snapToGrid w:val="0"/>
        <w:spacing w:line="600" w:lineRule="exact"/>
        <w:jc w:val="center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第一章   预、决算管理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第一条 镇财政应按照全面推行综合预算的要求编制年度财政预算。镇单位预算收入的编制：遵循所有经常性收入纳入预算的原则。将各单位的行政事业性收费收入、罚没收入、其他预算收入、财政补助收入纳入预算收入管理。镇单位预算支出的编制：遵循以收定支，轻重缓急，综合平衡的原则。按照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人员</w:t>
      </w:r>
      <w:r>
        <w:rPr>
          <w:rFonts w:hint="eastAsia" w:ascii="仿宋" w:hAnsi="仿宋" w:eastAsia="仿宋"/>
          <w:color w:val="000000"/>
          <w:sz w:val="32"/>
          <w:szCs w:val="32"/>
        </w:rPr>
        <w:t>经费、公用经费、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项目</w:t>
      </w:r>
      <w:r>
        <w:rPr>
          <w:rFonts w:hint="eastAsia" w:ascii="仿宋" w:hAnsi="仿宋" w:eastAsia="仿宋"/>
          <w:color w:val="000000"/>
          <w:sz w:val="32"/>
          <w:szCs w:val="32"/>
        </w:rPr>
        <w:t>经费的顺序安排支出预算。预算编制草案，报经镇政府审核和镇人民代表大会审议通过，然后以政府名义行文下达执行。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第二条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预算执行：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/>
          <w:color w:val="000000"/>
          <w:sz w:val="32"/>
          <w:szCs w:val="32"/>
        </w:rPr>
        <w:t>收入征管部门必须依照法律、行政法的规定，及时、足额征收预算内外收入。任何部门都不得以任何形式擅自减征、免征、缓征或截留、占用、挪用应征收入。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/>
          <w:color w:val="000000"/>
          <w:sz w:val="32"/>
          <w:szCs w:val="32"/>
        </w:rPr>
        <w:t>严格按照预算计划，按进度、按程序拨款，不得办理无预算、无用款计划、超预算、超计划的拨款。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/>
          <w:color w:val="000000"/>
          <w:sz w:val="32"/>
          <w:szCs w:val="32"/>
        </w:rPr>
        <w:t>对本级财政预算安排的专项资金和上级追加专项资金，做到专款专用，不得随意更改用途，更改计划。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第三条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决算遵循按预算计划或调整计划的原则。决算要求：年度终了时，应及时清理全年收入、支出数字的往来款项，做好决算数字的对帐工作。决算各项数字必须真实、准确，不得以估计数字替代，不得弄虚作假。</w:t>
      </w:r>
    </w:p>
    <w:p>
      <w:pPr>
        <w:snapToGrid w:val="0"/>
        <w:spacing w:line="600" w:lineRule="exact"/>
        <w:jc w:val="center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第二章  收入管理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第四条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各项收入必须统一管理，统一核算。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第五条 各项收入的取得，应当符合国家规定，及时入账，并按照财务管理的要求如实核算。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第六条 经费实行统一管理，各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办公室</w:t>
      </w:r>
      <w:r>
        <w:rPr>
          <w:rFonts w:hint="eastAsia" w:ascii="仿宋" w:hAnsi="仿宋" w:eastAsia="仿宋"/>
          <w:color w:val="000000"/>
          <w:sz w:val="32"/>
          <w:szCs w:val="32"/>
        </w:rPr>
        <w:t>涉及经济业务时，报经领导批准，由财务会计统一办理相关业务。原则上当日取得的收入当日存入镇政府银行账户，做到先收后支，实行收支“两条线”，严禁“坐收坐支”和挪用各项收入款，违反收入管理规定的有关责任人，按国家法律、法规进行处理，情节严重移送司法机关处理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</w:p>
    <w:p>
      <w:pPr>
        <w:snapToGrid w:val="0"/>
        <w:spacing w:line="600" w:lineRule="exact"/>
        <w:jc w:val="center"/>
        <w:rPr>
          <w:rFonts w:hint="eastAsia" w:ascii="黑体" w:hAns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第三章</w:t>
      </w:r>
      <w:r>
        <w:rPr>
          <w:rFonts w:hint="default" w:ascii="黑体" w:hAnsi="黑体" w:eastAsia="黑体"/>
          <w:color w:val="000000"/>
          <w:sz w:val="32"/>
          <w:szCs w:val="32"/>
        </w:rPr>
        <w:t>  支出管理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第七条 各项支出由镇财政实行集中统一管理，统一核算。镇财务会计根据全年预算，合理安排各项支出，做到先收后支。对专项资金要做到专款专用，以保障专项项目的正常运转。对大型建设项目，应由审计部门进行工程预、决算的审计，以保证资金的安全性和资金的有效、合理、合规、合法的使用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第八条 坚持“一支笔”审批制度，严格财务报销制度，各项支出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必须经分管领导以及</w:t>
      </w:r>
      <w:r>
        <w:rPr>
          <w:rFonts w:hint="eastAsia" w:ascii="仿宋" w:hAnsi="仿宋" w:eastAsia="仿宋"/>
          <w:color w:val="000000"/>
          <w:sz w:val="32"/>
          <w:szCs w:val="32"/>
        </w:rPr>
        <w:t>镇长签字列支。重大支出款项由党政班子成员集体研究决定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。所有开支票据原则上在7个工作日内办结。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第九条 支出审批程序。经办人员保证支出票据的真实、合法、有效，与支出相关的合同、凭据、附件等要收集齐备，在票据上写清楚支出事由并签字，由办公室主任或分管领导审核签字，镇长审批签字把关；财政所所长、单位会计和报账员审核票据的有效性，单位会计、报账员办理支出业务时应仔细审查票据相关要素是否齐备，必要时可要求经办人员完善手续再行办理；各类支出原则上都办理银行转账手续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第十条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公务用车</w:t>
      </w:r>
      <w:r>
        <w:rPr>
          <w:rFonts w:hint="eastAsia" w:ascii="仿宋" w:hAnsi="仿宋" w:eastAsia="仿宋"/>
          <w:color w:val="000000"/>
          <w:sz w:val="32"/>
          <w:szCs w:val="32"/>
        </w:rPr>
        <w:t>管理。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单位车辆由党政办统一管理。车辆加油，由党政办专人管理，各专职司机具体负责。车辆维修保养，由专职司机提出申请，党政办审查，分管领导审批，镇长签批后，到指定定点机构维修保养。禁止个人未经请示和审批擅自送修车辆。各办公室使用单位车辆需向党政办领取派车单，用车人和用车办公室负责人签字后，党政办指定专职司机用车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第十一条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公务接待</w:t>
      </w:r>
      <w:r>
        <w:rPr>
          <w:rFonts w:hint="eastAsia" w:ascii="仿宋" w:hAnsi="仿宋" w:eastAsia="仿宋"/>
          <w:color w:val="000000"/>
          <w:sz w:val="32"/>
          <w:szCs w:val="32"/>
        </w:rPr>
        <w:t>费管理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。公务接待</w:t>
      </w:r>
      <w:r>
        <w:rPr>
          <w:rFonts w:hint="eastAsia" w:ascii="仿宋" w:hAnsi="仿宋" w:eastAsia="仿宋"/>
          <w:color w:val="000000"/>
          <w:sz w:val="32"/>
          <w:szCs w:val="32"/>
        </w:rPr>
        <w:t>实行统一对口接待，及时到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党政办</w:t>
      </w:r>
      <w:r>
        <w:rPr>
          <w:rFonts w:hint="eastAsia" w:ascii="仿宋" w:hAnsi="仿宋" w:eastAsia="仿宋"/>
          <w:color w:val="000000"/>
          <w:sz w:val="32"/>
          <w:szCs w:val="32"/>
        </w:rPr>
        <w:t>领取填写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工作用餐审批表或公务接待用餐审批表</w:t>
      </w:r>
      <w:r>
        <w:rPr>
          <w:rFonts w:hint="eastAsia"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工作用餐</w:t>
      </w:r>
      <w:r>
        <w:rPr>
          <w:rFonts w:hint="eastAsia" w:ascii="仿宋" w:hAnsi="仿宋" w:eastAsia="仿宋"/>
          <w:color w:val="000000"/>
          <w:sz w:val="32"/>
          <w:szCs w:val="32"/>
        </w:rPr>
        <w:t>按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/>
          <w:color w:val="000000"/>
          <w:sz w:val="32"/>
          <w:szCs w:val="32"/>
        </w:rPr>
        <w:t>元/人标准安排就餐，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公务接待用餐按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60元/人标准安排就餐</w:t>
      </w:r>
      <w:r>
        <w:rPr>
          <w:rFonts w:hint="eastAsia" w:ascii="仿宋" w:hAnsi="仿宋" w:eastAsia="仿宋"/>
          <w:color w:val="000000"/>
          <w:sz w:val="32"/>
          <w:szCs w:val="32"/>
        </w:rPr>
        <w:t>；公务接待必须严格控制用餐标准和陪客人数，同一公务事项仅限接待1次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000000"/>
          <w:sz w:val="32"/>
          <w:szCs w:val="32"/>
        </w:rPr>
        <w:t>来客禁止用烟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用</w:t>
      </w:r>
      <w:r>
        <w:rPr>
          <w:rFonts w:hint="eastAsia" w:ascii="仿宋" w:hAnsi="仿宋" w:eastAsia="仿宋"/>
          <w:color w:val="000000"/>
          <w:sz w:val="32"/>
          <w:szCs w:val="32"/>
        </w:rPr>
        <w:t>酒。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第十二条 会议费、差旅费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培训费的管理。严格实行会议费、差旅费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培训（外出学习考察）费预算管理，严格执行相关规定和标准，采取“先审批后支出”方式，报账时必须附齐原始票据和公务出差审批单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会议、培训、外出学习考察相关方案等附件资料（会议、培训的方案、通知、签到表等）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第十三条 公务卡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报销管理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干部</w:t>
      </w:r>
      <w:r>
        <w:rPr>
          <w:rFonts w:hint="eastAsia" w:ascii="仿宋" w:hAnsi="仿宋" w:eastAsia="仿宋"/>
          <w:color w:val="000000"/>
          <w:sz w:val="32"/>
          <w:szCs w:val="32"/>
        </w:rPr>
        <w:t>按规定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统一办理</w:t>
      </w:r>
      <w:r>
        <w:rPr>
          <w:rFonts w:hint="eastAsia" w:ascii="仿宋" w:hAnsi="仿宋" w:eastAsia="仿宋"/>
          <w:color w:val="000000"/>
          <w:sz w:val="32"/>
          <w:szCs w:val="32"/>
        </w:rPr>
        <w:t>办理公务卡。公务接待费、住宿费、差旅费、会议费等纳入公务卡强制结算目录的公务消费支出刷卡支付，原则上不再使用现金。因公务活动的需要，使用公务卡刷卡消费必须取得相应发票和POS凭证（交易凭证）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（二）公务卡</w:t>
      </w:r>
      <w:r>
        <w:rPr>
          <w:rFonts w:hint="eastAsia" w:ascii="仿宋" w:hAnsi="仿宋" w:eastAsia="仿宋"/>
          <w:color w:val="000000"/>
          <w:sz w:val="32"/>
          <w:szCs w:val="32"/>
        </w:rPr>
        <w:t>报销程序：在财务办理报销的票据、原始凭证，必须注明经办人、经办事由，由各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办公室</w:t>
      </w:r>
      <w:r>
        <w:rPr>
          <w:rFonts w:hint="eastAsia" w:ascii="仿宋" w:hAnsi="仿宋" w:eastAsia="仿宋"/>
          <w:color w:val="000000"/>
          <w:sz w:val="32"/>
          <w:szCs w:val="32"/>
        </w:rPr>
        <w:t>负责人、分管领导签字据实，主管领导签字审批后，方可报销。报销时限：所有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报销</w:t>
      </w:r>
      <w:r>
        <w:rPr>
          <w:rFonts w:hint="eastAsia" w:ascii="仿宋" w:hAnsi="仿宋" w:eastAsia="仿宋"/>
          <w:color w:val="000000"/>
          <w:sz w:val="32"/>
          <w:szCs w:val="32"/>
        </w:rPr>
        <w:t>票据原则上在7个工作日内办结。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/>
          <w:color w:val="000000"/>
          <w:sz w:val="32"/>
          <w:szCs w:val="32"/>
        </w:rPr>
        <w:t>持卡人必须按照公务卡的有关规定使用和按期偿还公务卡，出现公务卡逾期等问题由持卡人自己负责。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第十四条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办公用品的管理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/>
          <w:color w:val="000000"/>
          <w:sz w:val="32"/>
          <w:szCs w:val="32"/>
        </w:rPr>
        <w:t>所有办公用品添置，一律实行集中采购制度，且按相关政策规范采购程序。工作人员按需统一到党政办公室申报汇总，分管领导签字，经书记、镇长批准，由党政办公室统一办理采购。未经批准，擅自购买的，一律不予报销。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党政办</w:t>
      </w:r>
      <w:r>
        <w:rPr>
          <w:rFonts w:hint="eastAsia" w:ascii="仿宋" w:hAnsi="仿宋" w:eastAsia="仿宋"/>
          <w:color w:val="000000"/>
          <w:sz w:val="32"/>
          <w:szCs w:val="32"/>
        </w:rPr>
        <w:t>负责物品登记管理及领用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（二）加强固定</w:t>
      </w:r>
      <w:r>
        <w:rPr>
          <w:rFonts w:hint="eastAsia" w:ascii="仿宋" w:hAnsi="仿宋" w:eastAsia="仿宋"/>
          <w:color w:val="000000"/>
          <w:sz w:val="32"/>
          <w:szCs w:val="32"/>
        </w:rPr>
        <w:t>资产的管理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政府采购</w:t>
      </w:r>
      <w:r>
        <w:rPr>
          <w:rFonts w:hint="eastAsia" w:ascii="仿宋" w:hAnsi="仿宋" w:eastAsia="仿宋"/>
          <w:color w:val="000000"/>
          <w:sz w:val="32"/>
          <w:szCs w:val="32"/>
        </w:rPr>
        <w:t>镇属的固定资产，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由财政所统一对固定资产进行明细登记，并完成每年的固定资产年报上报工作</w:t>
      </w:r>
      <w:r>
        <w:rPr>
          <w:rFonts w:hint="eastAsia" w:ascii="仿宋" w:hAnsi="仿宋" w:eastAsia="仿宋"/>
          <w:color w:val="000000"/>
          <w:sz w:val="32"/>
          <w:szCs w:val="32"/>
        </w:rPr>
        <w:t>。各办公室负责人保管使用，如有丢失、损坏等造成的损失由保管人负责赔偿，镇党政办负责执行。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第十五条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专项资金的管理。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（一）凡上级下拨给我镇的各项专项资金，由对口经办人员或办公室负责完成工作项目并掌握资金的使用，协助财政所管理好专项资金；在项目实施中涉及资金往来的有关资料，请经办人按照资金申请支付要求整理完整交财政所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（二）凡上级下拨给我镇的各项专项资金，财政所必须单独设立专项资金科目，做到专款专用。在下拨前相关部门必须填写专项资金拨付申请表，由部门负责人和分管领导签字，经镇长审批，报财政所方可拨付，严禁专款移作它用。</w:t>
      </w:r>
    </w:p>
    <w:p>
      <w:pPr>
        <w:snapToGrid w:val="0"/>
        <w:spacing w:line="600" w:lineRule="exact"/>
        <w:jc w:val="center"/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第四章 档案管理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第十六条 乡镇财政所应建立专门的档案室，指定专人负责档案管理工作。档案管理按照《会计档案管理办法》和《财政档案管理制度》执行。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会计档案的借阅：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1.会计档案原则上不得外借。如有特殊需要，须经负责人或会计负责人(会计主管)批准方可借阅。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2.外部门借阅会计档案时，借阅人应持有所属单位正式介绍信，经被借阅单位会计主管人员和公司负责人批准后，方可办理借阅手续。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3.财政所应建立借阅登记清册，所有借阅人应认真填写档案借阅登记簿，将借阅人姓名、单位、日期、数量、内容、归期等情况登记清楚。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4.借阅会计档案人员不得在案卷中乱画、标记，不得拆散原卷册，也不得涂改抽换、携带外出或复制原件。如有特殊情况，须经本单位领导和财务主管批准后方能携带外出或复制原件。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5.借出的会计档案，会计档案管理人员要按期如数收回，并办理注销借阅手续。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6.所有内外部会计档案借阅，一律须被借阅单位财务部档案管理员全程陪同，借阅地点仅限本单位档案室或办公室。</w:t>
      </w:r>
    </w:p>
    <w:p>
      <w:pPr>
        <w:snapToGrid w:val="0"/>
        <w:spacing w:line="600" w:lineRule="exact"/>
        <w:jc w:val="center"/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第五章 附则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第十七条 本制度由江湾镇人民政府负责解释和修订。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第十八条 本制度自印发之日起实施</w:t>
      </w:r>
    </w:p>
    <w:p>
      <w:pPr>
        <w:snapToGrid w:val="0"/>
        <w:spacing w:line="600" w:lineRule="exact"/>
        <w:ind w:firstLine="64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486" w:bottom="1440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84B7F"/>
    <w:rsid w:val="0A884B7F"/>
    <w:rsid w:val="275713EC"/>
    <w:rsid w:val="34FC1FE8"/>
    <w:rsid w:val="7874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2021-03-02T02:04:00Z</dcterms:created>
  <dc:creator>墨隐1406995808</dc:creator>
  <cp:lastModifiedBy>阿封</cp:lastModifiedBy>
  <cp:lastPrinted>2021-03-02T07:49:00Z</cp:lastPrinted>
  <dcterms:modified xsi:type="dcterms:W3CDTF">2022-03-01T08:26:42Z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4CF961FBF9F748749AA50F4E2701E5FD</vt:lpwstr>
  </property>
</Properties>
</file>