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Lines="0" w:afterLines="0"/>
        <w:jc w:val="center"/>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202</w:t>
      </w:r>
      <w:r>
        <w:rPr>
          <w:rFonts w:hint="eastAsia" w:ascii="方正小标宋简体" w:hAnsi="方正小标宋简体" w:eastAsia="方正小标宋简体" w:cs="方正小标宋简体"/>
          <w:sz w:val="44"/>
          <w:lang w:val="en-US" w:eastAsia="zh-CN"/>
        </w:rPr>
        <w:t>1</w:t>
      </w:r>
      <w:r>
        <w:rPr>
          <w:rFonts w:hint="eastAsia" w:ascii="方正小标宋简体" w:hAnsi="方正小标宋简体" w:eastAsia="方正小标宋简体" w:cs="方正小标宋简体"/>
          <w:sz w:val="44"/>
        </w:rPr>
        <w:t>年度涉农资金绩效</w:t>
      </w:r>
      <w:r>
        <w:rPr>
          <w:rFonts w:hint="eastAsia" w:ascii="方正小标宋简体" w:hAnsi="方正小标宋简体" w:eastAsia="方正小标宋简体" w:cs="方正小标宋简体"/>
          <w:sz w:val="44"/>
          <w:lang w:eastAsia="zh-CN"/>
        </w:rPr>
        <w:t>自评总结报告</w:t>
      </w:r>
    </w:p>
    <w:p>
      <w:pPr>
        <w:spacing w:beforeLines="0" w:afterLine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2021年韶关市武江区水稻温室育秧机械化生产建设项目</w:t>
      </w:r>
      <w:r>
        <w:rPr>
          <w:rFonts w:hint="eastAsia" w:ascii="仿宋_GB2312" w:hAnsi="仿宋_GB2312" w:eastAsia="仿宋_GB2312" w:cs="仿宋_GB2312"/>
          <w:sz w:val="32"/>
          <w:szCs w:val="32"/>
        </w:rPr>
        <w:t>）</w:t>
      </w:r>
    </w:p>
    <w:p>
      <w:pPr>
        <w:spacing w:beforeLines="0" w:afterLines="0"/>
        <w:jc w:val="center"/>
        <w:rPr>
          <w:rFonts w:hint="eastAsia" w:ascii="仿宋_GB2312" w:hAnsi="仿宋_GB2312" w:eastAsia="仿宋_GB2312" w:cs="仿宋_GB2312"/>
          <w:sz w:val="32"/>
          <w:szCs w:val="32"/>
        </w:rPr>
      </w:pPr>
    </w:p>
    <w:p>
      <w:pPr>
        <w:widowControl w:val="0"/>
        <w:wordWrap/>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绩效目标下达情况</w:t>
      </w:r>
    </w:p>
    <w:p>
      <w:pPr>
        <w:widowControl w:val="0"/>
        <w:numPr>
          <w:numId w:val="0"/>
        </w:numPr>
        <w:wordWrap/>
        <w:adjustRightInd/>
        <w:snapToGrid/>
        <w:spacing w:line="240" w:lineRule="auto"/>
        <w:ind w:firstLine="640" w:firstLineChars="200"/>
        <w:textAlignment w:val="auto"/>
        <w:outlineLvl w:val="9"/>
        <w:rPr>
          <w:rFonts w:hint="eastAsia" w:ascii="仿宋_GB2312" w:hAnsi="仿宋_GB2312" w:eastAsia="仿宋_GB2312" w:cs="仿宋_GB2312"/>
          <w:sz w:val="32"/>
          <w:szCs w:val="32"/>
          <w:lang w:eastAsia="zh-CN"/>
        </w:rPr>
      </w:pPr>
      <w:r>
        <w:rPr>
          <w:rFonts w:hint="eastAsia" w:ascii="楷体" w:hAnsi="楷体" w:eastAsia="楷体" w:cs="楷体"/>
          <w:sz w:val="32"/>
          <w:szCs w:val="32"/>
          <w:lang w:val="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val="zh-CN"/>
        </w:rPr>
        <w:t>）</w:t>
      </w:r>
      <w:r>
        <w:rPr>
          <w:rFonts w:hint="eastAsia" w:ascii="楷体" w:hAnsi="楷体" w:eastAsia="楷体" w:cs="楷体"/>
          <w:sz w:val="32"/>
          <w:szCs w:val="32"/>
          <w:lang w:val="en-US" w:eastAsia="zh-CN"/>
        </w:rPr>
        <w:t>任务情况。</w:t>
      </w:r>
      <w:r>
        <w:rPr>
          <w:rFonts w:hint="eastAsia" w:ascii="仿宋_GB2312" w:hAnsi="仿宋_GB2312" w:eastAsia="仿宋_GB2312" w:cs="仿宋_GB2312"/>
          <w:sz w:val="32"/>
          <w:szCs w:val="32"/>
          <w:lang w:val="zh-CN"/>
        </w:rPr>
        <w:t>根据</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lang w:val="zh-CN"/>
        </w:rPr>
        <w:t>关于下达2021年度各县（市、区）水稻耕种收综合机械化</w:t>
      </w:r>
      <w:bookmarkStart w:id="0" w:name="_GoBack"/>
      <w:bookmarkEnd w:id="0"/>
      <w:r>
        <w:rPr>
          <w:rFonts w:hint="eastAsia" w:ascii="仿宋_GB2312" w:hAnsi="仿宋_GB2312" w:eastAsia="仿宋_GB2312" w:cs="仿宋_GB2312"/>
          <w:sz w:val="32"/>
          <w:szCs w:val="32"/>
          <w:lang w:val="zh-CN"/>
        </w:rPr>
        <w:t>率发展指标的通知</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lang w:val="zh-CN"/>
        </w:rPr>
        <w:t>要求，</w:t>
      </w:r>
      <w:r>
        <w:rPr>
          <w:rFonts w:hint="eastAsia" w:ascii="仿宋_GB2312" w:hAnsi="仿宋_GB2312" w:eastAsia="仿宋_GB2312" w:cs="仿宋_GB2312"/>
          <w:sz w:val="32"/>
          <w:szCs w:val="32"/>
          <w:lang w:val="en-US" w:eastAsia="zh-CN"/>
        </w:rPr>
        <w:t>我区到2021年底水稻机械化率需提升1.8个百分点</w:t>
      </w:r>
      <w:r>
        <w:rPr>
          <w:rFonts w:hint="eastAsia" w:ascii="仿宋_GB2312" w:hAnsi="仿宋_GB2312" w:eastAsia="仿宋_GB2312" w:cs="仿宋_GB2312"/>
          <w:sz w:val="32"/>
          <w:szCs w:val="32"/>
          <w:lang w:eastAsia="zh-CN"/>
        </w:rPr>
        <w:t>。</w:t>
      </w:r>
    </w:p>
    <w:p>
      <w:pPr>
        <w:widowControl w:val="0"/>
        <w:numPr>
          <w:numId w:val="0"/>
        </w:numPr>
        <w:wordWrap/>
        <w:adjustRightInd/>
        <w:snapToGrid/>
        <w:spacing w:line="240" w:lineRule="auto"/>
        <w:ind w:firstLine="640" w:firstLineChars="200"/>
        <w:textAlignment w:val="auto"/>
        <w:outlineLvl w:val="9"/>
        <w:rPr>
          <w:rFonts w:hint="eastAsia" w:ascii="黑体" w:hAnsi="黑体" w:eastAsia="黑体" w:cs="黑体"/>
          <w:sz w:val="32"/>
          <w:szCs w:val="32"/>
          <w:lang w:val="en-US" w:eastAsia="zh-CN"/>
        </w:rPr>
      </w:pPr>
      <w:r>
        <w:rPr>
          <w:rFonts w:hint="eastAsia" w:ascii="楷体" w:hAnsi="楷体" w:eastAsia="楷体" w:cs="楷体"/>
          <w:color w:val="auto"/>
          <w:sz w:val="32"/>
          <w:szCs w:val="32"/>
          <w:lang w:val="en-US" w:eastAsia="zh-CN"/>
        </w:rPr>
        <w:t>（二）资金下发情况。根据</w:t>
      </w:r>
      <w:r>
        <w:rPr>
          <w:rFonts w:hint="eastAsia" w:ascii="仿宋_GB2312" w:hAnsi="仿宋_GB2312" w:eastAsia="仿宋_GB2312" w:cs="仿宋_GB2312"/>
          <w:color w:val="auto"/>
          <w:sz w:val="32"/>
          <w:szCs w:val="32"/>
          <w:lang w:val="en-US" w:eastAsia="zh-CN"/>
        </w:rPr>
        <w:t>《关于提前下达2021年省级涉农专项转移支付资金的通知》（韶武财农</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62号），</w:t>
      </w:r>
      <w:r>
        <w:rPr>
          <w:rFonts w:hint="eastAsia" w:ascii="仿宋_GB2312" w:hAnsi="仿宋_GB2312" w:eastAsia="仿宋_GB2312" w:cs="仿宋_GB2312"/>
          <w:sz w:val="32"/>
          <w:szCs w:val="32"/>
          <w:lang w:val="en-US" w:eastAsia="zh-CN"/>
        </w:rPr>
        <w:t>武江区2021年省级涉农资金共50万元，用于开展武江区水稻温室育秧机械化生产项目建设，带动项目区域周边地区农业机械的发展，提升水稻</w:t>
      </w:r>
      <w:r>
        <w:rPr>
          <w:rFonts w:hint="eastAsia" w:ascii="仿宋_GB2312" w:hAnsi="仿宋_GB2312" w:eastAsia="仿宋_GB2312" w:cs="仿宋_GB2312"/>
          <w:sz w:val="32"/>
          <w:szCs w:val="32"/>
          <w:lang w:val="zh-CN"/>
        </w:rPr>
        <w:t>耕种收综合机械化率</w:t>
      </w:r>
      <w:r>
        <w:rPr>
          <w:rFonts w:hint="eastAsia" w:ascii="仿宋_GB2312" w:hAnsi="仿宋_GB2312" w:eastAsia="仿宋_GB2312" w:cs="仿宋_GB2312"/>
          <w:sz w:val="32"/>
          <w:szCs w:val="32"/>
          <w:lang w:val="en-US" w:eastAsia="zh-CN"/>
        </w:rPr>
        <w:t>。</w:t>
      </w:r>
    </w:p>
    <w:p>
      <w:pPr>
        <w:widowControl w:val="0"/>
        <w:numPr>
          <w:ilvl w:val="0"/>
          <w:numId w:val="1"/>
        </w:numPr>
        <w:wordWrap/>
        <w:adjustRightInd/>
        <w:snapToGrid/>
        <w:spacing w:line="24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绩效目标自评完成情况</w:t>
      </w:r>
    </w:p>
    <w:p>
      <w:pPr>
        <w:pStyle w:val="4"/>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240" w:lineRule="auto"/>
        <w:ind w:left="0" w:right="0" w:firstLine="420"/>
        <w:jc w:val="both"/>
        <w:textAlignment w:val="auto"/>
        <w:rPr>
          <w:rFonts w:hint="eastAsia" w:ascii="仿宋_GB2312" w:hAnsi="仿宋_GB2312" w:eastAsia="仿宋_GB2312" w:cs="仿宋_GB2312"/>
          <w:i w:val="0"/>
          <w:caps w:val="0"/>
          <w:color w:val="auto"/>
          <w:spacing w:val="0"/>
          <w:sz w:val="32"/>
          <w:szCs w:val="32"/>
          <w:lang w:val="en-US" w:eastAsia="zh-CN"/>
        </w:rPr>
      </w:pPr>
      <w:r>
        <w:rPr>
          <w:rFonts w:hint="eastAsia" w:ascii="楷体" w:hAnsi="楷体" w:eastAsia="楷体" w:cs="楷体"/>
          <w:i w:val="0"/>
          <w:caps w:val="0"/>
          <w:color w:val="auto"/>
          <w:spacing w:val="0"/>
          <w:sz w:val="32"/>
          <w:szCs w:val="32"/>
        </w:rPr>
        <w:t>（一）资金</w:t>
      </w:r>
      <w:r>
        <w:rPr>
          <w:rFonts w:hint="eastAsia" w:ascii="楷体" w:hAnsi="楷体" w:eastAsia="楷体" w:cs="楷体"/>
          <w:i w:val="0"/>
          <w:caps w:val="0"/>
          <w:color w:val="auto"/>
          <w:spacing w:val="0"/>
          <w:sz w:val="32"/>
          <w:szCs w:val="32"/>
          <w:lang w:val="en-US" w:eastAsia="zh-CN"/>
        </w:rPr>
        <w:t>到位与执行</w:t>
      </w:r>
      <w:r>
        <w:rPr>
          <w:rFonts w:hint="eastAsia" w:ascii="楷体" w:hAnsi="楷体" w:eastAsia="楷体" w:cs="楷体"/>
          <w:i w:val="0"/>
          <w:caps w:val="0"/>
          <w:color w:val="auto"/>
          <w:spacing w:val="0"/>
          <w:sz w:val="32"/>
          <w:szCs w:val="32"/>
        </w:rPr>
        <w:t>情况</w:t>
      </w:r>
      <w:r>
        <w:rPr>
          <w:rFonts w:hint="eastAsia" w:ascii="楷体" w:hAnsi="楷体" w:eastAsia="楷体" w:cs="楷体"/>
          <w:i w:val="0"/>
          <w:caps w:val="0"/>
          <w:color w:val="auto"/>
          <w:spacing w:val="0"/>
          <w:sz w:val="32"/>
          <w:szCs w:val="32"/>
          <w:lang w:eastAsia="zh-CN"/>
        </w:rPr>
        <w:t>。</w:t>
      </w:r>
      <w:r>
        <w:rPr>
          <w:rFonts w:hint="eastAsia" w:ascii="仿宋_GB2312" w:hAnsi="仿宋_GB2312" w:eastAsia="仿宋_GB2312" w:cs="仿宋_GB2312"/>
          <w:sz w:val="32"/>
          <w:szCs w:val="32"/>
          <w:lang w:val="en-US" w:eastAsia="zh-CN"/>
        </w:rPr>
        <w:t>2021年韶关市武江区水稻温室育秧机械化生产建设项目预算资金74.3万元，其中省级涉农资金50万元，</w:t>
      </w:r>
      <w:r>
        <w:rPr>
          <w:rFonts w:hint="eastAsia" w:ascii="仿宋_GB2312" w:hAnsi="仿宋_GB2312" w:eastAsia="仿宋_GB2312" w:cs="仿宋_GB2312"/>
          <w:color w:val="auto"/>
          <w:sz w:val="32"/>
          <w:szCs w:val="32"/>
          <w:lang w:val="en-US" w:eastAsia="zh-CN"/>
        </w:rPr>
        <w:t>2021年省级涉农资金共到位50万元</w:t>
      </w:r>
      <w:r>
        <w:rPr>
          <w:rFonts w:hint="eastAsia" w:ascii="仿宋_GB2312" w:hAnsi="仿宋_GB2312" w:eastAsia="仿宋_GB2312" w:cs="仿宋_GB2312"/>
          <w:i w:val="0"/>
          <w:caps w:val="0"/>
          <w:color w:val="auto"/>
          <w:spacing w:val="0"/>
          <w:sz w:val="32"/>
          <w:szCs w:val="32"/>
        </w:rPr>
        <w:t>。</w:t>
      </w:r>
      <w:r>
        <w:rPr>
          <w:rFonts w:hint="eastAsia" w:ascii="仿宋_GB2312" w:hAnsi="仿宋_GB2312" w:eastAsia="仿宋_GB2312" w:cs="仿宋_GB2312"/>
          <w:i w:val="0"/>
          <w:caps w:val="0"/>
          <w:color w:val="auto"/>
          <w:spacing w:val="0"/>
          <w:sz w:val="32"/>
          <w:szCs w:val="32"/>
          <w:lang w:val="en-US" w:eastAsia="zh-CN"/>
        </w:rPr>
        <w:t>截止</w:t>
      </w:r>
      <w:r>
        <w:rPr>
          <w:rFonts w:hint="eastAsia" w:ascii="仿宋_GB2312" w:hAnsi="仿宋_GB2312" w:eastAsia="仿宋_GB2312" w:cs="仿宋_GB2312"/>
          <w:color w:val="auto"/>
          <w:sz w:val="32"/>
          <w:szCs w:val="32"/>
          <w:lang w:val="en-US" w:eastAsia="zh-CN"/>
        </w:rPr>
        <w:t>2021年12月，项目已累计支出49.98万元，支付率99.96%。预算自筹资金为24.3万元，实际自筹资金24.372万元。总支付74.352万元，支付率100.07％。</w:t>
      </w:r>
    </w:p>
    <w:p>
      <w:pPr>
        <w:widowControl w:val="0"/>
        <w:numPr>
          <w:numId w:val="0"/>
        </w:numPr>
        <w:wordWrap/>
        <w:adjustRightInd/>
        <w:snapToGrid/>
        <w:spacing w:line="240" w:lineRule="auto"/>
        <w:ind w:firstLine="640" w:firstLineChars="200"/>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楷体" w:hAnsi="楷体" w:eastAsia="楷体" w:cs="楷体"/>
          <w:i w:val="0"/>
          <w:caps w:val="0"/>
          <w:color w:val="auto"/>
          <w:spacing w:val="0"/>
          <w:sz w:val="32"/>
          <w:szCs w:val="32"/>
          <w:lang w:val="en-US" w:eastAsia="zh-CN"/>
        </w:rPr>
        <w:t>（二）工作完成情况。</w:t>
      </w:r>
      <w:r>
        <w:rPr>
          <w:rFonts w:hint="default" w:ascii="仿宋_GB2312" w:hAnsi="仿宋_GB2312" w:eastAsia="仿宋_GB2312" w:cs="仿宋_GB2312"/>
          <w:sz w:val="32"/>
          <w:szCs w:val="32"/>
          <w:lang w:val="en-US" w:eastAsia="zh-CN"/>
        </w:rPr>
        <w:t>我区</w:t>
      </w:r>
      <w:r>
        <w:rPr>
          <w:rFonts w:hint="eastAsia" w:ascii="仿宋_GB2312" w:hAnsi="仿宋_GB2312" w:eastAsia="仿宋_GB2312" w:cs="仿宋_GB2312"/>
          <w:sz w:val="32"/>
          <w:szCs w:val="32"/>
          <w:lang w:val="en-US" w:eastAsia="zh-CN"/>
        </w:rPr>
        <w:t>2021年韶关市武江区水稻温室育秧机械化生产建设项目已完成建设，共建设5个温室大棚面积（其面积超过1000平方米），以及催牙车间和  育秧生产工作车间。2021年该育秧中心提供秧苗约1400亩，大大提升了我区水稻耕种收机械化率，带动项目区域周边地区农业机械的发展，使得水稻耕种收综合机械化率比上年提升1.8个百分点</w:t>
      </w:r>
      <w:r>
        <w:rPr>
          <w:rFonts w:hint="eastAsia" w:ascii="仿宋_GB2312" w:hAnsi="仿宋" w:eastAsia="仿宋_GB2312" w:cs="仿宋_GB2312"/>
          <w:sz w:val="32"/>
          <w:szCs w:val="32"/>
        </w:rPr>
        <w:t>。</w:t>
      </w:r>
    </w:p>
    <w:p>
      <w:pPr>
        <w:pStyle w:val="4"/>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240" w:lineRule="auto"/>
        <w:ind w:left="0" w:right="0" w:firstLine="640" w:firstLineChars="200"/>
        <w:jc w:val="both"/>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楷体" w:hAnsi="楷体" w:eastAsia="楷体" w:cs="楷体"/>
          <w:i w:val="0"/>
          <w:caps w:val="0"/>
          <w:color w:val="auto"/>
          <w:spacing w:val="0"/>
          <w:sz w:val="32"/>
          <w:szCs w:val="32"/>
          <w:lang w:val="en-US" w:eastAsia="zh-CN"/>
        </w:rPr>
        <w:t>（三）工作成效。</w:t>
      </w:r>
      <w:r>
        <w:rPr>
          <w:rFonts w:hint="eastAsia" w:ascii="仿宋_GB2312" w:hAnsi="仿宋_GB2312" w:eastAsia="仿宋_GB2312" w:cs="仿宋_GB2312"/>
          <w:b/>
          <w:bCs/>
          <w:i w:val="0"/>
          <w:caps w:val="0"/>
          <w:color w:val="auto"/>
          <w:spacing w:val="0"/>
          <w:sz w:val="32"/>
          <w:szCs w:val="32"/>
          <w:lang w:val="en-US" w:eastAsia="zh-CN"/>
        </w:rPr>
        <w:t>一是</w:t>
      </w:r>
      <w:r>
        <w:rPr>
          <w:rFonts w:hint="eastAsia" w:ascii="仿宋_GB2312" w:hAnsi="仿宋_GB2312" w:eastAsia="仿宋_GB2312" w:cs="仿宋_GB2312"/>
          <w:i w:val="0"/>
          <w:caps w:val="0"/>
          <w:color w:val="auto"/>
          <w:spacing w:val="0"/>
          <w:sz w:val="32"/>
          <w:szCs w:val="32"/>
          <w:lang w:val="en-US" w:eastAsia="zh-CN"/>
        </w:rPr>
        <w:t>完成了水稻耕种收综合机械化率，比上年提升1.8个百分点的目标，超额完成目标。</w:t>
      </w:r>
      <w:r>
        <w:rPr>
          <w:rFonts w:hint="eastAsia" w:ascii="仿宋_GB2312" w:hAnsi="仿宋_GB2312" w:eastAsia="仿宋_GB2312" w:cs="仿宋_GB2312"/>
          <w:b/>
          <w:bCs/>
          <w:i w:val="0"/>
          <w:caps w:val="0"/>
          <w:color w:val="auto"/>
          <w:spacing w:val="0"/>
          <w:sz w:val="32"/>
          <w:szCs w:val="32"/>
          <w:lang w:val="en-US" w:eastAsia="zh-CN"/>
        </w:rPr>
        <w:t>二是</w:t>
      </w:r>
      <w:r>
        <w:rPr>
          <w:rFonts w:hint="eastAsia" w:ascii="仿宋_GB2312" w:hAnsi="仿宋_GB2312" w:eastAsia="仿宋_GB2312" w:cs="仿宋_GB2312"/>
          <w:i w:val="0"/>
          <w:caps w:val="0"/>
          <w:color w:val="auto"/>
          <w:spacing w:val="0"/>
          <w:sz w:val="32"/>
          <w:szCs w:val="32"/>
          <w:lang w:val="en-US" w:eastAsia="zh-CN"/>
        </w:rPr>
        <w:t>大大推动了我区农机机械进程，促进农业机械化全程全面高质高效发展，全力保障粮食和主要农产品生产全程机械化的需求，为国家粮食安全和主要农产品有效供给提供坚实的物质技术支撑。</w:t>
      </w:r>
      <w:r>
        <w:rPr>
          <w:rFonts w:hint="eastAsia" w:ascii="仿宋_GB2312" w:hAnsi="仿宋_GB2312" w:eastAsia="仿宋_GB2312" w:cs="仿宋_GB2312"/>
          <w:b/>
          <w:bCs/>
          <w:i w:val="0"/>
          <w:caps w:val="0"/>
          <w:color w:val="auto"/>
          <w:spacing w:val="0"/>
          <w:sz w:val="32"/>
          <w:szCs w:val="32"/>
          <w:lang w:val="en-US" w:eastAsia="zh-CN"/>
        </w:rPr>
        <w:t>三是</w:t>
      </w:r>
      <w:r>
        <w:rPr>
          <w:rFonts w:hint="eastAsia" w:ascii="仿宋_GB2312" w:hAnsi="仿宋_GB2312" w:eastAsia="仿宋_GB2312" w:cs="仿宋_GB2312"/>
          <w:i w:val="0"/>
          <w:caps w:val="0"/>
          <w:color w:val="auto"/>
          <w:spacing w:val="0"/>
          <w:sz w:val="32"/>
          <w:szCs w:val="32"/>
          <w:lang w:val="en-US" w:eastAsia="zh-CN"/>
        </w:rPr>
        <w:t>加快技术先进农机产品推广，提升农机作业质量。推动普惠共享，推进补贴范围内机具敞开补贴，加大对农业机械化薄弱地区支持力度，促进农机社会化服务，切实增强农户政策获得感</w:t>
      </w:r>
      <w:r>
        <w:rPr>
          <w:rFonts w:hint="eastAsia" w:ascii="仿宋_GB2312" w:hAnsi="仿宋_GB2312" w:eastAsia="仿宋_GB2312" w:cs="仿宋_GB2312"/>
          <w:b/>
          <w:bCs/>
          <w:i w:val="0"/>
          <w:caps w:val="0"/>
          <w:color w:val="auto"/>
          <w:spacing w:val="0"/>
          <w:sz w:val="32"/>
          <w:szCs w:val="32"/>
          <w:lang w:val="en-US" w:eastAsia="zh-CN"/>
        </w:rPr>
        <w:t>。</w:t>
      </w:r>
    </w:p>
    <w:p>
      <w:pPr>
        <w:pStyle w:val="4"/>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240" w:lineRule="auto"/>
        <w:ind w:left="0" w:right="0" w:firstLine="420"/>
        <w:jc w:val="both"/>
        <w:textAlignment w:val="auto"/>
        <w:rPr>
          <w:rFonts w:hint="default" w:ascii="黑体" w:hAnsi="黑体" w:eastAsia="黑体" w:cs="黑体"/>
          <w:sz w:val="32"/>
          <w:szCs w:val="32"/>
          <w:lang w:val="en-US" w:eastAsia="zh-CN"/>
        </w:rPr>
      </w:pPr>
      <w:r>
        <w:rPr>
          <w:rFonts w:hint="eastAsia" w:ascii="楷体" w:hAnsi="楷体" w:eastAsia="楷体" w:cs="楷体"/>
          <w:i w:val="0"/>
          <w:caps w:val="0"/>
          <w:color w:val="auto"/>
          <w:spacing w:val="0"/>
          <w:sz w:val="32"/>
          <w:szCs w:val="32"/>
          <w:lang w:eastAsia="zh-CN"/>
        </w:rPr>
        <w:t>（</w:t>
      </w:r>
      <w:r>
        <w:rPr>
          <w:rFonts w:hint="eastAsia" w:ascii="楷体" w:hAnsi="楷体" w:eastAsia="楷体" w:cs="楷体"/>
          <w:i w:val="0"/>
          <w:caps w:val="0"/>
          <w:color w:val="auto"/>
          <w:spacing w:val="0"/>
          <w:sz w:val="32"/>
          <w:szCs w:val="32"/>
          <w:lang w:val="en-US" w:eastAsia="zh-CN"/>
        </w:rPr>
        <w:t>四</w:t>
      </w:r>
      <w:r>
        <w:rPr>
          <w:rFonts w:hint="eastAsia" w:ascii="楷体" w:hAnsi="楷体" w:eastAsia="楷体" w:cs="楷体"/>
          <w:i w:val="0"/>
          <w:caps w:val="0"/>
          <w:color w:val="auto"/>
          <w:spacing w:val="0"/>
          <w:sz w:val="32"/>
          <w:szCs w:val="32"/>
          <w:lang w:eastAsia="zh-CN"/>
        </w:rPr>
        <w:t>）</w:t>
      </w:r>
      <w:r>
        <w:rPr>
          <w:rFonts w:hint="eastAsia" w:ascii="楷体" w:hAnsi="楷体" w:eastAsia="楷体" w:cs="楷体"/>
          <w:i w:val="0"/>
          <w:caps w:val="0"/>
          <w:color w:val="auto"/>
          <w:spacing w:val="0"/>
          <w:sz w:val="32"/>
          <w:szCs w:val="32"/>
        </w:rPr>
        <w:t>项目资金管理情况。</w:t>
      </w:r>
      <w:r>
        <w:rPr>
          <w:rFonts w:hint="default" w:ascii="仿宋_GB2312" w:hAnsi="仿宋_GB2312" w:eastAsia="仿宋_GB2312" w:cs="仿宋_GB2312"/>
          <w:i w:val="0"/>
          <w:caps w:val="0"/>
          <w:color w:val="auto"/>
          <w:spacing w:val="0"/>
          <w:sz w:val="32"/>
          <w:szCs w:val="32"/>
          <w:lang w:val="en-US" w:eastAsia="zh-CN"/>
        </w:rPr>
        <w:t>本项目资金使用严格执行区财政资金管理制度及单位内部财务制度的要求，项目开展至今未发现虚列项目支出情况、截留、挤占、挪用项目资金等情况。</w:t>
      </w:r>
    </w:p>
    <w:p>
      <w:pPr>
        <w:widowControl w:val="0"/>
        <w:numPr>
          <w:ilvl w:val="0"/>
          <w:numId w:val="1"/>
        </w:numPr>
        <w:wordWrap/>
        <w:adjustRightInd/>
        <w:snapToGrid/>
        <w:spacing w:line="24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绩效自评结果拟应用和公开情况</w:t>
      </w:r>
    </w:p>
    <w:p>
      <w:pPr>
        <w:widowControl w:val="0"/>
        <w:numPr>
          <w:numId w:val="0"/>
        </w:numPr>
        <w:wordWrap/>
        <w:adjustRightInd/>
        <w:snapToGrid/>
        <w:spacing w:line="240" w:lineRule="auto"/>
        <w:ind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rPr>
        <w:t>我单位根据专项绩效评定指标对各项目量化评价，自评指标得分</w:t>
      </w:r>
      <w:r>
        <w:rPr>
          <w:rFonts w:hint="eastAsia" w:ascii="仿宋_GB2312" w:hAnsi="仿宋_GB2312" w:eastAsia="仿宋_GB2312" w:cs="仿宋_GB2312"/>
          <w:i w:val="0"/>
          <w:caps w:val="0"/>
          <w:color w:val="auto"/>
          <w:spacing w:val="0"/>
          <w:sz w:val="32"/>
          <w:szCs w:val="32"/>
          <w:lang w:val="en-US" w:eastAsia="zh-CN"/>
        </w:rPr>
        <w:t>100</w:t>
      </w:r>
      <w:r>
        <w:rPr>
          <w:rFonts w:hint="eastAsia" w:ascii="仿宋_GB2312" w:hAnsi="仿宋_GB2312" w:eastAsia="仿宋_GB2312" w:cs="仿宋_GB2312"/>
          <w:i w:val="0"/>
          <w:caps w:val="0"/>
          <w:color w:val="auto"/>
          <w:spacing w:val="0"/>
          <w:sz w:val="32"/>
          <w:szCs w:val="32"/>
        </w:rPr>
        <w:t>分。</w:t>
      </w:r>
    </w:p>
    <w:p>
      <w:pPr>
        <w:widowControl w:val="0"/>
        <w:numPr>
          <w:ilvl w:val="0"/>
          <w:numId w:val="1"/>
        </w:numPr>
        <w:wordWrap/>
        <w:adjustRightInd/>
        <w:snapToGrid/>
        <w:spacing w:line="240" w:lineRule="auto"/>
        <w:ind w:left="0" w:leftChars="0" w:firstLine="640" w:firstLineChars="200"/>
        <w:jc w:val="both"/>
        <w:textAlignment w:val="auto"/>
        <w:rPr>
          <w:rFonts w:hint="eastAsia" w:ascii="黑体" w:hAnsi="黑体" w:eastAsia="黑体" w:cs="黑体"/>
          <w:i w:val="0"/>
          <w:caps w:val="0"/>
          <w:color w:val="auto"/>
          <w:spacing w:val="0"/>
          <w:sz w:val="32"/>
          <w:szCs w:val="32"/>
          <w:lang w:val="en-US" w:eastAsia="zh-CN"/>
        </w:rPr>
      </w:pPr>
      <w:r>
        <w:rPr>
          <w:rFonts w:hint="eastAsia" w:ascii="黑体" w:hAnsi="黑体" w:eastAsia="黑体" w:cs="黑体"/>
          <w:i w:val="0"/>
          <w:caps w:val="0"/>
          <w:color w:val="auto"/>
          <w:spacing w:val="0"/>
          <w:sz w:val="32"/>
          <w:szCs w:val="32"/>
          <w:lang w:val="en-US" w:eastAsia="zh-CN"/>
        </w:rPr>
        <w:t>偏离绩效目标的原因</w:t>
      </w:r>
    </w:p>
    <w:p>
      <w:pPr>
        <w:widowControl w:val="0"/>
        <w:numPr>
          <w:numId w:val="0"/>
        </w:numPr>
        <w:wordWrap/>
        <w:adjustRightInd/>
        <w:snapToGrid/>
        <w:spacing w:line="240" w:lineRule="auto"/>
        <w:ind w:left="0" w:leftChars="0" w:right="0" w:firstLine="640" w:firstLineChars="200"/>
        <w:jc w:val="both"/>
        <w:textAlignment w:val="auto"/>
        <w:outlineLvl w:val="9"/>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无</w:t>
      </w:r>
    </w:p>
    <w:p>
      <w:pPr>
        <w:widowControl w:val="0"/>
        <w:wordWrap/>
        <w:adjustRightInd/>
        <w:snapToGrid/>
        <w:spacing w:line="24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、其他需要说明的问题</w:t>
      </w:r>
    </w:p>
    <w:p>
      <w:pPr>
        <w:widowControl w:val="0"/>
        <w:wordWrap/>
        <w:adjustRightInd/>
        <w:snapToGrid/>
        <w:spacing w:line="240" w:lineRule="auto"/>
        <w:ind w:left="0" w:leftChars="0" w:right="0" w:firstLine="640" w:firstLineChars="200"/>
        <w:jc w:val="both"/>
        <w:textAlignment w:val="auto"/>
        <w:outlineLvl w:val="9"/>
      </w:pPr>
      <w:r>
        <w:rPr>
          <w:rFonts w:hint="eastAsia" w:ascii="仿宋_GB2312" w:hAnsi="仿宋_GB2312" w:eastAsia="仿宋_GB2312" w:cs="仿宋_GB2312"/>
          <w:sz w:val="32"/>
          <w:szCs w:val="32"/>
          <w:lang w:val="en-US" w:eastAsia="zh-CN"/>
        </w:rPr>
        <w:t>无</w:t>
      </w:r>
    </w:p>
    <w:p>
      <w:pPr>
        <w:wordWrap/>
        <w:adjustRightInd/>
        <w:snapToGrid/>
        <w:spacing w:line="240" w:lineRule="auto"/>
        <w:textAlignment w:val="auto"/>
        <w:rPr>
          <w:rFonts w:hint="eastAsia" w:ascii="仿宋_GB2312" w:hAnsi="仿宋_GB2312" w:eastAsia="仿宋_GB2312" w:cs="仿宋_GB2312"/>
          <w:sz w:val="32"/>
          <w:szCs w:val="32"/>
          <w:lang w:val="en-US" w:eastAsia="zh-CN"/>
        </w:rPr>
      </w:pPr>
    </w:p>
    <w:sectPr>
      <w:pgSz w:w="11906" w:h="16838"/>
      <w:pgMar w:top="2098" w:right="1701" w:bottom="198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56329876">
    <w:nsid w:val="3EF65094"/>
    <w:multiLevelType w:val="singleLevel"/>
    <w:tmpl w:val="3EF65094"/>
    <w:lvl w:ilvl="0" w:tentative="1">
      <w:start w:val="2"/>
      <w:numFmt w:val="chineseCounting"/>
      <w:suff w:val="nothing"/>
      <w:lvlText w:val="%1、"/>
      <w:lvlJc w:val="left"/>
      <w:rPr>
        <w:rFonts w:hint="eastAsia"/>
      </w:rPr>
    </w:lvl>
  </w:abstractNum>
  <w:num w:numId="1">
    <w:abstractNumId w:val="10563298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2C465CC"/>
    <w:rsid w:val="034B58E3"/>
    <w:rsid w:val="040E2907"/>
    <w:rsid w:val="054030E5"/>
    <w:rsid w:val="070D32CD"/>
    <w:rsid w:val="07F614E1"/>
    <w:rsid w:val="09770B19"/>
    <w:rsid w:val="09A66635"/>
    <w:rsid w:val="0A1A0443"/>
    <w:rsid w:val="0BEC22F8"/>
    <w:rsid w:val="0C3D2EFE"/>
    <w:rsid w:val="0CA343E3"/>
    <w:rsid w:val="0CAC4E21"/>
    <w:rsid w:val="0CFD50A3"/>
    <w:rsid w:val="0D4821FE"/>
    <w:rsid w:val="0DAB2AE2"/>
    <w:rsid w:val="0F2E736C"/>
    <w:rsid w:val="109F6162"/>
    <w:rsid w:val="118A3058"/>
    <w:rsid w:val="12A40C6E"/>
    <w:rsid w:val="12C43FDC"/>
    <w:rsid w:val="15722720"/>
    <w:rsid w:val="160F74DB"/>
    <w:rsid w:val="16A149E2"/>
    <w:rsid w:val="170D79A6"/>
    <w:rsid w:val="171D5D20"/>
    <w:rsid w:val="177B6342"/>
    <w:rsid w:val="18030444"/>
    <w:rsid w:val="19147613"/>
    <w:rsid w:val="194F6BA4"/>
    <w:rsid w:val="1B561682"/>
    <w:rsid w:val="1BBB6EF6"/>
    <w:rsid w:val="1CBC4D09"/>
    <w:rsid w:val="1D037829"/>
    <w:rsid w:val="1D3911F4"/>
    <w:rsid w:val="1DBC2467"/>
    <w:rsid w:val="1E9D5BBA"/>
    <w:rsid w:val="1EBE1425"/>
    <w:rsid w:val="20CE1EF7"/>
    <w:rsid w:val="21B9547D"/>
    <w:rsid w:val="21FC3DA5"/>
    <w:rsid w:val="2269109E"/>
    <w:rsid w:val="227641ED"/>
    <w:rsid w:val="23625F70"/>
    <w:rsid w:val="261252D6"/>
    <w:rsid w:val="265B6FE0"/>
    <w:rsid w:val="26AB1956"/>
    <w:rsid w:val="26CB691B"/>
    <w:rsid w:val="26F467EF"/>
    <w:rsid w:val="27AE2189"/>
    <w:rsid w:val="29E82549"/>
    <w:rsid w:val="2A724D57"/>
    <w:rsid w:val="2AE85EA6"/>
    <w:rsid w:val="2B22283D"/>
    <w:rsid w:val="2B461263"/>
    <w:rsid w:val="2BA64C97"/>
    <w:rsid w:val="2E1A3AF5"/>
    <w:rsid w:val="2F6446DD"/>
    <w:rsid w:val="2F881C20"/>
    <w:rsid w:val="30A53CDE"/>
    <w:rsid w:val="30BE317F"/>
    <w:rsid w:val="314501AD"/>
    <w:rsid w:val="318B0447"/>
    <w:rsid w:val="31C247AA"/>
    <w:rsid w:val="31EE13DB"/>
    <w:rsid w:val="32024FE0"/>
    <w:rsid w:val="32D5335B"/>
    <w:rsid w:val="33620329"/>
    <w:rsid w:val="34230E27"/>
    <w:rsid w:val="342B421C"/>
    <w:rsid w:val="34870062"/>
    <w:rsid w:val="34E3313E"/>
    <w:rsid w:val="35B14E53"/>
    <w:rsid w:val="366378E6"/>
    <w:rsid w:val="36CD6B9F"/>
    <w:rsid w:val="39611C44"/>
    <w:rsid w:val="3E887EA3"/>
    <w:rsid w:val="3FE14A19"/>
    <w:rsid w:val="412F2BD3"/>
    <w:rsid w:val="4209587F"/>
    <w:rsid w:val="43071666"/>
    <w:rsid w:val="441D6A7F"/>
    <w:rsid w:val="445057DF"/>
    <w:rsid w:val="44C80180"/>
    <w:rsid w:val="45EF7108"/>
    <w:rsid w:val="461846B7"/>
    <w:rsid w:val="468766E7"/>
    <w:rsid w:val="4931053C"/>
    <w:rsid w:val="49BF40E5"/>
    <w:rsid w:val="4A393DF8"/>
    <w:rsid w:val="4A401971"/>
    <w:rsid w:val="4AE42C4A"/>
    <w:rsid w:val="4B031E7B"/>
    <w:rsid w:val="4C7D0028"/>
    <w:rsid w:val="4DCE5592"/>
    <w:rsid w:val="509329DE"/>
    <w:rsid w:val="50CB034B"/>
    <w:rsid w:val="517114B4"/>
    <w:rsid w:val="525F516D"/>
    <w:rsid w:val="53FD520F"/>
    <w:rsid w:val="54724A97"/>
    <w:rsid w:val="54AD23BB"/>
    <w:rsid w:val="54EE16D4"/>
    <w:rsid w:val="55DF1709"/>
    <w:rsid w:val="561C06CC"/>
    <w:rsid w:val="5716014D"/>
    <w:rsid w:val="57DE619A"/>
    <w:rsid w:val="58D826BC"/>
    <w:rsid w:val="59D56E20"/>
    <w:rsid w:val="5A67353E"/>
    <w:rsid w:val="5AE33172"/>
    <w:rsid w:val="5B3737F0"/>
    <w:rsid w:val="5B7A2037"/>
    <w:rsid w:val="5C2666C8"/>
    <w:rsid w:val="5D290B8A"/>
    <w:rsid w:val="5E43216D"/>
    <w:rsid w:val="5E6A53A5"/>
    <w:rsid w:val="5E954617"/>
    <w:rsid w:val="61083110"/>
    <w:rsid w:val="61231641"/>
    <w:rsid w:val="636B06FE"/>
    <w:rsid w:val="63FA67D0"/>
    <w:rsid w:val="64360800"/>
    <w:rsid w:val="65095531"/>
    <w:rsid w:val="6539151D"/>
    <w:rsid w:val="660673B8"/>
    <w:rsid w:val="666405BF"/>
    <w:rsid w:val="6AA71439"/>
    <w:rsid w:val="6B1B1011"/>
    <w:rsid w:val="6BA356B6"/>
    <w:rsid w:val="6BC04ABD"/>
    <w:rsid w:val="6BEB2CC4"/>
    <w:rsid w:val="6C7A0D87"/>
    <w:rsid w:val="6CB65188"/>
    <w:rsid w:val="6CD56B47"/>
    <w:rsid w:val="6D7757AD"/>
    <w:rsid w:val="6E1706D6"/>
    <w:rsid w:val="6E4C1463"/>
    <w:rsid w:val="6F1B34BA"/>
    <w:rsid w:val="6F6514B1"/>
    <w:rsid w:val="6FFE70C2"/>
    <w:rsid w:val="70670000"/>
    <w:rsid w:val="708A7334"/>
    <w:rsid w:val="71644BA4"/>
    <w:rsid w:val="72956AA3"/>
    <w:rsid w:val="735211C9"/>
    <w:rsid w:val="756069BD"/>
    <w:rsid w:val="75B531AC"/>
    <w:rsid w:val="76243AF1"/>
    <w:rsid w:val="772C00BE"/>
    <w:rsid w:val="784B683B"/>
    <w:rsid w:val="7943251F"/>
    <w:rsid w:val="79B47C62"/>
    <w:rsid w:val="79E14C70"/>
    <w:rsid w:val="7C093CD7"/>
    <w:rsid w:val="7C8C45B2"/>
    <w:rsid w:val="7C947D45"/>
    <w:rsid w:val="7D3D1008"/>
    <w:rsid w:val="7DE62887"/>
    <w:rsid w:val="7E762B58"/>
    <w:rsid w:val="7E992E6C"/>
    <w:rsid w:val="7EA13398"/>
    <w:rsid w:val="7EFD4F5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2021-03-02T09:12:00Z</dcterms:created>
  <dc:creator>Administrator</dc:creator>
  <cp:lastModifiedBy>Administrator</cp:lastModifiedBy>
  <cp:lastPrinted>2022-02-15T09:15:41Z</cp:lastPrinted>
  <dcterms:modified xsi:type="dcterms:W3CDTF">2022-02-15T09:30:27Z</dcterms:modified>
  <dc:title>2020年省级涉农转移支付资金绩效自评报告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