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附件：</w:t>
      </w:r>
    </w:p>
    <w:p>
      <w:pPr>
        <w:ind w:firstLine="0" w:firstLineChars="0"/>
        <w:jc w:val="center"/>
        <w:rPr>
          <w:rFonts w:ascii="黑体" w:hAnsi="黑体" w:eastAsia="黑体" w:cs="方正小标宋_GBK"/>
          <w:b w:val="0"/>
          <w:bCs/>
          <w:sz w:val="44"/>
          <w:szCs w:val="44"/>
        </w:rPr>
      </w:pPr>
      <w:bookmarkStart w:id="0" w:name="_GoBack"/>
      <w:r>
        <w:rPr>
          <w:rFonts w:hint="eastAsia" w:ascii="黑体" w:hAnsi="黑体" w:eastAsia="黑体" w:cs="方正小标宋_GBK"/>
          <w:b w:val="0"/>
          <w:bCs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韶关江湾镇梁屋村委西侧地块控制性详细规划》（草案）内容摘要</w:t>
      </w:r>
      <w:bookmarkEnd w:id="0"/>
    </w:p>
    <w:p>
      <w:pPr>
        <w:ind w:firstLine="0" w:firstLineChars="0"/>
        <w:outlineLvl w:val="0"/>
        <w:rPr>
          <w:rFonts w:ascii="华文细黑" w:hAnsi="华文细黑" w:cs="宋体"/>
          <w:b/>
          <w:bCs/>
          <w:kern w:val="0"/>
        </w:rPr>
      </w:pPr>
    </w:p>
    <w:p>
      <w:pPr>
        <w:ind w:firstLine="643"/>
        <w:outlineLvl w:val="0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一、规划范围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规划区位于韶关市江湾镇梁屋村委西侧位置，规划范围东至梁屋村委，南至省道</w:t>
      </w:r>
      <w:r>
        <w:rPr>
          <w:rFonts w:ascii="仿宋_GB2312" w:hAnsi="仿宋_GB2312" w:eastAsia="仿宋_GB2312" w:cs="仿宋_GB2312"/>
          <w:sz w:val="32"/>
          <w:szCs w:val="32"/>
        </w:rPr>
        <w:t>520，西至现状农田边界，北以现状山体为界</w:t>
      </w:r>
      <w:r>
        <w:rPr>
          <w:rFonts w:hint="eastAsia" w:ascii="仿宋_GB2312" w:hAnsi="仿宋_GB2312" w:eastAsia="仿宋_GB2312" w:cs="仿宋_GB2312"/>
          <w:sz w:val="32"/>
          <w:szCs w:val="32"/>
        </w:rPr>
        <w:t>，规划总用地面积约4.85</w:t>
      </w:r>
      <w:r>
        <w:rPr>
          <w:rFonts w:ascii="仿宋_GB2312" w:hAnsi="仿宋_GB2312" w:eastAsia="仿宋_GB2312" w:cs="仿宋_GB2312"/>
          <w:sz w:val="32"/>
          <w:szCs w:val="32"/>
        </w:rPr>
        <w:t>公顷。</w:t>
      </w:r>
    </w:p>
    <w:p>
      <w:pPr>
        <w:ind w:firstLine="643"/>
        <w:outlineLvl w:val="0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二、规划发展定位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以温泉康养为主题，集娱乐休闲、文化体验、旅游度假功能于一体的温泉养生度假基地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ind w:firstLine="643"/>
        <w:outlineLvl w:val="0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三、规划结构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总体成“一带、两区”的城市空间结构。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一带：滨江景观带，主要为江湾河及两侧碧道区域，承担景观展示功能以及提供亲水空间。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两区：分别为商业区和居住区，商业区承担旅游接待，温泉疗养、住宿餐饮以及休闲娱乐功能；居住区承担生活居住功能。</w:t>
      </w:r>
    </w:p>
    <w:p>
      <w:pPr>
        <w:ind w:firstLine="643"/>
        <w:outlineLvl w:val="0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四、土地利用规划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规划区总用地面积</w:t>
      </w:r>
      <w:r>
        <w:rPr>
          <w:rFonts w:ascii="仿宋_GB2312" w:hAnsi="仿宋_GB2312" w:eastAsia="仿宋_GB2312" w:cs="仿宋_GB2312"/>
          <w:sz w:val="32"/>
          <w:szCs w:val="32"/>
        </w:rPr>
        <w:t>4.85公顷，建设用地4.62公顷，占规划区总用地面积的95.25%，其中公路用地0.45公顷，城市建设用地4.17公顷。城市建设用地包括居住用地、商业服务业设施用地、留白用地；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非建设用地</w:t>
      </w:r>
      <w:r>
        <w:rPr>
          <w:rFonts w:ascii="仿宋_GB2312" w:hAnsi="仿宋_GB2312" w:eastAsia="仿宋_GB2312" w:cs="仿宋_GB2312"/>
          <w:sz w:val="32"/>
          <w:szCs w:val="32"/>
        </w:rPr>
        <w:t>0.23公顷，占规划区总用地面积的4.75%。</w:t>
      </w:r>
    </w:p>
    <w:p>
      <w:pPr>
        <w:ind w:firstLine="643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五、道路交通规划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规划区内涉及省道、乡道、村道等三种级别公路，省道</w:t>
      </w:r>
      <w:r>
        <w:rPr>
          <w:rFonts w:ascii="仿宋_GB2312" w:hAnsi="仿宋_GB2312" w:eastAsia="仿宋_GB2312" w:cs="仿宋_GB2312"/>
          <w:sz w:val="32"/>
          <w:szCs w:val="32"/>
        </w:rPr>
        <w:t>520红线宽度为9m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规划乡道346红线宽度为7.5m，村道道路红线宽度为3</w:t>
      </w:r>
      <w:r>
        <w:rPr>
          <w:rFonts w:hint="eastAsia" w:ascii="仿宋_GB2312" w:hAnsi="仿宋_GB2312" w:eastAsia="仿宋_GB2312" w:cs="仿宋_GB2312"/>
          <w:sz w:val="32"/>
          <w:szCs w:val="32"/>
        </w:rPr>
        <w:t>.5</w:t>
      </w:r>
      <w:r>
        <w:rPr>
          <w:rFonts w:ascii="仿宋_GB2312" w:hAnsi="仿宋_GB2312" w:eastAsia="仿宋_GB2312" w:cs="仿宋_GB2312"/>
          <w:sz w:val="32"/>
          <w:szCs w:val="32"/>
        </w:rPr>
        <w:t>m。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规划区停车场（库）由各地块建设主体配建，配建标准应符合《韶关市城乡规划技术管理规定》附录三中关于配建停车场（库）的标准。</w:t>
      </w:r>
    </w:p>
    <w:p>
      <w:pPr>
        <w:ind w:firstLine="643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六、市政公用设施规划</w:t>
      </w:r>
    </w:p>
    <w:p>
      <w:pPr>
        <w:ind w:firstLine="643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（一）给水工程规划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预测规划区最高日用水量约为</w:t>
      </w:r>
      <w:r>
        <w:rPr>
          <w:rFonts w:ascii="仿宋_GB2312" w:hAnsi="仿宋_GB2312" w:eastAsia="仿宋_GB2312" w:cs="仿宋_GB2312"/>
          <w:sz w:val="32"/>
          <w:szCs w:val="32"/>
        </w:rPr>
        <w:t>210.00吨/天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，规划区用水可接现状沿省道520</w:t>
      </w:r>
      <w:r>
        <w:rPr>
          <w:rFonts w:ascii="仿宋_GB2312" w:hAnsi="仿宋_GB2312" w:eastAsia="仿宋_GB2312" w:cs="仿宋_GB2312"/>
          <w:sz w:val="32"/>
          <w:szCs w:val="32"/>
        </w:rPr>
        <w:t>敷设的</w:t>
      </w:r>
      <w:r>
        <w:rPr>
          <w:rFonts w:hint="eastAsia" w:ascii="仿宋_GB2312" w:hAnsi="仿宋_GB2312" w:eastAsia="仿宋_GB2312" w:cs="仿宋_GB2312"/>
          <w:sz w:val="32"/>
          <w:szCs w:val="32"/>
        </w:rPr>
        <w:t>给水管（</w:t>
      </w:r>
      <w:r>
        <w:rPr>
          <w:rFonts w:ascii="仿宋_GB2312" w:hAnsi="仿宋_GB2312" w:eastAsia="仿宋_GB2312" w:cs="仿宋_GB2312"/>
          <w:sz w:val="32"/>
          <w:szCs w:val="32"/>
        </w:rPr>
        <w:t>DN250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由</w:t>
      </w:r>
      <w:r>
        <w:rPr>
          <w:rFonts w:ascii="仿宋_GB2312" w:hAnsi="仿宋_GB2312" w:eastAsia="仿宋_GB2312" w:cs="仿宋_GB2312"/>
          <w:sz w:val="32"/>
          <w:szCs w:val="32"/>
        </w:rPr>
        <w:t>镇区水厂供水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给水管网布置详见《给水工程规划图》。</w:t>
      </w:r>
    </w:p>
    <w:p>
      <w:pPr>
        <w:ind w:firstLine="643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（二）雨水工程规划</w:t>
      </w:r>
    </w:p>
    <w:p>
      <w:pPr>
        <w:pStyle w:val="6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规划区采用雨污分流排水体制。雨水量计算采用韶关表示暴雨强度公式，设计暴雨重现期为</w:t>
      </w:r>
      <w:r>
        <w:rPr>
          <w:rFonts w:ascii="仿宋_GB2312" w:hAnsi="仿宋_GB2312" w:eastAsia="仿宋_GB2312" w:cs="仿宋_GB2312"/>
          <w:sz w:val="32"/>
          <w:szCs w:val="32"/>
        </w:rPr>
        <w:t>3年，地面集水时间取10-</w:t>
      </w:r>
      <w:r>
        <w:rPr>
          <w:rFonts w:hint="eastAsia" w:ascii="仿宋_GB2312" w:hAnsi="仿宋_GB2312" w:eastAsia="仿宋_GB2312" w:cs="仿宋_GB2312"/>
          <w:sz w:val="32"/>
          <w:szCs w:val="32"/>
        </w:rPr>
        <w:t>25</w:t>
      </w:r>
      <w:r>
        <w:rPr>
          <w:rFonts w:ascii="仿宋_GB2312" w:hAnsi="仿宋_GB2312" w:eastAsia="仿宋_GB2312" w:cs="仿宋_GB2312"/>
          <w:sz w:val="32"/>
          <w:szCs w:val="32"/>
        </w:rPr>
        <w:t>分钟。</w:t>
      </w:r>
      <w:r>
        <w:rPr>
          <w:rFonts w:hint="eastAsia" w:ascii="仿宋_GB2312" w:hAnsi="仿宋_GB2312" w:eastAsia="仿宋_GB2312" w:cs="仿宋_GB2312"/>
          <w:sz w:val="32"/>
          <w:szCs w:val="32"/>
        </w:rPr>
        <w:t>规划区雨水整体自排，结合地形和排水分区，分散就近排入附近水系，不新增市政雨水管网。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雨水管网布置详见《雨水工程规划图》。</w:t>
      </w:r>
    </w:p>
    <w:p>
      <w:pPr>
        <w:pStyle w:val="6"/>
        <w:spacing w:line="360" w:lineRule="auto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（三）污水工程规划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预测规划区平均日污水量为</w:t>
      </w:r>
      <w:r>
        <w:rPr>
          <w:rFonts w:ascii="仿宋_GB2312" w:hAnsi="仿宋_GB2312" w:eastAsia="仿宋_GB2312" w:cs="仿宋_GB2312"/>
          <w:sz w:val="32"/>
          <w:szCs w:val="32"/>
        </w:rPr>
        <w:t>163.63立方米/日。</w:t>
      </w:r>
      <w:r>
        <w:rPr>
          <w:rFonts w:hint="eastAsia" w:ascii="仿宋_GB2312" w:hAnsi="仿宋_GB2312" w:eastAsia="仿宋_GB2312" w:cs="仿宋_GB2312"/>
          <w:sz w:val="32"/>
          <w:szCs w:val="32"/>
        </w:rPr>
        <w:t>规划区内设置三处污水处理设施，分别位于北、中、南三个地块地势较低处，如各地块建设主体为同一单位时，可将三处污水处理设施合并建设，对污水进行集中处理，污水</w:t>
      </w:r>
      <w:r>
        <w:rPr>
          <w:rFonts w:ascii="仿宋_GB2312" w:hAnsi="仿宋_GB2312" w:eastAsia="仿宋_GB2312" w:cs="仿宋_GB2312"/>
          <w:sz w:val="32"/>
          <w:szCs w:val="32"/>
        </w:rPr>
        <w:t>经处理</w:t>
      </w:r>
      <w:r>
        <w:rPr>
          <w:rFonts w:hint="eastAsia" w:ascii="仿宋_GB2312" w:hAnsi="仿宋_GB2312" w:eastAsia="仿宋_GB2312" w:cs="仿宋_GB2312"/>
          <w:sz w:val="32"/>
          <w:szCs w:val="32"/>
        </w:rPr>
        <w:t>达标</w:t>
      </w:r>
      <w:r>
        <w:rPr>
          <w:rFonts w:ascii="仿宋_GB2312" w:hAnsi="仿宋_GB2312" w:eastAsia="仿宋_GB2312" w:cs="仿宋_GB2312"/>
          <w:sz w:val="32"/>
          <w:szCs w:val="32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</w:rPr>
        <w:t>可</w:t>
      </w:r>
      <w:r>
        <w:rPr>
          <w:rFonts w:ascii="仿宋_GB2312" w:hAnsi="仿宋_GB2312" w:eastAsia="仿宋_GB2312" w:cs="仿宋_GB2312"/>
          <w:sz w:val="32"/>
          <w:szCs w:val="32"/>
        </w:rPr>
        <w:t>排放至</w:t>
      </w:r>
      <w:r>
        <w:rPr>
          <w:rFonts w:hint="eastAsia" w:ascii="仿宋_GB2312" w:hAnsi="仿宋_GB2312" w:eastAsia="仿宋_GB2312" w:cs="仿宋_GB2312"/>
          <w:sz w:val="32"/>
          <w:szCs w:val="32"/>
        </w:rPr>
        <w:t>附近</w:t>
      </w:r>
      <w:r>
        <w:rPr>
          <w:rFonts w:ascii="仿宋_GB2312" w:hAnsi="仿宋_GB2312" w:eastAsia="仿宋_GB2312" w:cs="仿宋_GB2312"/>
          <w:sz w:val="32"/>
          <w:szCs w:val="32"/>
        </w:rPr>
        <w:t>水系。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污水管网布置详见《污水工程规划图》。</w:t>
      </w:r>
    </w:p>
    <w:p>
      <w:pPr>
        <w:ind w:firstLine="643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（四）电力工程规划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预测规划区总用电负荷约</w:t>
      </w:r>
      <w:r>
        <w:rPr>
          <w:rFonts w:ascii="仿宋_GB2312" w:hAnsi="仿宋_GB2312" w:eastAsia="仿宋_GB2312" w:cs="仿宋_GB2312"/>
          <w:sz w:val="32"/>
          <w:szCs w:val="32"/>
        </w:rPr>
        <w:t>2943KW，规划区不新增变电站，从现状江畔35KV变电站引专线接入地块内，为项目用电提供保障。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电力管网布置详见《电力工程规划图》。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61" w:right="1106" w:bottom="1077" w:left="144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ZjY4NjdlYTlhNjAyMTQ5OGQ0YWJhMTBkYWIyNTgifQ=="/>
  </w:docVars>
  <w:rsids>
    <w:rsidRoot w:val="1C161EA7"/>
    <w:rsid w:val="1C16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eastAsia="华文细黑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 New New New New New New New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2022-11-07T07:35:00Z</dcterms:created>
  <dc:creator>李健</dc:creator>
  <cp:lastModifiedBy>李健</cp:lastModifiedBy>
  <dcterms:modified xsi:type="dcterms:W3CDTF">2022-11-07T07:36:13Z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3FB7763115764C63AE8D976510C58920</vt:lpwstr>
  </property>
</Properties>
</file>