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color w:val="FF0000"/>
          <w:spacing w:val="80"/>
          <w:sz w:val="52"/>
          <w:szCs w:val="48"/>
        </w:rPr>
      </w:pPr>
      <w:r>
        <w:rPr>
          <w:rFonts w:hint="eastAsia" w:ascii="方正小标宋简体" w:eastAsia="方正小标宋简体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534035</wp:posOffset>
                </wp:positionV>
                <wp:extent cx="53340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pt;margin-top:42.05pt;height:0pt;width:420pt;z-index:251659264;mso-width-relative:page;mso-height-relative:page;" filled="f" stroked="t" coordsize="21600,21600" o:gfxdata="UEsDBAoAAAAAAIdO4kAAAAAAAAAAAAAAAAAEAAAAZHJzL1BLAwQUAAAACACHTuJAZtqEw9QAAAAI&#10;AQAADwAAAGRycy9kb3ducmV2LnhtbE2PwU7DMBBE70j8g7VI3Fo7aSlRiNMDEmdoy4GjG2+TqPE6&#10;sp2m/XsWcYDjzoxm31TbqxvEBUPsPWnIlgoEUuNtT62Gz8PbogARkyFrBk+o4YYRtvX9XWVK62fa&#10;4WWfWsElFEujoUtpLKWMTYfOxKUfkdg7+eBM4jO00gYzc7kbZK7URjrTE3/ozIivHTbn/eQ0fD0H&#10;8vPu/fSxmugW8/F8yJ+U1o8PmXoBkfCa/sLwg8/oUDPT0U9koxg0LDY8JWko1hkI9ovVmoXjryDr&#10;Sv4fUH8DUEsDBBQAAAAIAIdO4kCULVpy/gEAAPkDAAAOAAAAZHJzL2Uyb0RvYy54bWytU0uOEzEQ&#10;3SNxB8t70p0ZBlArnVlMCBsEkRgO4NjltIV/sp10cgkugMQOVizZcxuGY1B292Q+bLJg4y7b1a/q&#10;vXqeXe6NJjsIUTnb0umkpgQsd0LZTUs/Xi+fvaIkJmYF085CSw8Q6eX86ZNZ7xs4c53TAgJBEBub&#10;3re0S8k3VRV5B4bFifNg8VK6YFjCbdhUIrAe0Y2uzur6RdW7IHxwHGLE08VwSUfEcAqgk1JxWDi+&#10;NWDTgBpAs4SUYqd8pPPSrZTA03spIySiW4pMU1mxCMbrvFbzGWs2gflO8bEFdkoLjzgZpiwWPUIt&#10;WGJkG9Q/UEbx4KKTacKdqQYiRRFkMa0fafOhYx4KF5Q6+qPo8f/B8ne7VSBKoBMosczgwG++/Pz9&#10;+dufX19xvfnxnUyzSL2PDeZe2VUYd9GvQma8l8HkL3Ih+yLs4Sgs7BPheHhxfv68rlFzfntX3f3o&#10;Q0xvwBmSg5ZqZTNn1rDd25iwGKbepuRjbUmPiC+nFxmPoQMlTh5D45FFwjl+uu7GaUSnlVgqrfOP&#10;MWzWVzqQHUMvLJfYTxk/wj9Iy7UWLHZDXrkaXNIBE6+tIOngUSWLj4PmTgwISjTgW8pR8VNiSp+S&#10;iaW1za1BcepIN0s9iJujtRMHnNDWB7XpUJ4yjSrfoCOKOKN7s+Xu7zG+/2Ln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m2oTD1AAAAAgBAAAPAAAAAAAAAAEAIAAAACIAAABkcnMvZG93bnJldi54&#10;bWxQSwECFAAUAAAACACHTuJAlC1acv4BAAD5AwAADgAAAAAAAAABACAAAAAjAQAAZHJzL2Uyb0Rv&#10;Yy54bWxQSwUGAAAAAAYABgBZAQAAkw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/>
          <w:color w:val="FF0000"/>
          <w:spacing w:val="80"/>
          <w:sz w:val="52"/>
          <w:szCs w:val="48"/>
        </w:rPr>
        <w:t>韶关市武江区发展和改革局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eastAsia="方正小标宋简体"/>
          <w:color w:val="FF000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区发改局202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年政府信息公开工作报告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color w:val="424242"/>
        </w:rPr>
      </w:pPr>
      <w:r>
        <w:rPr>
          <w:rFonts w:ascii="黑体" w:hAnsi="宋体" w:eastAsia="黑体" w:cs="黑体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color w:val="auto"/>
          <w:sz w:val="30"/>
          <w:szCs w:val="30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区发改局积极贯彻执行《中华人民共和国政府信息公开条例》《广东省政务公开条例》《韶关市政府信息公开办法》，认真落实国家、省、市和区委区政府关于全面推进政务公开工作的部署，结合经济社会发展和群众关注关切，推进政务公开工作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年，区发改局政务公开工作总体运行正常。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(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)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主动公开。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年，区发改局通过区政府公众信息网站、政府信息公开平台主动公开政府信息公开指南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条，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政府信息公开年度报告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条，法定主动公开信息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其中机构职能信息3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条、规章文件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条、规划计划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条、工作动态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条、业务工作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条、统计信息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条、其他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（二）依申请公开。依法依规做好政府信息依申请公开工作，全年收到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2项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依申请公开申请，均已办结，其中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1项申请人撤销申请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（三）信息管理。加强和规范政府信息管理，指定专人负责政务信息公开工作，及时更新职能机构信息、规范性文件、工作动态等信息。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（四）平台建设。区发改局政务信息在韶关市武江区公众信息网站上公布，网站地址为：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www.sgwjq.gov.cn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（五）监督保障。制定并发布《韶关市武江区发展和改革局信息公开指南（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202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/>
        </w:rPr>
        <w:t>1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年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/>
        </w:rPr>
        <w:t>8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修订）》，韶关市武江区发展和改革局接受公民、法人或者其他组织对政府信息公开工作的意见建议、投诉举报，联系电话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8777066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color w:val="42424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二、主动公开政府信息情况</w:t>
      </w:r>
    </w:p>
    <w:tbl>
      <w:tblPr>
        <w:tblStyle w:val="7"/>
        <w:tblW w:w="9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5"/>
        <w:gridCol w:w="2490"/>
        <w:gridCol w:w="2400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5" w:type="dxa"/>
            <w:gridSpan w:val="4"/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37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23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本年废止件数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现行有效件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规章</w:t>
            </w:r>
          </w:p>
        </w:tc>
        <w:tc>
          <w:tcPr>
            <w:tcW w:w="24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</w:t>
            </w:r>
            <w:r>
              <w:rPr>
                <w:rFonts w:ascii="Calibri" w:hAnsi="Calibri" w:cs="Calibri"/>
                <w:color w:val="424242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行政规范性文件</w:t>
            </w:r>
          </w:p>
        </w:tc>
        <w:tc>
          <w:tcPr>
            <w:tcW w:w="24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　</w:t>
            </w: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</w:rPr>
              <w:t> </w:t>
            </w:r>
            <w:r>
              <w:rPr>
                <w:rFonts w:hint="default" w:ascii="Calibri" w:hAnsi="Calibri" w:cs="Calibri"/>
                <w:color w:val="424242"/>
                <w:sz w:val="20"/>
                <w:szCs w:val="20"/>
                <w:lang w:val="en-US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gridSpan w:val="4"/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eastAsia="微软雅黑"/>
                <w:color w:val="424242"/>
                <w:lang w:val="en-US" w:eastAsia="zh-CN"/>
              </w:rPr>
            </w:pPr>
            <w:r>
              <w:rPr>
                <w:rFonts w:hint="eastAsia" w:ascii="Calibri" w:hAnsi="Calibri" w:cs="Calibri"/>
                <w:color w:val="424242"/>
                <w:sz w:val="20"/>
                <w:szCs w:val="20"/>
                <w:lang w:val="en-US" w:eastAsia="zh-CN"/>
              </w:rPr>
              <w:t>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gridSpan w:val="4"/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50" w:type="dxa"/>
            <w:gridSpan w:val="4"/>
            <w:shd w:val="clear" w:color="auto" w:fill="C6D9F1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  <w:lang w:eastAsia="zh-CN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宋体" w:hAnsi="宋体" w:eastAsia="宋体" w:cs="宋体"/>
                <w:color w:val="424242"/>
                <w:sz w:val="20"/>
                <w:szCs w:val="20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三、收到和处理政府信息公开申请情况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rFonts w:hint="eastAsia" w:ascii="黑体" w:hAnsi="宋体" w:eastAsia="黑体" w:cs="黑体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</w:pPr>
    </w:p>
    <w:tbl>
      <w:tblPr>
        <w:tblStyle w:val="7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900"/>
        <w:gridCol w:w="2034"/>
        <w:gridCol w:w="740"/>
        <w:gridCol w:w="889"/>
        <w:gridCol w:w="753"/>
        <w:gridCol w:w="753"/>
        <w:gridCol w:w="930"/>
        <w:gridCol w:w="645"/>
        <w:gridCol w:w="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自然人</w:t>
            </w:r>
          </w:p>
        </w:tc>
        <w:tc>
          <w:tcPr>
            <w:tcW w:w="40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法人或其他组织</w:t>
            </w:r>
          </w:p>
        </w:tc>
        <w:tc>
          <w:tcPr>
            <w:tcW w:w="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商业企业</w:t>
            </w:r>
          </w:p>
        </w:tc>
        <w:tc>
          <w:tcPr>
            <w:tcW w:w="69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科研机构</w:t>
            </w:r>
          </w:p>
        </w:tc>
        <w:tc>
          <w:tcPr>
            <w:tcW w:w="7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社会公益组织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法律服务机构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三、本年度办理结果</w:t>
            </w:r>
          </w:p>
        </w:tc>
        <w:tc>
          <w:tcPr>
            <w:tcW w:w="285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（一）予以公开</w:t>
            </w:r>
          </w:p>
        </w:tc>
        <w:tc>
          <w:tcPr>
            <w:tcW w:w="7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（二）部分公开（区分处理的，只计这一情形，不计其他情形）</w:t>
            </w:r>
          </w:p>
        </w:tc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（三）不予公开</w:t>
            </w:r>
          </w:p>
        </w:tc>
        <w:tc>
          <w:tcPr>
            <w:tcW w:w="20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1.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属于国家秘密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2.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其他法律行政法规禁止公开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3.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危及“三安全一稳定”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4.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保护第三方合法权益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5.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属于三类内部事务信息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6.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属于四类过程性信息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7.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属于行政执法案卷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8.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属于行政查询事项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（四）无法提供</w:t>
            </w: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1.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本机关不掌握相关政府信息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2.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没有现成信息需要另行制作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3.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补正后申请内容仍不明确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（五）不予处理</w:t>
            </w: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1.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信访举报投诉类申请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2.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重复申请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3.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要求提供公开出版物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4.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无正当理由大量反复申请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color w:val="424242"/>
                <w:sz w:val="20"/>
                <w:szCs w:val="20"/>
              </w:rPr>
              <w:t>5.</w:t>
            </w: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要求行政机关确认或重新出具已获取信息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（六）其他处理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（七）总计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3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left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四、结转下年度继续办理</w:t>
            </w:r>
          </w:p>
        </w:tc>
        <w:tc>
          <w:tcPr>
            <w:tcW w:w="76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left="0" w:right="0" w:firstLine="634"/>
        <w:jc w:val="both"/>
        <w:textAlignment w:val="auto"/>
        <w:rPr>
          <w:color w:val="42424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四、政府信息公开行政复议、行政诉讼情况</w:t>
      </w:r>
    </w:p>
    <w:tbl>
      <w:tblPr>
        <w:tblStyle w:val="7"/>
        <w:tblW w:w="8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601"/>
        <w:gridCol w:w="586"/>
        <w:gridCol w:w="556"/>
        <w:gridCol w:w="631"/>
        <w:gridCol w:w="616"/>
        <w:gridCol w:w="601"/>
        <w:gridCol w:w="601"/>
        <w:gridCol w:w="586"/>
        <w:gridCol w:w="586"/>
        <w:gridCol w:w="571"/>
        <w:gridCol w:w="586"/>
        <w:gridCol w:w="556"/>
        <w:gridCol w:w="556"/>
        <w:gridCol w:w="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29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行政复议</w:t>
            </w:r>
          </w:p>
        </w:tc>
        <w:tc>
          <w:tcPr>
            <w:tcW w:w="5880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结果纠正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其他结果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尚未审结</w:t>
            </w:r>
          </w:p>
        </w:tc>
        <w:tc>
          <w:tcPr>
            <w:tcW w:w="5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295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未经复议直接起诉</w:t>
            </w:r>
          </w:p>
        </w:tc>
        <w:tc>
          <w:tcPr>
            <w:tcW w:w="282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after="0" w:line="6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结果维持</w:t>
            </w:r>
          </w:p>
        </w:tc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结果纠正</w:t>
            </w:r>
          </w:p>
        </w:tc>
        <w:tc>
          <w:tcPr>
            <w:tcW w:w="5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其他结果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尚未审结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结果维持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结果纠正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其他结果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尚未审结</w:t>
            </w:r>
          </w:p>
        </w:tc>
        <w:tc>
          <w:tcPr>
            <w:tcW w:w="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</w:rPr>
            </w:pPr>
            <w:r>
              <w:rPr>
                <w:rFonts w:hint="eastAsia" w:ascii="仿宋_GB2312" w:eastAsia="仿宋_GB2312" w:cs="仿宋_GB2312"/>
                <w:color w:val="424242"/>
                <w:sz w:val="20"/>
                <w:szCs w:val="20"/>
                <w:lang w:eastAsia="zh-CN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eastAsia="微软雅黑"/>
                <w:color w:val="424242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spacing w:before="0" w:beforeAutospacing="0" w:after="0" w:afterAutospacing="0" w:line="600" w:lineRule="exact"/>
              <w:ind w:left="0" w:right="0"/>
              <w:textAlignment w:val="auto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color w:val="42424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color w:val="42424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存在主要问题：局内信息报送积极性不高。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改进措施：加强干部职工政务公开意识，贯彻落实政务公开有关规定，及时报送信息。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color w:val="424242"/>
        </w:rPr>
      </w:pPr>
      <w:r>
        <w:rPr>
          <w:rStyle w:val="9"/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六、</w:t>
      </w:r>
      <w:r>
        <w:rPr>
          <w:rFonts w:hint="eastAsia" w:ascii="黑体" w:hAnsi="宋体" w:eastAsia="黑体" w:cs="黑体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其他需要报告的事项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收取信息处理费的情况: 本年度无发出收费通知，无收取信息处理费用。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right"/>
        <w:textAlignment w:val="auto"/>
        <w:rPr>
          <w:color w:val="42424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韶关市武江区发展和改革局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24242"/>
          <w:spacing w:val="0"/>
          <w:sz w:val="32"/>
          <w:szCs w:val="32"/>
          <w:shd w:val="clear" w:fill="FFFFFF"/>
          <w:lang w:eastAsia="zh-CN"/>
        </w:rPr>
        <w:t>日　　　　</w:t>
      </w:r>
    </w:p>
    <w:sectPr>
      <w:pgSz w:w="11906" w:h="16838"/>
      <w:pgMar w:top="1701" w:right="1800" w:bottom="1134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0D31D50"/>
    <w:rsid w:val="00323B43"/>
    <w:rsid w:val="003D37D8"/>
    <w:rsid w:val="00426133"/>
    <w:rsid w:val="004358AB"/>
    <w:rsid w:val="008B7726"/>
    <w:rsid w:val="00D31D50"/>
    <w:rsid w:val="1A817DA4"/>
    <w:rsid w:val="251613EA"/>
    <w:rsid w:val="2719789F"/>
    <w:rsid w:val="47A523AF"/>
    <w:rsid w:val="60A325CE"/>
    <w:rsid w:val="687F141E"/>
    <w:rsid w:val="6BB9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ind w:firstLine="420" w:firstLineChars="200"/>
    </w:pPr>
    <w:rPr>
      <w:rFonts w:ascii="Times New Roman" w:eastAsia="宋体"/>
      <w:sz w:val="24"/>
    </w:rPr>
  </w:style>
  <w:style w:type="paragraph" w:customStyle="1" w:styleId="3">
    <w:name w:val="Normal Indent1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1443</Words>
  <Characters>1499</Characters>
  <Lines>1</Lines>
  <Paragraphs>1</Paragraphs>
  <TotalTime>3</TotalTime>
  <ScaleCrop>false</ScaleCrop>
  <LinksUpToDate>false</LinksUpToDate>
  <CharactersWithSpaces>1515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2023-01-29T01:16:35Z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24107C6DF8FB4D429C800129817F37C6</vt:lpwstr>
  </property>
</Properties>
</file>