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韶关市武江区人民政府202</w:t>
      </w: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2</w:t>
      </w:r>
      <w:r>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年度政府</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FangSong_GB2312" w:hAnsi="FangSong_GB2312" w:eastAsia="FangSong_GB2312"/>
          <w:sz w:val="32"/>
          <w:szCs w:val="24"/>
        </w:rPr>
      </w:pPr>
      <w:r>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信息公开工作报告</w:t>
      </w:r>
    </w:p>
    <w:p>
      <w:pPr>
        <w:keepNext w:val="0"/>
        <w:keepLines w:val="0"/>
        <w:pageBreakBefore w:val="0"/>
        <w:kinsoku/>
        <w:wordWrap/>
        <w:overflowPunct/>
        <w:topLinePunct w:val="0"/>
        <w:autoSpaceDE/>
        <w:autoSpaceDN/>
        <w:bidi w:val="0"/>
        <w:spacing w:beforeLines="0" w:afterLines="0" w:line="560" w:lineRule="exact"/>
        <w:jc w:val="left"/>
        <w:textAlignment w:val="auto"/>
        <w:rPr>
          <w:rFonts w:hint="eastAsia" w:ascii="FangSong_GB2312" w:hAnsi="FangSong_GB2312" w:eastAsia="FangSong_GB2312"/>
          <w:sz w:val="32"/>
          <w:szCs w:val="24"/>
        </w:rPr>
      </w:pPr>
    </w:p>
    <w:p>
      <w:pPr>
        <w:keepNext w:val="0"/>
        <w:keepLines w:val="0"/>
        <w:pageBreakBefore w:val="0"/>
        <w:kinsoku/>
        <w:wordWrap/>
        <w:overflowPunct/>
        <w:topLinePunct w:val="0"/>
        <w:autoSpaceDE/>
        <w:autoSpaceDN/>
        <w:bidi w:val="0"/>
        <w:spacing w:beforeLines="0" w:afterLines="0" w:line="560" w:lineRule="exact"/>
        <w:jc w:val="left"/>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Fonts w:hint="eastAsia" w:ascii="FangSong_GB2312" w:hAnsi="FangSong_GB2312" w:eastAsia="FangSong_GB2312"/>
          <w:sz w:val="32"/>
          <w:szCs w:val="24"/>
        </w:rPr>
        <w:t>市政府信息（政务）公开工作领导小组办公室</w:t>
      </w:r>
      <w:r>
        <w:rPr>
          <w:rFonts w:hint="eastAsia" w:ascii="仿宋_GB2312" w:hAnsi="仿宋_GB2312" w:eastAsia="仿宋_GB2312" w:cs="仿宋_GB2312"/>
          <w:b w:val="0"/>
          <w:bCs/>
          <w:i w:val="0"/>
          <w:caps w:val="0"/>
          <w:color w:val="333333"/>
          <w:spacing w:val="0"/>
          <w:sz w:val="32"/>
          <w:szCs w:val="32"/>
          <w:shd w:val="clear" w:fill="FFFFFF"/>
          <w:lang w:eastAsia="zh-CN"/>
        </w:rPr>
        <w:t>：</w:t>
      </w:r>
    </w:p>
    <w:p>
      <w:pPr>
        <w:keepNext w:val="0"/>
        <w:keepLines w:val="0"/>
        <w:pageBreakBefore w:val="0"/>
        <w:shd w:val="clear" w:color="auto" w:fill="auto"/>
        <w:kinsoku/>
        <w:wordWrap/>
        <w:overflowPunct/>
        <w:topLinePunct w:val="0"/>
        <w:autoSpaceDE/>
        <w:autoSpaceDN/>
        <w:bidi w:val="0"/>
        <w:spacing w:line="560" w:lineRule="exact"/>
        <w:ind w:firstLine="640" w:firstLineChars="200"/>
        <w:jc w:val="both"/>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根据《中华人民共和国政府信息公开条例》（以下简称《条例》）及《韶关市政府信息公开办法》等有关规定，现公布韶关市</w:t>
      </w:r>
      <w:r>
        <w:rPr>
          <w:rFonts w:hint="eastAsia" w:ascii="仿宋_GB2312" w:hAnsi="Calibri" w:eastAsia="仿宋_GB2312" w:cs="Times New Roman"/>
          <w:color w:val="auto"/>
          <w:sz w:val="32"/>
          <w:szCs w:val="32"/>
          <w:highlight w:val="none"/>
          <w:lang w:eastAsia="zh-CN"/>
        </w:rPr>
        <w:t>武江区</w:t>
      </w:r>
      <w:r>
        <w:rPr>
          <w:rFonts w:hint="eastAsia" w:ascii="仿宋_GB2312" w:hAnsi="Calibri" w:eastAsia="仿宋_GB2312" w:cs="Times New Roman"/>
          <w:color w:val="auto"/>
          <w:sz w:val="32"/>
          <w:szCs w:val="32"/>
          <w:highlight w:val="none"/>
        </w:rPr>
        <w:t>人民政府202</w:t>
      </w:r>
      <w:r>
        <w:rPr>
          <w:rFonts w:hint="eastAsia" w:ascii="仿宋_GB2312" w:hAnsi="Calibri" w:eastAsia="仿宋_GB2312" w:cs="Times New Roman"/>
          <w:color w:val="auto"/>
          <w:sz w:val="32"/>
          <w:szCs w:val="32"/>
          <w:highlight w:val="none"/>
          <w:lang w:val="en-US" w:eastAsia="zh-CN"/>
        </w:rPr>
        <w:t>2</w:t>
      </w:r>
      <w:r>
        <w:rPr>
          <w:rFonts w:hint="eastAsia" w:ascii="仿宋_GB2312" w:hAnsi="Calibri" w:eastAsia="仿宋_GB2312" w:cs="Times New Roman"/>
          <w:color w:val="auto"/>
          <w:sz w:val="32"/>
          <w:szCs w:val="32"/>
          <w:highlight w:val="none"/>
        </w:rPr>
        <w:t>年政府信息公开工作年度报告。本报告电子版可在韶关市</w:t>
      </w:r>
      <w:r>
        <w:rPr>
          <w:rFonts w:hint="eastAsia" w:ascii="仿宋_GB2312" w:hAnsi="Calibri" w:eastAsia="仿宋_GB2312" w:cs="Times New Roman"/>
          <w:color w:val="auto"/>
          <w:sz w:val="32"/>
          <w:szCs w:val="32"/>
          <w:highlight w:val="none"/>
          <w:lang w:eastAsia="zh-CN"/>
        </w:rPr>
        <w:t>武江区</w:t>
      </w:r>
      <w:r>
        <w:rPr>
          <w:rFonts w:hint="eastAsia" w:ascii="仿宋_GB2312" w:hAnsi="Calibri" w:eastAsia="仿宋_GB2312" w:cs="Times New Roman"/>
          <w:color w:val="auto"/>
          <w:sz w:val="32"/>
          <w:szCs w:val="32"/>
          <w:highlight w:val="none"/>
        </w:rPr>
        <w:t>人民政府门户网（http://www.sgwjq.gov.cn/）下载。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一、总体情况</w:t>
      </w:r>
    </w:p>
    <w:p>
      <w:pPr>
        <w:keepNext w:val="0"/>
        <w:keepLines w:val="0"/>
        <w:pageBreakBefore w:val="0"/>
        <w:shd w:val="clear" w:color="auto" w:fill="auto"/>
        <w:kinsoku/>
        <w:wordWrap/>
        <w:overflowPunct/>
        <w:topLinePunct w:val="0"/>
        <w:autoSpaceDE/>
        <w:autoSpaceDN/>
        <w:bidi w:val="0"/>
        <w:spacing w:line="560" w:lineRule="exact"/>
        <w:ind w:firstLine="640" w:firstLineChars="200"/>
        <w:jc w:val="both"/>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lang w:val="en-US" w:eastAsia="zh-CN"/>
        </w:rPr>
        <w:t>2022年，</w:t>
      </w:r>
      <w:r>
        <w:rPr>
          <w:rFonts w:hint="eastAsia" w:ascii="仿宋_GB2312" w:hAnsi="Calibri" w:eastAsia="仿宋_GB2312" w:cs="Times New Roman"/>
          <w:color w:val="auto"/>
          <w:sz w:val="32"/>
          <w:szCs w:val="32"/>
          <w:highlight w:val="none"/>
        </w:rPr>
        <w:t>在市委、市政府的正确领导下，</w:t>
      </w:r>
      <w:bookmarkStart w:id="0" w:name="_GoBack"/>
      <w:bookmarkEnd w:id="0"/>
      <w:r>
        <w:rPr>
          <w:rFonts w:hint="eastAsia" w:ascii="仿宋_GB2312" w:hAnsi="Calibri" w:eastAsia="仿宋_GB2312" w:cs="Times New Roman"/>
          <w:color w:val="auto"/>
          <w:sz w:val="32"/>
          <w:szCs w:val="32"/>
          <w:highlight w:val="none"/>
        </w:rPr>
        <w:t>我区认真贯彻落实《条例》和省、市关于政务公开工作安排部署，坚持以公开是原则、不公开是例外的要求，紧紧围绕疫情防控</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rPr>
        <w:t>经济社会发展和群众关注关切，大力推进政务公开工作，有效保障了人民群众的知情权，全力打造公开透明的阳</w:t>
      </w:r>
      <w:r>
        <w:rPr>
          <w:rFonts w:hint="eastAsia" w:ascii="仿宋_GB2312" w:hAnsi="Calibri" w:eastAsia="仿宋_GB2312" w:cs="Times New Roman"/>
          <w:color w:val="auto"/>
          <w:sz w:val="32"/>
          <w:szCs w:val="32"/>
          <w:highlight w:val="none"/>
          <w:lang w:eastAsia="zh-CN"/>
        </w:rPr>
        <w:t>光</w:t>
      </w:r>
      <w:r>
        <w:rPr>
          <w:rFonts w:hint="eastAsia" w:ascii="仿宋_GB2312" w:hAnsi="Calibri" w:eastAsia="仿宋_GB2312" w:cs="Times New Roman"/>
          <w:color w:val="auto"/>
          <w:sz w:val="32"/>
          <w:szCs w:val="32"/>
          <w:highlight w:val="none"/>
        </w:rPr>
        <w:t>政府。</w:t>
      </w:r>
    </w:p>
    <w:p>
      <w:pPr>
        <w:keepNext w:val="0"/>
        <w:keepLines w:val="0"/>
        <w:pageBreakBefore w:val="0"/>
        <w:shd w:val="clear" w:color="auto" w:fill="auto"/>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0"/>
          <w:sz w:val="32"/>
          <w:szCs w:val="32"/>
          <w:shd w:val="clear" w:color="auto" w:fill="FFFFFF"/>
          <w:lang w:val="en-US" w:eastAsia="zh-CN"/>
        </w:rPr>
        <w:t>（一）主动公开工作</w:t>
      </w:r>
      <w:r>
        <w:rPr>
          <w:rFonts w:hint="eastAsia" w:ascii="仿宋_GB2312" w:hAnsi="仿宋_GB2312" w:eastAsia="仿宋_GB2312" w:cs="仿宋_GB2312"/>
          <w:kern w:val="0"/>
          <w:sz w:val="32"/>
          <w:szCs w:val="32"/>
          <w:shd w:val="clear" w:color="auto" w:fill="FFFFFF"/>
          <w:lang w:val="en-US" w:eastAsia="zh-CN"/>
        </w:rPr>
        <w:t>。切实做好主动公开工作，实现“应公开尽公开”，围绕“放管服”改革、“六稳六保”以及重点民生领域和打赢疫情防控阻击战，及时公开涉及群众切实利益的政府信息。2022年，区政府门户网站主动公开信息6832条。</w:t>
      </w:r>
    </w:p>
    <w:p>
      <w:pPr>
        <w:keepNext w:val="0"/>
        <w:keepLines w:val="0"/>
        <w:pageBreakBefore w:val="0"/>
        <w:shd w:val="clear" w:color="auto" w:fill="auto"/>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color w:val="auto"/>
          <w:kern w:val="0"/>
          <w:sz w:val="32"/>
          <w:szCs w:val="32"/>
          <w:shd w:val="clear" w:color="auto" w:fill="FFFFFF"/>
          <w:lang w:val="en-US" w:eastAsia="zh-CN"/>
        </w:rPr>
      </w:pPr>
      <w:r>
        <w:rPr>
          <w:rFonts w:hint="eastAsia" w:ascii="楷体_GB2312" w:hAnsi="楷体_GB2312" w:eastAsia="楷体_GB2312" w:cs="楷体_GB2312"/>
          <w:kern w:val="0"/>
          <w:sz w:val="32"/>
          <w:szCs w:val="32"/>
          <w:shd w:val="clear" w:color="auto" w:fill="FFFFFF"/>
          <w:lang w:val="en-US" w:eastAsia="zh-CN"/>
        </w:rPr>
        <w:t>（二）依申请公开工作</w:t>
      </w:r>
      <w:r>
        <w:rPr>
          <w:rFonts w:hint="eastAsia" w:ascii="仿宋_GB2312" w:hAnsi="仿宋_GB2312" w:eastAsia="仿宋_GB2312" w:cs="仿宋_GB2312"/>
          <w:color w:val="auto"/>
          <w:kern w:val="0"/>
          <w:sz w:val="32"/>
          <w:szCs w:val="32"/>
          <w:shd w:val="clear" w:color="auto" w:fill="FFFFFF"/>
          <w:lang w:val="en-US" w:eastAsia="zh-CN"/>
        </w:rPr>
        <w:t>。依法依规办理公民申请公开政府信息相关工作，充分保障公民依法获取政府信息的权利，提高政府工作透明度，促进依法行政。2022年，区政府及各部门共办理依申请公开27件，其中自然人申请件26宗，法人或其他组织申请件1宗，1宗延期至下一年度内予以答复。予以公开及部分公开21宗，占77.78%；不予以公开0宗，占0%；因本机关不掌握等原因无法提供5宗，占18.52%；不予处理0宗，占0%；其他处理0宗，占0%；结转下年度办理1宗，占3.7%。</w:t>
      </w:r>
    </w:p>
    <w:p>
      <w:pPr>
        <w:keepNext w:val="0"/>
        <w:keepLines w:val="0"/>
        <w:pageBreakBefore w:val="0"/>
        <w:shd w:val="clear" w:color="auto" w:fill="auto"/>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楷体_GB2312" w:hAnsi="楷体_GB2312" w:eastAsia="楷体_GB2312" w:cs="楷体_GB2312"/>
          <w:kern w:val="0"/>
          <w:sz w:val="32"/>
          <w:szCs w:val="32"/>
          <w:shd w:val="clear" w:color="auto" w:fill="FFFFFF"/>
          <w:lang w:val="en-US" w:eastAsia="zh-CN"/>
        </w:rPr>
        <w:t>（三）政府信息管理工作</w:t>
      </w:r>
      <w:r>
        <w:rPr>
          <w:rFonts w:hint="eastAsia" w:ascii="仿宋_GB2312" w:hAnsi="仿宋_GB2312" w:eastAsia="仿宋_GB2312" w:cs="仿宋_GB2312"/>
          <w:kern w:val="0"/>
          <w:sz w:val="32"/>
          <w:szCs w:val="32"/>
          <w:shd w:val="clear" w:color="auto" w:fill="FFFFFF"/>
          <w:lang w:val="en-US" w:eastAsia="zh-CN"/>
        </w:rPr>
        <w:t>。按照国家和省、市的工作部署，规范政府信息公开及重点领域信息公开内容管理，加强政府信息发布范围、形式和载体等管理工作，让群众更加方便快捷获取政府信息。建设行政规范性文件库专题专栏，定期梳理更新区级规范性文件，提供在线查阅、检索、下载等服务。</w:t>
      </w:r>
    </w:p>
    <w:p>
      <w:pPr>
        <w:keepNext w:val="0"/>
        <w:keepLines w:val="0"/>
        <w:pageBreakBefore w:val="0"/>
        <w:shd w:val="clear" w:color="auto" w:fill="auto"/>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楷体_GB2312" w:hAnsi="楷体_GB2312" w:eastAsia="楷体_GB2312" w:cs="楷体_GB2312"/>
          <w:kern w:val="0"/>
          <w:sz w:val="32"/>
          <w:szCs w:val="32"/>
          <w:shd w:val="clear" w:color="auto" w:fill="FFFFFF"/>
          <w:lang w:val="en-US" w:eastAsia="zh-CN"/>
        </w:rPr>
        <w:t>（四）平台建设工作</w:t>
      </w:r>
      <w:r>
        <w:rPr>
          <w:rFonts w:hint="eastAsia" w:ascii="仿宋_GB2312" w:hAnsi="仿宋_GB2312" w:eastAsia="仿宋_GB2312" w:cs="仿宋_GB2312"/>
          <w:kern w:val="0"/>
          <w:sz w:val="32"/>
          <w:szCs w:val="32"/>
          <w:shd w:val="clear" w:color="auto" w:fill="FFFFFF"/>
          <w:lang w:val="en-US" w:eastAsia="zh-CN"/>
        </w:rPr>
        <w:t>。完成区政府网站适老化及无障碍、支持IPv6等改造工作，及时按要求报送区级政务新媒体基本信息，推进政务新媒体健康有序发展。</w:t>
      </w:r>
    </w:p>
    <w:p>
      <w:pPr>
        <w:keepNext w:val="0"/>
        <w:keepLines w:val="0"/>
        <w:pageBreakBefore w:val="0"/>
        <w:shd w:val="clear" w:color="auto" w:fill="auto"/>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楷体_GB2312" w:hAnsi="楷体_GB2312" w:eastAsia="楷体_GB2312" w:cs="楷体_GB2312"/>
          <w:kern w:val="0"/>
          <w:sz w:val="32"/>
          <w:szCs w:val="32"/>
          <w:shd w:val="clear" w:color="auto" w:fill="FFFFFF"/>
          <w:lang w:val="en-US" w:eastAsia="zh-CN"/>
        </w:rPr>
        <w:t>（五）解读回应工作</w:t>
      </w:r>
      <w:r>
        <w:rPr>
          <w:rFonts w:hint="eastAsia" w:ascii="仿宋_GB2312" w:hAnsi="仿宋_GB2312" w:eastAsia="仿宋_GB2312" w:cs="仿宋_GB2312"/>
          <w:kern w:val="0"/>
          <w:sz w:val="32"/>
          <w:szCs w:val="32"/>
          <w:shd w:val="clear" w:color="auto" w:fill="FFFFFF"/>
          <w:lang w:val="en-US" w:eastAsia="zh-CN"/>
        </w:rPr>
        <w:t>。积极发挥政府网站第一平台阵地作用，切实加强对政府政策的宣传解读，参照《韶关市政府系统政策解读工作细则（试行）》要求，做到解读材料与政策文件同步起草、同步审签、同步发布。2022年，区政府门户网站转载国家和省、市政策解读材料42条；12345政务服务便民热线全年共受理业务21289件，同比增长158.71%，办结率为100%。</w:t>
      </w:r>
    </w:p>
    <w:p>
      <w:pPr>
        <w:keepNext w:val="0"/>
        <w:keepLines w:val="0"/>
        <w:pageBreakBefore w:val="0"/>
        <w:shd w:val="clear" w:color="auto" w:fill="auto"/>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kern w:val="0"/>
          <w:sz w:val="32"/>
          <w:szCs w:val="32"/>
          <w:shd w:val="clear" w:color="auto" w:fill="FFFFFF"/>
          <w:lang w:val="en-US" w:eastAsia="zh-CN"/>
        </w:rPr>
      </w:pPr>
      <w:r>
        <w:rPr>
          <w:rFonts w:hint="eastAsia" w:ascii="楷体_GB2312" w:hAnsi="楷体_GB2312" w:eastAsia="楷体_GB2312" w:cs="楷体_GB2312"/>
          <w:kern w:val="0"/>
          <w:sz w:val="32"/>
          <w:szCs w:val="32"/>
          <w:shd w:val="clear" w:color="auto" w:fill="FFFFFF"/>
          <w:lang w:val="en-US" w:eastAsia="zh-CN"/>
        </w:rPr>
        <w:t>（六）监督保障工作</w:t>
      </w:r>
      <w:r>
        <w:rPr>
          <w:rFonts w:hint="eastAsia" w:ascii="仿宋_GB2312" w:hAnsi="仿宋_GB2312" w:eastAsia="仿宋_GB2312" w:cs="仿宋_GB2312"/>
          <w:kern w:val="0"/>
          <w:sz w:val="32"/>
          <w:szCs w:val="32"/>
          <w:shd w:val="clear" w:color="auto" w:fill="FFFFFF"/>
          <w:lang w:val="en-US" w:eastAsia="zh-CN"/>
        </w:rPr>
        <w:t>。持续完善政府信息公开监督体系，将政府信息主动公开、依申请公开，以及政策解读、政务舆情、政府信息主动公开基本目录编制等工作落实情况纳入区直部门政务公开绩效考核范围，并确保分值权重不低于4%。同时，按照法治广东建设等考评工作要求，加强对区政府部门和各镇（街）政务公开工作的考核。认真落实2022年度全省政务公开评估工作要求，不断提升各单位政务公开工作质量水平。强化对全区政府网站考评检测工作，完善全区政府网站和政务新媒体开展日常监测工作机制，做到每月巡查全覆盖。扎实推进政务公开业务、政府网站与政务新媒体考评工作培训，组织各镇（街）和区直单位开展专项培训，不断提升政府信息公开工作人员的业务素质和能力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6"/>
        <w:tblW w:w="8846" w:type="dxa"/>
        <w:jc w:val="center"/>
        <w:shd w:val="clear" w:color="auto" w:fill="auto"/>
        <w:tblLayout w:type="autofit"/>
        <w:tblCellMar>
          <w:top w:w="0" w:type="dxa"/>
          <w:left w:w="0" w:type="dxa"/>
          <w:bottom w:w="0" w:type="dxa"/>
          <w:right w:w="0" w:type="dxa"/>
        </w:tblCellMar>
      </w:tblPr>
      <w:tblGrid>
        <w:gridCol w:w="1926"/>
        <w:gridCol w:w="2435"/>
        <w:gridCol w:w="2435"/>
        <w:gridCol w:w="2050"/>
      </w:tblGrid>
      <w:tr>
        <w:tblPrEx>
          <w:tblCellMar>
            <w:top w:w="0" w:type="dxa"/>
            <w:left w:w="0" w:type="dxa"/>
            <w:bottom w:w="0" w:type="dxa"/>
            <w:right w:w="0" w:type="dxa"/>
          </w:tblCellMar>
        </w:tblPrEx>
        <w:trPr>
          <w:trHeight w:val="90" w:hRule="atLeast"/>
          <w:jc w:val="center"/>
        </w:trPr>
        <w:tc>
          <w:tcPr>
            <w:tcW w:w="8846"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9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0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19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0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19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0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Calibri" w:hAnsi="Calibri" w:cs="Calibri"/>
                <w:kern w:val="0"/>
                <w:sz w:val="21"/>
                <w:szCs w:val="21"/>
                <w:lang w:val="en-US" w:eastAsia="zh-CN" w:bidi="ar"/>
              </w:rPr>
              <w:t>4</w:t>
            </w:r>
          </w:p>
        </w:tc>
      </w:tr>
      <w:tr>
        <w:tblPrEx>
          <w:shd w:val="clear" w:color="auto" w:fill="auto"/>
          <w:tblCellMar>
            <w:top w:w="0" w:type="dxa"/>
            <w:left w:w="0" w:type="dxa"/>
            <w:bottom w:w="0" w:type="dxa"/>
            <w:right w:w="0" w:type="dxa"/>
          </w:tblCellMar>
        </w:tblPrEx>
        <w:trPr>
          <w:trHeight w:val="516" w:hRule="atLeast"/>
          <w:jc w:val="center"/>
        </w:trPr>
        <w:tc>
          <w:tcPr>
            <w:tcW w:w="8846"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9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692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9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行政许可</w:t>
            </w:r>
          </w:p>
        </w:tc>
        <w:tc>
          <w:tcPr>
            <w:tcW w:w="692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Times New Roman" w:hAnsi="Times New Roman"/>
                <w:color w:val="auto"/>
                <w:sz w:val="21"/>
                <w:szCs w:val="21"/>
                <w:lang w:val="en-US" w:eastAsia="zh-CN"/>
              </w:rPr>
              <w:t>1710</w:t>
            </w:r>
          </w:p>
        </w:tc>
      </w:tr>
      <w:tr>
        <w:tblPrEx>
          <w:shd w:val="clear" w:color="auto" w:fill="auto"/>
          <w:tblCellMar>
            <w:top w:w="0" w:type="dxa"/>
            <w:left w:w="0" w:type="dxa"/>
            <w:bottom w:w="0" w:type="dxa"/>
            <w:right w:w="0" w:type="dxa"/>
          </w:tblCellMar>
        </w:tblPrEx>
        <w:trPr>
          <w:trHeight w:val="516" w:hRule="atLeast"/>
          <w:jc w:val="center"/>
        </w:trPr>
        <w:tc>
          <w:tcPr>
            <w:tcW w:w="8846"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9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6920"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9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行政处罚</w:t>
            </w:r>
          </w:p>
        </w:tc>
        <w:tc>
          <w:tcPr>
            <w:tcW w:w="692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Times New Roman" w:hAnsi="Times New Roman"/>
                <w:color w:val="auto"/>
                <w:sz w:val="21"/>
                <w:szCs w:val="21"/>
                <w:lang w:val="en-US" w:eastAsia="zh-CN"/>
              </w:rPr>
              <w:t>366</w:t>
            </w:r>
          </w:p>
        </w:tc>
      </w:tr>
      <w:tr>
        <w:tblPrEx>
          <w:shd w:val="clear" w:color="auto" w:fill="auto"/>
          <w:tblCellMar>
            <w:top w:w="0" w:type="dxa"/>
            <w:left w:w="0" w:type="dxa"/>
            <w:bottom w:w="0" w:type="dxa"/>
            <w:right w:w="0" w:type="dxa"/>
          </w:tblCellMar>
        </w:tblPrEx>
        <w:trPr>
          <w:trHeight w:val="340" w:hRule="atLeast"/>
          <w:jc w:val="center"/>
        </w:trPr>
        <w:tc>
          <w:tcPr>
            <w:tcW w:w="19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行政强制</w:t>
            </w:r>
          </w:p>
        </w:tc>
        <w:tc>
          <w:tcPr>
            <w:tcW w:w="692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Times New Roman" w:hAnsi="Times New Roman"/>
                <w:color w:val="auto"/>
                <w:sz w:val="21"/>
                <w:szCs w:val="21"/>
                <w:lang w:val="en-US" w:eastAsia="zh-CN"/>
              </w:rPr>
              <w:t>94</w:t>
            </w:r>
          </w:p>
        </w:tc>
      </w:tr>
      <w:tr>
        <w:tblPrEx>
          <w:shd w:val="clear" w:color="auto" w:fill="auto"/>
          <w:tblCellMar>
            <w:top w:w="0" w:type="dxa"/>
            <w:left w:w="0" w:type="dxa"/>
            <w:bottom w:w="0" w:type="dxa"/>
            <w:right w:w="0" w:type="dxa"/>
          </w:tblCellMar>
        </w:tblPrEx>
        <w:trPr>
          <w:trHeight w:val="340" w:hRule="atLeast"/>
          <w:jc w:val="center"/>
        </w:trPr>
        <w:tc>
          <w:tcPr>
            <w:tcW w:w="8846"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9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692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9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行政事业性收费</w:t>
            </w:r>
          </w:p>
        </w:tc>
        <w:tc>
          <w:tcPr>
            <w:tcW w:w="692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ind w:firstLine="3360" w:firstLineChars="1400"/>
              <w:textAlignment w:val="auto"/>
              <w:rPr>
                <w:rFonts w:hint="eastAsia" w:ascii="宋体" w:eastAsiaTheme="minorEastAsia"/>
                <w:sz w:val="24"/>
                <w:szCs w:val="24"/>
                <w:lang w:val="en-US" w:eastAsia="zh-CN"/>
              </w:rPr>
            </w:pPr>
            <w:r>
              <w:rPr>
                <w:rFonts w:hint="eastAsia" w:ascii="宋体" w:eastAsiaTheme="minorEastAsia"/>
                <w:sz w:val="24"/>
                <w:szCs w:val="24"/>
                <w:lang w:val="en-US" w:eastAsia="zh-CN"/>
              </w:rPr>
              <w:t>1096.08</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tbl>
      <w:tblPr>
        <w:tblStyle w:val="6"/>
        <w:tblW w:w="885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4"/>
        <w:gridCol w:w="915"/>
        <w:gridCol w:w="2899"/>
        <w:gridCol w:w="644"/>
        <w:gridCol w:w="644"/>
        <w:gridCol w:w="644"/>
        <w:gridCol w:w="644"/>
        <w:gridCol w:w="644"/>
        <w:gridCol w:w="645"/>
        <w:gridCol w:w="6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28"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52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64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221"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60"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74" w:hRule="atLeast"/>
          <w:jc w:val="center"/>
        </w:trPr>
        <w:tc>
          <w:tcPr>
            <w:tcW w:w="4328" w:type="dxa"/>
            <w:gridSpan w:val="3"/>
            <w:vMerge w:val="continue"/>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644"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644"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hint="eastAsia" w:ascii="宋体" w:hAnsi="宋体" w:eastAsia="宋体" w:cs="宋体"/>
                <w:kern w:val="0"/>
                <w:sz w:val="20"/>
                <w:szCs w:val="20"/>
                <w:lang w:val="en-US" w:eastAsia="zh-CN" w:bidi="ar"/>
              </w:rPr>
              <w:t>企业</w:t>
            </w:r>
          </w:p>
        </w:tc>
        <w:tc>
          <w:tcPr>
            <w:tcW w:w="644"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hint="eastAsia" w:ascii="宋体" w:hAnsi="宋体" w:eastAsia="宋体" w:cs="宋体"/>
                <w:kern w:val="0"/>
                <w:sz w:val="20"/>
                <w:szCs w:val="20"/>
                <w:lang w:val="en-US" w:eastAsia="zh-CN" w:bidi="ar"/>
              </w:rPr>
              <w:t>机构</w:t>
            </w:r>
          </w:p>
        </w:tc>
        <w:tc>
          <w:tcPr>
            <w:tcW w:w="644"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644"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645"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hint="eastAsia" w:ascii="宋体" w:hAnsi="宋体" w:eastAsia="宋体" w:cs="宋体"/>
                <w:kern w:val="0"/>
                <w:sz w:val="20"/>
                <w:szCs w:val="20"/>
                <w:lang w:val="en-US" w:eastAsia="zh-CN" w:bidi="ar"/>
              </w:rPr>
              <w:t>其他</w:t>
            </w:r>
          </w:p>
        </w:tc>
        <w:tc>
          <w:tcPr>
            <w:tcW w:w="660" w:type="dxa"/>
            <w:vMerge w:val="continue"/>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28"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lang w:val="en-US"/>
              </w:rPr>
            </w:pPr>
            <w:r>
              <w:rPr>
                <w:rFonts w:hint="eastAsia" w:ascii="Calibri" w:hAnsi="Calibri" w:cs="Calibri"/>
                <w:kern w:val="0"/>
                <w:sz w:val="20"/>
                <w:szCs w:val="20"/>
                <w:lang w:val="en-US" w:eastAsia="zh-CN" w:bidi="ar"/>
              </w:rPr>
              <w:t>26</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1</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lang w:val="en-US"/>
              </w:rPr>
            </w:pPr>
            <w:r>
              <w:rPr>
                <w:rFonts w:hint="eastAsia" w:ascii="Calibri" w:hAnsi="Calibri" w:cs="Calibri"/>
                <w:kern w:val="0"/>
                <w:sz w:val="20"/>
                <w:szCs w:val="20"/>
                <w:lang w:val="en-US" w:eastAsia="zh-CN" w:bidi="ar"/>
              </w:rPr>
              <w:t>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28" w:type="dxa"/>
            <w:gridSpan w:val="3"/>
            <w:tcBorders>
              <w:top w:val="single" w:color="auto" w:sz="4" w:space="0"/>
              <w:left w:val="single" w:color="auto" w:sz="8" w:space="0"/>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44"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4"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5"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60"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3814"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lang w:val="en-US"/>
              </w:rPr>
            </w:pPr>
            <w:r>
              <w:rPr>
                <w:rFonts w:hint="eastAsia" w:ascii="Calibri" w:hAnsi="Calibri" w:cs="Calibri"/>
                <w:kern w:val="0"/>
                <w:sz w:val="20"/>
                <w:szCs w:val="20"/>
                <w:lang w:val="en-US" w:eastAsia="zh-CN" w:bidi="ar"/>
              </w:rPr>
              <w:t>6</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1</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lang w:val="en-US"/>
              </w:rPr>
            </w:pPr>
            <w:r>
              <w:rPr>
                <w:rFonts w:hint="eastAsia" w:ascii="Calibri" w:hAnsi="Calibri" w:cs="Calibri"/>
                <w:kern w:val="0"/>
                <w:sz w:val="20"/>
                <w:szCs w:val="20"/>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3814"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lang w:val="en-US"/>
              </w:rPr>
            </w:pPr>
            <w:r>
              <w:rPr>
                <w:rFonts w:hint="eastAsia" w:ascii="Calibri" w:hAnsi="Calibri" w:cs="Calibri"/>
                <w:kern w:val="0"/>
                <w:sz w:val="20"/>
                <w:szCs w:val="20"/>
                <w:lang w:val="en-US" w:eastAsia="zh-CN" w:bidi="ar"/>
              </w:rPr>
              <w:t>14</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lang w:val="en-US"/>
              </w:rPr>
            </w:pPr>
            <w:r>
              <w:rPr>
                <w:rFonts w:hint="eastAsia" w:ascii="Calibri" w:hAnsi="Calibri" w:cs="Calibri"/>
                <w:kern w:val="0"/>
                <w:sz w:val="20"/>
                <w:szCs w:val="20"/>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8" w:hRule="atLeast"/>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4" w:hRule="atLeast"/>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hint="eastAsia" w:ascii="Calibri" w:hAnsi="Calibri" w:cs="Calibri"/>
                <w:kern w:val="0"/>
                <w:sz w:val="20"/>
                <w:szCs w:val="20"/>
                <w:lang w:val="en-US" w:eastAsia="zh-CN" w:bidi="ar"/>
              </w:rPr>
              <w:t>5</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lang w:val="en-US"/>
              </w:rPr>
            </w:pPr>
            <w:r>
              <w:rPr>
                <w:rFonts w:hint="eastAsia" w:ascii="Calibri" w:hAnsi="Calibri" w:cs="Calibri"/>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3" w:hRule="atLeast"/>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5.要求行政机关确认或重新出具已获取信息</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40" w:hRule="atLeast"/>
          <w:jc w:val="center"/>
        </w:trPr>
        <w:tc>
          <w:tcPr>
            <w:tcW w:w="514"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28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single" w:color="auto" w:sz="4" w:space="0"/>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single" w:color="auto" w:sz="4"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44"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5"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60"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2" w:hRule="atLeast"/>
          <w:jc w:val="center"/>
        </w:trPr>
        <w:tc>
          <w:tcPr>
            <w:tcW w:w="514"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91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28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3.其他</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eastAsiaTheme="minorEastAsia"/>
                <w:lang w:val="en-US" w:eastAsia="zh-CN"/>
              </w:rPr>
            </w:pPr>
            <w:r>
              <w:rPr>
                <w:rFonts w:hint="eastAsia" w:ascii="Calibri" w:hAnsi="Calibri" w:cs="Calibri"/>
                <w:kern w:val="0"/>
                <w:sz w:val="20"/>
                <w:szCs w:val="20"/>
                <w:lang w:val="en-US" w:eastAsia="zh-CN" w:bidi="ar"/>
              </w:rPr>
              <w:t>0</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8" w:hRule="atLeast"/>
          <w:jc w:val="center"/>
        </w:trPr>
        <w:tc>
          <w:tcPr>
            <w:tcW w:w="514"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38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lang w:val="en-US"/>
              </w:rPr>
            </w:pPr>
            <w:r>
              <w:rPr>
                <w:rFonts w:hint="eastAsia" w:ascii="Calibri" w:hAnsi="Calibri" w:cs="Calibri"/>
                <w:kern w:val="0"/>
                <w:sz w:val="20"/>
                <w:szCs w:val="20"/>
                <w:lang w:val="en-US" w:eastAsia="zh-CN" w:bidi="ar"/>
              </w:rPr>
              <w:t>25</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1</w:t>
            </w:r>
          </w:p>
        </w:tc>
        <w:tc>
          <w:tcPr>
            <w:tcW w:w="64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lang w:val="en-US"/>
              </w:rPr>
            </w:pPr>
            <w:r>
              <w:rPr>
                <w:rFonts w:hint="eastAsia" w:ascii="Calibri" w:hAnsi="Calibri" w:cs="Calibri"/>
                <w:kern w:val="0"/>
                <w:sz w:val="20"/>
                <w:szCs w:val="20"/>
                <w:lang w:val="en-US" w:eastAsia="zh-CN" w:bidi="ar"/>
              </w:rPr>
              <w:t>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2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lang w:val="en-US"/>
              </w:rPr>
            </w:pPr>
            <w:r>
              <w:rPr>
                <w:rFonts w:hint="eastAsia" w:ascii="Calibri" w:hAnsi="Calibri" w:cs="Calibri"/>
                <w:kern w:val="0"/>
                <w:sz w:val="20"/>
                <w:szCs w:val="20"/>
                <w:lang w:val="en-US" w:eastAsia="zh-CN" w:bidi="ar"/>
              </w:rPr>
              <w:t>1</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4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lang w:val="en-US"/>
              </w:rPr>
            </w:pPr>
            <w:r>
              <w:rPr>
                <w:rFonts w:hint="eastAsia" w:ascii="Calibri" w:hAnsi="Calibri" w:cs="Calibri"/>
                <w:kern w:val="0"/>
                <w:sz w:val="20"/>
                <w:szCs w:val="20"/>
                <w:lang w:val="en-US" w:eastAsia="zh-CN" w:bidi="ar"/>
              </w:rPr>
              <w:t>0</w:t>
            </w:r>
          </w:p>
        </w:tc>
        <w:tc>
          <w:tcPr>
            <w:tcW w:w="64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400" w:lineRule="exact"/>
              <w:ind w:firstLine="200" w:firstLineChars="100"/>
              <w:jc w:val="center"/>
              <w:textAlignment w:val="auto"/>
              <w:rPr>
                <w:rFonts w:hint="eastAsia" w:ascii="宋体" w:eastAsiaTheme="minorEastAsia"/>
                <w:sz w:val="24"/>
                <w:szCs w:val="24"/>
                <w:lang w:val="en-US" w:eastAsia="zh-CN"/>
              </w:rPr>
            </w:pPr>
            <w:r>
              <w:rPr>
                <w:rFonts w:hint="eastAsia" w:ascii="Calibri" w:hAnsi="Calibri" w:cs="Calibri"/>
                <w:kern w:val="0"/>
                <w:sz w:val="20"/>
                <w:szCs w:val="20"/>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四、</w:t>
      </w:r>
      <w:r>
        <w:rPr>
          <w:rFonts w:hint="eastAsia" w:ascii="黑体" w:hAnsi="黑体" w:eastAsia="黑体" w:cs="黑体"/>
          <w:b w:val="0"/>
          <w:bCs/>
          <w:i w:val="0"/>
          <w:caps w:val="0"/>
          <w:color w:val="333333"/>
          <w:spacing w:val="0"/>
          <w:sz w:val="32"/>
          <w:szCs w:val="32"/>
          <w:shd w:val="clear" w:fill="FFFFFF"/>
        </w:rPr>
        <w:t>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2" w:type="dxa"/>
            <w:vMerge w:val="restart"/>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642" w:type="dxa"/>
            <w:vMerge w:val="continue"/>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642" w:type="dxa"/>
            <w:vMerge w:val="continue"/>
            <w:tcBorders>
              <w:top w:val="single" w:color="auto" w:sz="8" w:space="0"/>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1</w:t>
            </w:r>
          </w:p>
        </w:tc>
        <w:tc>
          <w:tcPr>
            <w:tcW w:w="642"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rPr>
            </w:pPr>
            <w:r>
              <w:rPr>
                <w:rFonts w:hint="eastAsia" w:ascii="黑体" w:hAnsi="黑体" w:eastAsia="黑体" w:cs="黑体"/>
                <w:kern w:val="0"/>
                <w:sz w:val="20"/>
                <w:szCs w:val="20"/>
                <w:lang w:val="en-US" w:eastAsia="zh-CN" w:bidi="ar"/>
              </w:rPr>
              <w:t>3</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五、</w:t>
      </w:r>
      <w:r>
        <w:rPr>
          <w:rFonts w:hint="eastAsia" w:ascii="黑体" w:hAnsi="黑体" w:eastAsia="黑体" w:cs="黑体"/>
          <w:b w:val="0"/>
          <w:bCs/>
          <w:i w:val="0"/>
          <w:caps w:val="0"/>
          <w:color w:val="333333"/>
          <w:spacing w:val="0"/>
          <w:sz w:val="32"/>
          <w:szCs w:val="32"/>
          <w:shd w:val="clear" w:fill="FFFFFF"/>
          <w:lang w:eastAsia="zh-CN"/>
        </w:rPr>
        <w:t>存在</w:t>
      </w:r>
      <w:r>
        <w:rPr>
          <w:rFonts w:hint="eastAsia" w:ascii="黑体" w:hAnsi="黑体" w:eastAsia="黑体" w:cs="黑体"/>
          <w:b w:val="0"/>
          <w:bCs/>
          <w:i w:val="0"/>
          <w:caps w:val="0"/>
          <w:color w:val="333333"/>
          <w:spacing w:val="0"/>
          <w:sz w:val="32"/>
          <w:szCs w:val="32"/>
          <w:shd w:val="clear" w:fill="FFFFFF"/>
        </w:rPr>
        <w:t>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2022年，韶关市武江区人民政府政府信息公开工作取得了一定的成效，但也存在一些不足：</w:t>
      </w:r>
      <w:r>
        <w:rPr>
          <w:rFonts w:hint="eastAsia" w:ascii="仿宋_GB2312" w:hAnsi="仿宋_GB2312" w:eastAsia="仿宋_GB2312" w:cs="仿宋_GB2312"/>
          <w:b/>
          <w:bCs/>
          <w:kern w:val="0"/>
          <w:sz w:val="32"/>
          <w:szCs w:val="32"/>
          <w:shd w:val="clear" w:color="auto" w:fill="FFFFFF"/>
          <w:lang w:val="en-US" w:eastAsia="zh-CN" w:bidi="ar"/>
        </w:rPr>
        <w:t>一是</w:t>
      </w:r>
      <w:r>
        <w:rPr>
          <w:rFonts w:hint="eastAsia" w:ascii="仿宋_GB2312" w:hAnsi="仿宋_GB2312" w:eastAsia="仿宋_GB2312" w:cs="仿宋_GB2312"/>
          <w:kern w:val="0"/>
          <w:sz w:val="32"/>
          <w:szCs w:val="32"/>
          <w:shd w:val="clear" w:color="auto" w:fill="FFFFFF"/>
          <w:lang w:val="en-US" w:eastAsia="zh-CN" w:bidi="ar"/>
        </w:rPr>
        <w:t>政府信息主动公开力度有待进一步提高；</w:t>
      </w:r>
      <w:r>
        <w:rPr>
          <w:rFonts w:hint="eastAsia" w:ascii="仿宋_GB2312" w:hAnsi="仿宋_GB2312" w:eastAsia="仿宋_GB2312" w:cs="仿宋_GB2312"/>
          <w:b/>
          <w:bCs/>
          <w:kern w:val="0"/>
          <w:sz w:val="32"/>
          <w:szCs w:val="32"/>
          <w:shd w:val="clear" w:color="auto" w:fill="FFFFFF"/>
          <w:lang w:val="en-US" w:eastAsia="zh-CN" w:bidi="ar"/>
        </w:rPr>
        <w:t>二是</w:t>
      </w:r>
      <w:r>
        <w:rPr>
          <w:rFonts w:hint="eastAsia" w:ascii="仿宋_GB2312" w:hAnsi="仿宋_GB2312" w:eastAsia="仿宋_GB2312" w:cs="仿宋_GB2312"/>
          <w:kern w:val="0"/>
          <w:sz w:val="32"/>
          <w:szCs w:val="32"/>
          <w:shd w:val="clear" w:color="auto" w:fill="FFFFFF"/>
          <w:lang w:val="en-US" w:eastAsia="zh-CN" w:bidi="ar"/>
        </w:rPr>
        <w:t>政策文件解读质量有待进一步加强；</w:t>
      </w:r>
      <w:r>
        <w:rPr>
          <w:rFonts w:hint="eastAsia" w:ascii="仿宋_GB2312" w:hAnsi="仿宋_GB2312" w:eastAsia="仿宋_GB2312" w:cs="仿宋_GB2312"/>
          <w:b/>
          <w:bCs/>
          <w:kern w:val="0"/>
          <w:sz w:val="32"/>
          <w:szCs w:val="32"/>
          <w:shd w:val="clear" w:color="auto" w:fill="FFFFFF"/>
          <w:lang w:val="en-US" w:eastAsia="zh-CN" w:bidi="ar"/>
        </w:rPr>
        <w:t>三是</w:t>
      </w:r>
      <w:r>
        <w:rPr>
          <w:rFonts w:hint="eastAsia" w:ascii="仿宋_GB2312" w:hAnsi="仿宋_GB2312" w:eastAsia="仿宋_GB2312" w:cs="仿宋_GB2312"/>
          <w:kern w:val="0"/>
          <w:sz w:val="32"/>
          <w:szCs w:val="32"/>
          <w:shd w:val="clear" w:color="auto" w:fill="FFFFFF"/>
          <w:lang w:val="en-US" w:eastAsia="zh-CN" w:bidi="ar"/>
        </w:rPr>
        <w:t>依申请公开业务水平有待进一步提升。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下一步，韶关市武江区人民政府将坚持以习近平新时代中国特色社会主义思想为指导，深入学习贯彻党的二十大精神，按照国家和省、市有关政府信息公开工作的决策部署，进一步推进武江政府信息公开工作：</w:t>
      </w:r>
      <w:r>
        <w:rPr>
          <w:rFonts w:hint="eastAsia" w:ascii="仿宋_GB2312" w:hAnsi="仿宋_GB2312" w:eastAsia="仿宋_GB2312" w:cs="仿宋_GB2312"/>
          <w:b/>
          <w:bCs/>
          <w:kern w:val="0"/>
          <w:sz w:val="32"/>
          <w:szCs w:val="32"/>
          <w:shd w:val="clear" w:color="auto" w:fill="FFFFFF"/>
          <w:lang w:val="en-US" w:eastAsia="zh-CN" w:bidi="ar"/>
        </w:rPr>
        <w:t>一是</w:t>
      </w:r>
      <w:r>
        <w:rPr>
          <w:rFonts w:hint="eastAsia" w:ascii="仿宋_GB2312" w:hAnsi="仿宋_GB2312" w:eastAsia="仿宋_GB2312" w:cs="仿宋_GB2312"/>
          <w:kern w:val="0"/>
          <w:sz w:val="32"/>
          <w:szCs w:val="32"/>
          <w:shd w:val="clear" w:color="auto" w:fill="FFFFFF"/>
          <w:lang w:val="en-US" w:eastAsia="zh-CN" w:bidi="ar"/>
        </w:rPr>
        <w:t>提高对政府信息公开工作的认识，认真查找差距与不足，虚心借鉴先进经验做法，进一步理顺工作职能职责，健全完善政府信息公开工作制度，不断推进政府信息公开工作的制度化和规范化。</w:t>
      </w:r>
      <w:r>
        <w:rPr>
          <w:rFonts w:hint="eastAsia" w:ascii="仿宋_GB2312" w:hAnsi="仿宋_GB2312" w:eastAsia="仿宋_GB2312" w:cs="仿宋_GB2312"/>
          <w:b/>
          <w:bCs/>
          <w:kern w:val="0"/>
          <w:sz w:val="32"/>
          <w:szCs w:val="32"/>
          <w:shd w:val="clear" w:color="auto" w:fill="FFFFFF"/>
          <w:lang w:val="en-US" w:eastAsia="zh-CN" w:bidi="ar"/>
        </w:rPr>
        <w:t>二是</w:t>
      </w:r>
      <w:r>
        <w:rPr>
          <w:rFonts w:hint="eastAsia" w:ascii="仿宋_GB2312" w:hAnsi="仿宋_GB2312" w:eastAsia="仿宋_GB2312" w:cs="仿宋_GB2312"/>
          <w:kern w:val="0"/>
          <w:sz w:val="32"/>
          <w:szCs w:val="32"/>
          <w:shd w:val="clear" w:color="auto" w:fill="FFFFFF"/>
          <w:lang w:val="en-US" w:eastAsia="zh-CN" w:bidi="ar"/>
        </w:rPr>
        <w:t>强化政府信息主动公开工作，及时、准确、全面公开涉及市场主体、减税降费、扩大有效投资、优化营商环境、就业稳岗、公共企事业单位等方面信息，并采取图文、音视频等多种形式加强政策解读工作，增强政府信息公开效果。</w:t>
      </w:r>
      <w:r>
        <w:rPr>
          <w:rFonts w:hint="eastAsia" w:ascii="仿宋_GB2312" w:hAnsi="仿宋_GB2312" w:eastAsia="仿宋_GB2312" w:cs="仿宋_GB2312"/>
          <w:b/>
          <w:bCs/>
          <w:kern w:val="0"/>
          <w:sz w:val="32"/>
          <w:szCs w:val="32"/>
          <w:shd w:val="clear" w:color="auto" w:fill="FFFFFF"/>
          <w:lang w:val="en-US" w:eastAsia="zh-CN" w:bidi="ar"/>
        </w:rPr>
        <w:t>三是</w:t>
      </w:r>
      <w:r>
        <w:rPr>
          <w:rFonts w:hint="eastAsia" w:ascii="仿宋_GB2312" w:hAnsi="仿宋_GB2312" w:eastAsia="仿宋_GB2312" w:cs="仿宋_GB2312"/>
          <w:kern w:val="0"/>
          <w:sz w:val="32"/>
          <w:szCs w:val="32"/>
          <w:shd w:val="clear" w:color="auto" w:fill="FFFFFF"/>
          <w:lang w:val="en-US" w:eastAsia="zh-CN" w:bidi="ar"/>
        </w:rPr>
        <w:t>加强依申请公开答复流程业务知识解答与培训，提升工作人员业务水平，完善互动交流的常态化机制，拓展政民互动交流途径，加强政务服务大厅、融媒体中心等互动发展，进一步提高政府信息公开工作水平。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本年度无发出收费通知，无收取信息处理费用。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韶关市武江区人民政府办公室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2023年1月  日</w:t>
      </w:r>
    </w:p>
    <w:sectPr>
      <w:footerReference r:id="rId3" w:type="default"/>
      <w:pgSz w:w="11906" w:h="16838"/>
      <w:pgMar w:top="2098" w:right="1701" w:bottom="1984" w:left="1701" w:header="851" w:footer="1757"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FangSong_GB2312">
    <w:altName w:val="方正仿宋_GBK"/>
    <w:panose1 w:val="00000000000000000000"/>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2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954B8"/>
    <w:rsid w:val="02CA179F"/>
    <w:rsid w:val="036B4D03"/>
    <w:rsid w:val="04305BEE"/>
    <w:rsid w:val="04C32BDF"/>
    <w:rsid w:val="0523067A"/>
    <w:rsid w:val="055E085F"/>
    <w:rsid w:val="0661309E"/>
    <w:rsid w:val="071311AA"/>
    <w:rsid w:val="07C14757"/>
    <w:rsid w:val="07FD2059"/>
    <w:rsid w:val="0809043D"/>
    <w:rsid w:val="08D6430E"/>
    <w:rsid w:val="09324FA1"/>
    <w:rsid w:val="09525181"/>
    <w:rsid w:val="0FB70159"/>
    <w:rsid w:val="103A162C"/>
    <w:rsid w:val="122214CC"/>
    <w:rsid w:val="12833AF0"/>
    <w:rsid w:val="13C8294F"/>
    <w:rsid w:val="14216A14"/>
    <w:rsid w:val="14BC4694"/>
    <w:rsid w:val="15D43E5C"/>
    <w:rsid w:val="16D162FD"/>
    <w:rsid w:val="1C1D0A2D"/>
    <w:rsid w:val="1C274BC0"/>
    <w:rsid w:val="1CAE031C"/>
    <w:rsid w:val="1D1979CC"/>
    <w:rsid w:val="1DB765D0"/>
    <w:rsid w:val="1DBA3CD2"/>
    <w:rsid w:val="204E170C"/>
    <w:rsid w:val="20A668BE"/>
    <w:rsid w:val="22AD4B1E"/>
    <w:rsid w:val="22C205C9"/>
    <w:rsid w:val="22E03FC4"/>
    <w:rsid w:val="238F08E5"/>
    <w:rsid w:val="23DC09E4"/>
    <w:rsid w:val="260B31F7"/>
    <w:rsid w:val="26A22471"/>
    <w:rsid w:val="26AB74FD"/>
    <w:rsid w:val="278B89F5"/>
    <w:rsid w:val="27E078FA"/>
    <w:rsid w:val="28D4148C"/>
    <w:rsid w:val="29D74799"/>
    <w:rsid w:val="2AF46F08"/>
    <w:rsid w:val="2B2F386A"/>
    <w:rsid w:val="2B4D5018"/>
    <w:rsid w:val="2C4555B0"/>
    <w:rsid w:val="2C7B5A8A"/>
    <w:rsid w:val="2CF31F2F"/>
    <w:rsid w:val="2D73279F"/>
    <w:rsid w:val="2E731311"/>
    <w:rsid w:val="2FA76EBB"/>
    <w:rsid w:val="31557E7B"/>
    <w:rsid w:val="31AD3D8D"/>
    <w:rsid w:val="32180206"/>
    <w:rsid w:val="327F40E6"/>
    <w:rsid w:val="33F31A49"/>
    <w:rsid w:val="358E17EA"/>
    <w:rsid w:val="36C64D6A"/>
    <w:rsid w:val="38FD1F03"/>
    <w:rsid w:val="39B750BD"/>
    <w:rsid w:val="3A7641F6"/>
    <w:rsid w:val="3B011BDC"/>
    <w:rsid w:val="3DDD580C"/>
    <w:rsid w:val="3E994F65"/>
    <w:rsid w:val="3F2226C4"/>
    <w:rsid w:val="3F5C36FF"/>
    <w:rsid w:val="40111499"/>
    <w:rsid w:val="47E57431"/>
    <w:rsid w:val="490779DE"/>
    <w:rsid w:val="4A2E7440"/>
    <w:rsid w:val="4B4D5699"/>
    <w:rsid w:val="50125E3D"/>
    <w:rsid w:val="50791A93"/>
    <w:rsid w:val="51E754ED"/>
    <w:rsid w:val="51F0037B"/>
    <w:rsid w:val="540F5486"/>
    <w:rsid w:val="54244A97"/>
    <w:rsid w:val="54CF07B4"/>
    <w:rsid w:val="55D7C0C7"/>
    <w:rsid w:val="56B802D4"/>
    <w:rsid w:val="56E3F04E"/>
    <w:rsid w:val="572D17AE"/>
    <w:rsid w:val="584F7E17"/>
    <w:rsid w:val="58C4720D"/>
    <w:rsid w:val="5A0A1945"/>
    <w:rsid w:val="5A363A8E"/>
    <w:rsid w:val="5A7B5B6B"/>
    <w:rsid w:val="5C9D7700"/>
    <w:rsid w:val="5CA34E8C"/>
    <w:rsid w:val="5CA4708A"/>
    <w:rsid w:val="5CB97030"/>
    <w:rsid w:val="5DBA4654"/>
    <w:rsid w:val="5EFCF40B"/>
    <w:rsid w:val="5F8374C3"/>
    <w:rsid w:val="5FFA4775"/>
    <w:rsid w:val="5FFF941C"/>
    <w:rsid w:val="62552798"/>
    <w:rsid w:val="62EC58CC"/>
    <w:rsid w:val="63251BB8"/>
    <w:rsid w:val="637E3935"/>
    <w:rsid w:val="656C74F3"/>
    <w:rsid w:val="66F3261A"/>
    <w:rsid w:val="67347666"/>
    <w:rsid w:val="677E01D8"/>
    <w:rsid w:val="68B172D0"/>
    <w:rsid w:val="68C462F1"/>
    <w:rsid w:val="68FC4F8A"/>
    <w:rsid w:val="695D51EA"/>
    <w:rsid w:val="6A3F2771"/>
    <w:rsid w:val="6A7D30C3"/>
    <w:rsid w:val="6B3C42F3"/>
    <w:rsid w:val="6C6241DE"/>
    <w:rsid w:val="6C770900"/>
    <w:rsid w:val="6CF92406"/>
    <w:rsid w:val="6D3F614A"/>
    <w:rsid w:val="6DB6355B"/>
    <w:rsid w:val="6DFFB41D"/>
    <w:rsid w:val="6E4843FE"/>
    <w:rsid w:val="6FCDA4AF"/>
    <w:rsid w:val="6FEFA327"/>
    <w:rsid w:val="70652E02"/>
    <w:rsid w:val="70A67126"/>
    <w:rsid w:val="717D06BD"/>
    <w:rsid w:val="725738A4"/>
    <w:rsid w:val="733046A8"/>
    <w:rsid w:val="73A43546"/>
    <w:rsid w:val="75714DBB"/>
    <w:rsid w:val="7685772F"/>
    <w:rsid w:val="77954AC0"/>
    <w:rsid w:val="77AF05CC"/>
    <w:rsid w:val="77FDBE30"/>
    <w:rsid w:val="78A461A2"/>
    <w:rsid w:val="7A994B8B"/>
    <w:rsid w:val="7A9B3AB3"/>
    <w:rsid w:val="7B9C10D8"/>
    <w:rsid w:val="7BFB4974"/>
    <w:rsid w:val="7CC51E3F"/>
    <w:rsid w:val="7CCB75CB"/>
    <w:rsid w:val="7D3F73CC"/>
    <w:rsid w:val="7D7E69BA"/>
    <w:rsid w:val="7DFC584B"/>
    <w:rsid w:val="7F6F3A2C"/>
    <w:rsid w:val="7FEB4BEA"/>
    <w:rsid w:val="ABF5CDDE"/>
    <w:rsid w:val="BCD6CE99"/>
    <w:rsid w:val="BDEE8002"/>
    <w:rsid w:val="BDFFC278"/>
    <w:rsid w:val="BFFF6156"/>
    <w:rsid w:val="C7DF88D1"/>
    <w:rsid w:val="CF7912D9"/>
    <w:rsid w:val="EA8E1C5B"/>
    <w:rsid w:val="EBC87067"/>
    <w:rsid w:val="F75F6BA2"/>
    <w:rsid w:val="F97FB2B8"/>
    <w:rsid w:val="FC6E3DA7"/>
    <w:rsid w:val="FDF5B7F5"/>
    <w:rsid w:val="FDFB53B3"/>
    <w:rsid w:val="FE9DC2E0"/>
    <w:rsid w:val="FE9FF7B7"/>
    <w:rsid w:val="FEFA3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宋体" w:cs="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公文模板1.dotm</Template>
  <Company>韶关市武江区政务服务数据管理局</Company>
  <Pages>1</Pages>
  <Words>0</Words>
  <Characters>0</Characters>
  <Lines>0</Lines>
  <Paragraphs>0</Paragraphs>
  <TotalTime>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2023-01-10T22:40:00Z</dcterms:created>
  <dc:creator>hjd</dc:creator>
  <cp:lastModifiedBy>ht706</cp:lastModifiedBy>
  <cp:lastPrinted>2023-01-30T23:57:00Z</cp:lastPrinted>
  <dcterms:modified xsi:type="dcterms:W3CDTF">2023-01-30T16:13:42Z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F84D3A22FD5B4078B6CC7F3580633F42</vt:lpwstr>
  </property>
</Properties>
</file>