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left"/>
        <w:rPr>
          <w:b/>
          <w:sz w:val="36"/>
          <w:szCs w:val="36"/>
        </w:rPr>
      </w:pPr>
    </w:p>
    <w:p>
      <w:pPr>
        <w:spacing w:line="700" w:lineRule="exact"/>
        <w:ind w:firstLine="0" w:firstLineChars="0"/>
        <w:jc w:val="center"/>
        <w:rPr>
          <w:rFonts w:hint="eastAsia" w:eastAsia="方正小标宋简体"/>
          <w:bCs/>
          <w:sz w:val="52"/>
          <w:szCs w:val="52"/>
        </w:rPr>
      </w:pPr>
    </w:p>
    <w:p>
      <w:pPr>
        <w:spacing w:line="700" w:lineRule="exact"/>
        <w:ind w:firstLine="0" w:firstLineChars="0"/>
        <w:jc w:val="center"/>
        <w:rPr>
          <w:rFonts w:hint="eastAsia" w:eastAsia="方正小标宋简体"/>
          <w:bCs/>
          <w:sz w:val="52"/>
          <w:szCs w:val="52"/>
        </w:rPr>
      </w:pPr>
    </w:p>
    <w:p>
      <w:pPr>
        <w:keepNext w:val="0"/>
        <w:keepLines w:val="0"/>
        <w:pageBreakBefore w:val="0"/>
        <w:widowControl w:val="0"/>
        <w:kinsoku/>
        <w:wordWrap/>
        <w:overflowPunct/>
        <w:topLinePunct w:val="0"/>
        <w:autoSpaceDE/>
        <w:autoSpaceDN/>
        <w:bidi w:val="0"/>
        <w:adjustRightInd/>
        <w:snapToGrid/>
        <w:spacing w:line="800" w:lineRule="exact"/>
        <w:ind w:firstLine="0" w:firstLineChars="0"/>
        <w:jc w:val="center"/>
        <w:textAlignment w:val="auto"/>
        <w:rPr>
          <w:rFonts w:eastAsia="方正小标宋简体"/>
          <w:bCs/>
          <w:sz w:val="52"/>
          <w:szCs w:val="52"/>
        </w:rPr>
      </w:pPr>
      <w:r>
        <w:rPr>
          <w:rFonts w:hint="eastAsia" w:eastAsia="方正小标宋简体"/>
          <w:bCs/>
          <w:sz w:val="52"/>
          <w:szCs w:val="52"/>
        </w:rPr>
        <w:t>韶关市武江区</w:t>
      </w:r>
      <w:r>
        <w:rPr>
          <w:rFonts w:eastAsia="方正小标宋简体"/>
          <w:bCs/>
          <w:sz w:val="52"/>
          <w:szCs w:val="52"/>
        </w:rPr>
        <w:t>国民经济和社会发展</w:t>
      </w:r>
    </w:p>
    <w:p>
      <w:pPr>
        <w:keepNext w:val="0"/>
        <w:keepLines w:val="0"/>
        <w:pageBreakBefore w:val="0"/>
        <w:widowControl w:val="0"/>
        <w:kinsoku/>
        <w:wordWrap/>
        <w:overflowPunct/>
        <w:topLinePunct w:val="0"/>
        <w:autoSpaceDE/>
        <w:autoSpaceDN/>
        <w:bidi w:val="0"/>
        <w:adjustRightInd/>
        <w:snapToGrid/>
        <w:spacing w:line="800" w:lineRule="exact"/>
        <w:ind w:firstLine="0" w:firstLineChars="0"/>
        <w:jc w:val="center"/>
        <w:textAlignment w:val="auto"/>
        <w:rPr>
          <w:rFonts w:eastAsia="方正小标宋简体"/>
          <w:bCs/>
          <w:sz w:val="52"/>
          <w:szCs w:val="52"/>
        </w:rPr>
      </w:pPr>
      <w:r>
        <w:rPr>
          <w:rFonts w:eastAsia="方正小标宋简体"/>
          <w:bCs/>
          <w:sz w:val="52"/>
          <w:szCs w:val="52"/>
        </w:rPr>
        <w:t>第十</w:t>
      </w:r>
      <w:r>
        <w:rPr>
          <w:rFonts w:hint="eastAsia" w:eastAsia="方正小标宋简体"/>
          <w:bCs/>
          <w:sz w:val="52"/>
          <w:szCs w:val="52"/>
        </w:rPr>
        <w:t>四</w:t>
      </w:r>
      <w:r>
        <w:rPr>
          <w:rFonts w:eastAsia="方正小标宋简体"/>
          <w:bCs/>
          <w:sz w:val="52"/>
          <w:szCs w:val="52"/>
        </w:rPr>
        <w:t>个五年规划</w:t>
      </w:r>
      <w:r>
        <w:rPr>
          <w:rFonts w:hint="eastAsia" w:eastAsia="方正小标宋简体"/>
          <w:bCs/>
          <w:sz w:val="52"/>
          <w:szCs w:val="52"/>
        </w:rPr>
        <w:t>和二〇三五年</w:t>
      </w:r>
    </w:p>
    <w:p>
      <w:pPr>
        <w:keepNext w:val="0"/>
        <w:keepLines w:val="0"/>
        <w:pageBreakBefore w:val="0"/>
        <w:widowControl w:val="0"/>
        <w:kinsoku/>
        <w:wordWrap/>
        <w:overflowPunct/>
        <w:topLinePunct w:val="0"/>
        <w:autoSpaceDE/>
        <w:autoSpaceDN/>
        <w:bidi w:val="0"/>
        <w:adjustRightInd/>
        <w:snapToGrid/>
        <w:spacing w:line="800" w:lineRule="exact"/>
        <w:ind w:firstLine="0" w:firstLineChars="0"/>
        <w:jc w:val="center"/>
        <w:textAlignment w:val="auto"/>
        <w:rPr>
          <w:rFonts w:hint="eastAsia" w:eastAsia="方正小标宋简体"/>
          <w:bCs/>
          <w:sz w:val="52"/>
          <w:szCs w:val="52"/>
          <w:lang w:val="en-US" w:eastAsia="zh-CN"/>
        </w:rPr>
      </w:pPr>
      <w:r>
        <w:rPr>
          <w:rFonts w:hint="eastAsia" w:eastAsia="方正小标宋简体"/>
          <w:bCs/>
          <w:sz w:val="52"/>
          <w:szCs w:val="52"/>
        </w:rPr>
        <w:t>远景目标</w:t>
      </w:r>
      <w:r>
        <w:rPr>
          <w:rFonts w:eastAsia="方正小标宋简体"/>
          <w:bCs/>
          <w:sz w:val="52"/>
          <w:szCs w:val="52"/>
        </w:rPr>
        <w:t>纲要</w:t>
      </w:r>
    </w:p>
    <w:p>
      <w:pPr>
        <w:keepNext w:val="0"/>
        <w:keepLines w:val="0"/>
        <w:pageBreakBefore w:val="0"/>
        <w:widowControl w:val="0"/>
        <w:kinsoku/>
        <w:wordWrap/>
        <w:overflowPunct/>
        <w:topLinePunct w:val="0"/>
        <w:autoSpaceDE/>
        <w:autoSpaceDN/>
        <w:bidi w:val="0"/>
        <w:adjustRightInd/>
        <w:snapToGrid/>
        <w:spacing w:line="800" w:lineRule="exact"/>
        <w:ind w:firstLine="0" w:firstLineChars="0"/>
        <w:jc w:val="center"/>
        <w:textAlignment w:val="auto"/>
        <w:rPr>
          <w:rFonts w:eastAsia="方正楷体_GBK"/>
          <w:bCs/>
          <w:sz w:val="36"/>
          <w:szCs w:val="36"/>
        </w:rPr>
      </w:pPr>
    </w:p>
    <w:p>
      <w:pPr>
        <w:ind w:firstLine="0" w:firstLineChars="0"/>
        <w:jc w:val="center"/>
        <w:rPr>
          <w:rFonts w:hint="eastAsia" w:ascii="楷体_GB2312" w:hAnsi="楷体_GB2312" w:eastAsia="楷体_GB2312" w:cs="楷体_GB2312"/>
          <w:sz w:val="30"/>
          <w:szCs w:val="30"/>
        </w:rPr>
      </w:pPr>
      <w:r>
        <w:rPr>
          <w:rFonts w:hint="eastAsia" w:ascii="楷体_GB2312" w:hAnsi="楷体_GB2312" w:eastAsia="楷体_GB2312" w:cs="楷体_GB2312"/>
          <w:sz w:val="30"/>
          <w:szCs w:val="30"/>
          <w:highlight w:val="none"/>
          <w:lang w:eastAsia="zh-CN"/>
        </w:rPr>
        <w:t>（</w:t>
      </w:r>
      <w:r>
        <w:rPr>
          <w:rFonts w:hint="eastAsia" w:ascii="楷体_GB2312" w:hAnsi="楷体_GB2312" w:eastAsia="楷体_GB2312" w:cs="楷体_GB2312"/>
          <w:sz w:val="30"/>
          <w:szCs w:val="30"/>
          <w:highlight w:val="none"/>
          <w:lang w:val="en-US" w:eastAsia="zh-CN"/>
        </w:rPr>
        <w:t>2021年2月4日韶关市</w:t>
      </w:r>
      <w:r>
        <w:rPr>
          <w:rFonts w:hint="eastAsia" w:ascii="楷体_GB2312" w:hAnsi="楷体_GB2312" w:eastAsia="楷体_GB2312" w:cs="楷体_GB2312"/>
          <w:sz w:val="30"/>
          <w:szCs w:val="30"/>
          <w:highlight w:val="none"/>
        </w:rPr>
        <w:t>武江区</w:t>
      </w:r>
      <w:r>
        <w:rPr>
          <w:rFonts w:hint="eastAsia" w:ascii="楷体_GB2312" w:hAnsi="楷体_GB2312" w:eastAsia="楷体_GB2312" w:cs="楷体_GB2312"/>
          <w:sz w:val="30"/>
          <w:szCs w:val="30"/>
          <w:highlight w:val="none"/>
          <w:lang w:eastAsia="zh-CN"/>
        </w:rPr>
        <w:t>九</w:t>
      </w:r>
      <w:r>
        <w:rPr>
          <w:rFonts w:hint="eastAsia" w:ascii="楷体_GB2312" w:hAnsi="楷体_GB2312" w:eastAsia="楷体_GB2312" w:cs="楷体_GB2312"/>
          <w:sz w:val="30"/>
          <w:szCs w:val="30"/>
          <w:highlight w:val="none"/>
        </w:rPr>
        <w:t>届人大</w:t>
      </w:r>
      <w:r>
        <w:rPr>
          <w:rFonts w:hint="eastAsia" w:ascii="楷体_GB2312" w:hAnsi="楷体_GB2312" w:eastAsia="楷体_GB2312" w:cs="楷体_GB2312"/>
          <w:sz w:val="30"/>
          <w:szCs w:val="30"/>
          <w:highlight w:val="none"/>
          <w:lang w:eastAsia="zh-CN"/>
        </w:rPr>
        <w:t>六</w:t>
      </w:r>
      <w:r>
        <w:rPr>
          <w:rFonts w:hint="eastAsia" w:ascii="楷体_GB2312" w:hAnsi="楷体_GB2312" w:eastAsia="楷体_GB2312" w:cs="楷体_GB2312"/>
          <w:sz w:val="30"/>
          <w:szCs w:val="30"/>
          <w:highlight w:val="none"/>
        </w:rPr>
        <w:t>次会议</w:t>
      </w:r>
      <w:r>
        <w:rPr>
          <w:rFonts w:hint="eastAsia" w:ascii="楷体_GB2312" w:hAnsi="楷体_GB2312" w:eastAsia="楷体_GB2312" w:cs="楷体_GB2312"/>
          <w:sz w:val="30"/>
          <w:szCs w:val="30"/>
          <w:highlight w:val="none"/>
          <w:lang w:eastAsia="zh-CN"/>
        </w:rPr>
        <w:t>审议批准）</w:t>
      </w:r>
    </w:p>
    <w:p>
      <w:pPr>
        <w:ind w:firstLine="0" w:firstLineChars="0"/>
        <w:jc w:val="center"/>
        <w:rPr>
          <w:rFonts w:eastAsia="方正楷体_GBK"/>
          <w:sz w:val="36"/>
          <w:szCs w:val="36"/>
        </w:rPr>
      </w:pPr>
    </w:p>
    <w:p>
      <w:pPr>
        <w:ind w:firstLine="0" w:firstLineChars="0"/>
        <w:jc w:val="center"/>
        <w:rPr>
          <w:rFonts w:eastAsia="方正楷体_GBK"/>
          <w:sz w:val="36"/>
          <w:szCs w:val="36"/>
        </w:rPr>
      </w:pPr>
    </w:p>
    <w:p>
      <w:pPr>
        <w:ind w:firstLine="0" w:firstLineChars="0"/>
        <w:jc w:val="center"/>
        <w:rPr>
          <w:rFonts w:eastAsia="方正楷体_GBK"/>
          <w:sz w:val="36"/>
          <w:szCs w:val="36"/>
        </w:rPr>
      </w:pPr>
    </w:p>
    <w:p>
      <w:pPr>
        <w:ind w:firstLine="0" w:firstLineChars="0"/>
        <w:jc w:val="center"/>
        <w:rPr>
          <w:rFonts w:eastAsia="方正楷体_GBK"/>
          <w:sz w:val="36"/>
          <w:szCs w:val="36"/>
        </w:rPr>
      </w:pPr>
    </w:p>
    <w:p>
      <w:pPr>
        <w:ind w:firstLine="0" w:firstLineChars="0"/>
        <w:jc w:val="center"/>
        <w:rPr>
          <w:rFonts w:eastAsia="方正楷体_GBK"/>
          <w:sz w:val="36"/>
          <w:szCs w:val="36"/>
        </w:rPr>
      </w:pPr>
    </w:p>
    <w:p>
      <w:pPr>
        <w:ind w:firstLine="0" w:firstLineChars="0"/>
        <w:jc w:val="center"/>
        <w:rPr>
          <w:rFonts w:ascii="Times New Roman" w:hAnsi="Times New Roman" w:eastAsia="楷体" w:cs="Times New Roman"/>
          <w:b/>
          <w:bCs/>
          <w:szCs w:val="32"/>
        </w:rPr>
      </w:pPr>
    </w:p>
    <w:p>
      <w:pPr>
        <w:ind w:firstLine="0" w:firstLineChars="0"/>
        <w:jc w:val="center"/>
        <w:rPr>
          <w:rFonts w:ascii="Times New Roman" w:hAnsi="Times New Roman" w:eastAsia="楷体" w:cs="Times New Roman"/>
          <w:b/>
          <w:bCs/>
          <w:szCs w:val="32"/>
        </w:rPr>
      </w:pPr>
    </w:p>
    <w:p>
      <w:pPr>
        <w:pStyle w:val="2"/>
        <w:rPr>
          <w:rFonts w:ascii="Times New Roman" w:hAnsi="Times New Roman" w:eastAsia="楷体" w:cs="Times New Roman"/>
          <w:b/>
          <w:bCs/>
          <w:szCs w:val="32"/>
        </w:rPr>
      </w:pPr>
    </w:p>
    <w:p>
      <w:pPr>
        <w:pStyle w:val="2"/>
        <w:rPr>
          <w:rFonts w:ascii="Times New Roman" w:hAnsi="Times New Roman" w:eastAsia="楷体" w:cs="Times New Roman"/>
          <w:b/>
          <w:bCs/>
          <w:szCs w:val="32"/>
        </w:rPr>
      </w:pPr>
    </w:p>
    <w:p>
      <w:pPr>
        <w:ind w:firstLine="0" w:firstLineChars="0"/>
        <w:jc w:val="center"/>
        <w:rPr>
          <w:rFonts w:hint="eastAsia" w:ascii="楷体" w:hAnsi="楷体" w:eastAsia="楷体" w:cs="楷体"/>
          <w:b w:val="0"/>
          <w:bCs w:val="0"/>
          <w:szCs w:val="32"/>
          <w:lang w:eastAsia="zh-CN"/>
        </w:rPr>
      </w:pPr>
      <w:r>
        <w:rPr>
          <w:rFonts w:hint="eastAsia" w:ascii="楷体" w:hAnsi="楷体" w:eastAsia="楷体" w:cs="楷体"/>
          <w:b w:val="0"/>
          <w:bCs w:val="0"/>
          <w:szCs w:val="32"/>
          <w:lang w:eastAsia="zh-CN"/>
        </w:rPr>
        <w:t>韶关市武江区人民政府</w:t>
      </w:r>
    </w:p>
    <w:p>
      <w:pPr>
        <w:ind w:firstLine="0" w:firstLineChars="0"/>
        <w:jc w:val="center"/>
        <w:rPr>
          <w:rFonts w:hint="eastAsia" w:ascii="楷体" w:hAnsi="楷体" w:eastAsia="楷体" w:cs="楷体"/>
          <w:lang w:eastAsia="zh-CN"/>
        </w:rPr>
      </w:pPr>
      <w:r>
        <w:rPr>
          <w:rFonts w:hint="eastAsia" w:ascii="楷体" w:hAnsi="楷体" w:eastAsia="楷体" w:cs="楷体"/>
          <w:b w:val="0"/>
          <w:bCs w:val="0"/>
          <w:szCs w:val="32"/>
          <w:lang w:eastAsia="zh-CN"/>
        </w:rPr>
        <w:t>二〇二一年六月</w:t>
      </w:r>
    </w:p>
    <w:p>
      <w:pPr>
        <w:pStyle w:val="2"/>
        <w:rPr>
          <w:rFonts w:hint="eastAsia"/>
          <w:lang w:eastAsia="zh-CN"/>
        </w:rPr>
      </w:pPr>
    </w:p>
    <w:p>
      <w:pPr>
        <w:ind w:firstLine="640"/>
      </w:pPr>
    </w:p>
    <w:p>
      <w:pPr>
        <w:pStyle w:val="2"/>
      </w:pPr>
    </w:p>
    <w:p>
      <w:pPr>
        <w:pStyle w:val="2"/>
      </w:pPr>
    </w:p>
    <w:p>
      <w:pPr>
        <w:pStyle w:val="2"/>
      </w:pPr>
    </w:p>
    <w:p>
      <w:pPr>
        <w:pStyle w:val="2"/>
      </w:pPr>
    </w:p>
    <w:p>
      <w:pPr>
        <w:pStyle w:val="2"/>
        <w:sectPr>
          <w:pgSz w:w="11906" w:h="16838"/>
          <w:pgMar w:top="1440" w:right="1800" w:bottom="1440" w:left="1800" w:header="851" w:footer="992" w:gutter="0"/>
          <w:pgNumType w:fmt="upperRoman" w:start="1"/>
          <w:cols w:space="425" w:num="1"/>
          <w:docGrid w:type="lines" w:linePitch="312" w:charSpace="0"/>
        </w:sectPr>
      </w:pPr>
    </w:p>
    <w:sdt>
      <w:sdtPr>
        <w:rPr>
          <w:rFonts w:hint="eastAsia" w:asciiTheme="majorEastAsia" w:hAnsiTheme="majorEastAsia" w:eastAsiaTheme="majorEastAsia" w:cstheme="majorEastAsia"/>
          <w:sz w:val="32"/>
          <w:szCs w:val="32"/>
        </w:rPr>
        <w:id w:val="147463398"/>
        <w:docPartObj>
          <w:docPartGallery w:val="Table of Contents"/>
          <w:docPartUnique/>
        </w:docPartObj>
      </w:sdtPr>
      <w:sdtEndPr>
        <w:rPr>
          <w:rFonts w:hint="eastAsia" w:ascii="Times New Roman" w:hAnsi="Times New Roman" w:eastAsia="宋体" w:cs="Times New Roman"/>
          <w:b/>
          <w:sz w:val="28"/>
          <w:szCs w:val="28"/>
        </w:rPr>
      </w:sdtEndPr>
      <w:sdtContent>
        <w:p>
          <w:pPr>
            <w:ind w:firstLine="0" w:firstLineChars="0"/>
            <w:jc w:val="center"/>
            <w:rPr>
              <w:rFonts w:hint="eastAsia" w:ascii="方正大标宋简体" w:hAnsi="方正大标宋简体" w:eastAsia="方正大标宋简体" w:cs="方正大标宋简体"/>
              <w:b w:val="0"/>
              <w:bCs w:val="0"/>
              <w:color w:val="auto"/>
              <w:kern w:val="2"/>
              <w:sz w:val="32"/>
              <w:szCs w:val="32"/>
              <w:highlight w:val="none"/>
              <w:lang w:val="en-US" w:eastAsia="zh-CN" w:bidi="ar-SA"/>
            </w:rPr>
          </w:pPr>
          <w:r>
            <w:rPr>
              <w:rFonts w:hint="eastAsia" w:ascii="方正大标宋简体" w:hAnsi="方正大标宋简体" w:eastAsia="方正大标宋简体" w:cs="方正大标宋简体"/>
              <w:b w:val="0"/>
              <w:bCs w:val="0"/>
              <w:color w:val="auto"/>
              <w:kern w:val="2"/>
              <w:sz w:val="32"/>
              <w:szCs w:val="32"/>
              <w:highlight w:val="none"/>
              <w:lang w:val="en-US" w:eastAsia="zh-CN" w:bidi="ar-SA"/>
            </w:rPr>
            <w:t>目  录</w:t>
          </w:r>
        </w:p>
        <w:p>
          <w:pPr>
            <w:ind w:firstLine="0" w:firstLineChars="0"/>
            <w:rPr>
              <w:rFonts w:hint="eastAsia" w:ascii="Times New Roman" w:hAnsi="Times New Roman" w:eastAsia="宋体" w:cs="Times New Roman"/>
              <w:b/>
              <w:sz w:val="28"/>
              <w:szCs w:val="28"/>
            </w:rPr>
          </w:pP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outlineLvl w:val="9"/>
            <w:rPr>
              <w:rFonts w:hint="eastAsia" w:ascii="宋体" w:hAnsi="宋体" w:eastAsia="宋体" w:cs="宋体"/>
              <w:sz w:val="28"/>
              <w:szCs w:val="28"/>
            </w:rPr>
          </w:pPr>
          <w:r>
            <w:rPr>
              <w:rFonts w:hint="eastAsia" w:ascii="宋体" w:hAnsi="宋体" w:eastAsia="宋体" w:cs="宋体"/>
              <w:spacing w:val="-23"/>
              <w:sz w:val="28"/>
              <w:szCs w:val="28"/>
            </w:rPr>
            <w:t>第一章  “十三五”时期取得的主要成就和“十四五”时期发展形势</w:t>
          </w:r>
          <w:r>
            <w:rPr>
              <w:rFonts w:hint="eastAsia" w:ascii="宋体" w:hAnsi="宋体" w:eastAsia="宋体" w:cs="宋体"/>
              <w:sz w:val="28"/>
              <w:szCs w:val="28"/>
            </w:rPr>
            <w:tab/>
          </w:r>
          <w:r>
            <w:rPr>
              <w:rFonts w:hint="eastAsia" w:ascii="宋体" w:hAnsi="宋体" w:eastAsia="宋体" w:cs="宋体"/>
              <w:sz w:val="28"/>
              <w:szCs w:val="28"/>
            </w:rPr>
            <w:t>2</w:t>
          </w:r>
        </w:p>
        <w:p>
          <w:pPr>
            <w:pStyle w:val="17"/>
            <w:keepNext w:val="0"/>
            <w:keepLines w:val="0"/>
            <w:pageBreakBefore w:val="0"/>
            <w:widowControl w:val="0"/>
            <w:tabs>
              <w:tab w:val="right" w:leader="dot" w:pos="8306"/>
            </w:tabs>
            <w:kinsoku/>
            <w:wordWrap/>
            <w:overflowPunct/>
            <w:topLinePunct w:val="0"/>
            <w:autoSpaceDE/>
            <w:autoSpaceDN/>
            <w:bidi w:val="0"/>
            <w:adjustRightInd/>
            <w:snapToGrid/>
            <w:ind w:left="0" w:leftChars="0" w:firstLine="56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rPr>
            <w:t>第一节  “十三五”时期取得的主要成就</w:t>
          </w:r>
          <w:r>
            <w:rPr>
              <w:rFonts w:hint="eastAsia" w:ascii="宋体" w:hAnsi="宋体" w:eastAsia="宋体" w:cs="宋体"/>
              <w:sz w:val="28"/>
              <w:szCs w:val="28"/>
            </w:rPr>
            <w:tab/>
          </w:r>
          <w:r>
            <w:rPr>
              <w:rFonts w:hint="eastAsia" w:ascii="宋体" w:hAnsi="宋体" w:eastAsia="宋体" w:cs="宋体"/>
              <w:sz w:val="28"/>
              <w:szCs w:val="28"/>
            </w:rPr>
            <w:t>2</w:t>
          </w:r>
        </w:p>
        <w:p>
          <w:pPr>
            <w:pStyle w:val="17"/>
            <w:keepNext w:val="0"/>
            <w:keepLines w:val="0"/>
            <w:pageBreakBefore w:val="0"/>
            <w:widowControl w:val="0"/>
            <w:tabs>
              <w:tab w:val="right" w:leader="dot" w:pos="8306"/>
            </w:tabs>
            <w:kinsoku/>
            <w:wordWrap/>
            <w:overflowPunct/>
            <w:topLinePunct w:val="0"/>
            <w:autoSpaceDE/>
            <w:autoSpaceDN/>
            <w:bidi w:val="0"/>
            <w:adjustRightInd/>
            <w:snapToGrid/>
            <w:ind w:left="0" w:leftChars="0" w:firstLine="56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rPr>
            <w:t>第二节  “十四五”时期发展形势</w:t>
          </w:r>
          <w:r>
            <w:rPr>
              <w:rFonts w:hint="eastAsia" w:ascii="宋体" w:hAnsi="宋体" w:eastAsia="宋体" w:cs="宋体"/>
              <w:sz w:val="28"/>
              <w:szCs w:val="28"/>
            </w:rPr>
            <w:tab/>
          </w:r>
          <w:r>
            <w:rPr>
              <w:rFonts w:hint="eastAsia" w:ascii="宋体" w:hAnsi="宋体" w:eastAsia="宋体" w:cs="宋体"/>
              <w:sz w:val="28"/>
              <w:szCs w:val="28"/>
            </w:rPr>
            <w:t>7</w:t>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outlineLvl w:val="9"/>
            <w:rPr>
              <w:rFonts w:hint="eastAsia" w:ascii="宋体" w:hAnsi="宋体" w:eastAsia="宋体" w:cs="宋体"/>
              <w:sz w:val="28"/>
              <w:szCs w:val="28"/>
            </w:rPr>
          </w:pPr>
          <w:r>
            <w:rPr>
              <w:rFonts w:hint="eastAsia" w:ascii="宋体" w:hAnsi="宋体" w:eastAsia="宋体" w:cs="宋体"/>
              <w:sz w:val="28"/>
              <w:szCs w:val="28"/>
            </w:rPr>
            <w:t>第二章  总体要求</w:t>
          </w:r>
          <w:r>
            <w:rPr>
              <w:rFonts w:hint="eastAsia" w:ascii="宋体" w:hAnsi="宋体" w:eastAsia="宋体" w:cs="宋体"/>
              <w:sz w:val="28"/>
              <w:szCs w:val="28"/>
            </w:rPr>
            <w:tab/>
          </w:r>
          <w:r>
            <w:rPr>
              <w:rFonts w:hint="eastAsia" w:ascii="宋体" w:hAnsi="宋体" w:eastAsia="宋体" w:cs="宋体"/>
              <w:sz w:val="28"/>
              <w:szCs w:val="28"/>
            </w:rPr>
            <w:t>9</w:t>
          </w:r>
        </w:p>
        <w:p>
          <w:pPr>
            <w:pStyle w:val="17"/>
            <w:keepNext w:val="0"/>
            <w:keepLines w:val="0"/>
            <w:pageBreakBefore w:val="0"/>
            <w:widowControl w:val="0"/>
            <w:tabs>
              <w:tab w:val="right" w:leader="dot" w:pos="8306"/>
            </w:tabs>
            <w:kinsoku/>
            <w:wordWrap/>
            <w:overflowPunct/>
            <w:topLinePunct w:val="0"/>
            <w:autoSpaceDE/>
            <w:autoSpaceDN/>
            <w:bidi w:val="0"/>
            <w:adjustRightInd/>
            <w:snapToGrid/>
            <w:ind w:left="0" w:leftChars="0" w:firstLine="56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rPr>
            <w:t xml:space="preserve">第一节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指导思想</w:t>
          </w:r>
          <w:r>
            <w:rPr>
              <w:rFonts w:hint="eastAsia" w:ascii="宋体" w:hAnsi="宋体" w:eastAsia="宋体" w:cs="宋体"/>
              <w:sz w:val="28"/>
              <w:szCs w:val="28"/>
            </w:rPr>
            <w:tab/>
          </w:r>
          <w:r>
            <w:rPr>
              <w:rFonts w:hint="eastAsia" w:ascii="宋体" w:hAnsi="宋体" w:eastAsia="宋体" w:cs="宋体"/>
              <w:sz w:val="28"/>
              <w:szCs w:val="28"/>
            </w:rPr>
            <w:t>10</w:t>
          </w:r>
        </w:p>
        <w:p>
          <w:pPr>
            <w:pStyle w:val="17"/>
            <w:keepNext w:val="0"/>
            <w:keepLines w:val="0"/>
            <w:pageBreakBefore w:val="0"/>
            <w:widowControl w:val="0"/>
            <w:tabs>
              <w:tab w:val="right" w:leader="dot" w:pos="8306"/>
            </w:tabs>
            <w:kinsoku/>
            <w:wordWrap/>
            <w:overflowPunct/>
            <w:topLinePunct w:val="0"/>
            <w:autoSpaceDE/>
            <w:autoSpaceDN/>
            <w:bidi w:val="0"/>
            <w:adjustRightInd/>
            <w:snapToGrid/>
            <w:ind w:left="0" w:leftChars="0" w:firstLine="56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rPr>
            <w:t>第二节  基本原则</w:t>
          </w:r>
          <w:r>
            <w:rPr>
              <w:rFonts w:hint="eastAsia" w:ascii="宋体" w:hAnsi="宋体" w:eastAsia="宋体" w:cs="宋体"/>
              <w:sz w:val="28"/>
              <w:szCs w:val="28"/>
            </w:rPr>
            <w:tab/>
          </w:r>
          <w:r>
            <w:rPr>
              <w:rFonts w:hint="eastAsia" w:ascii="宋体" w:hAnsi="宋体" w:eastAsia="宋体" w:cs="宋体"/>
              <w:sz w:val="28"/>
              <w:szCs w:val="28"/>
            </w:rPr>
            <w:t>11</w:t>
          </w:r>
        </w:p>
        <w:p>
          <w:pPr>
            <w:pStyle w:val="17"/>
            <w:keepNext w:val="0"/>
            <w:keepLines w:val="0"/>
            <w:pageBreakBefore w:val="0"/>
            <w:widowControl w:val="0"/>
            <w:tabs>
              <w:tab w:val="right" w:leader="dot" w:pos="8306"/>
            </w:tabs>
            <w:kinsoku/>
            <w:wordWrap/>
            <w:overflowPunct/>
            <w:topLinePunct w:val="0"/>
            <w:autoSpaceDE/>
            <w:autoSpaceDN/>
            <w:bidi w:val="0"/>
            <w:adjustRightInd/>
            <w:snapToGrid/>
            <w:ind w:left="0" w:leftChars="0" w:firstLine="56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rPr>
            <w:t>第三节  发展目标</w:t>
          </w:r>
          <w:r>
            <w:rPr>
              <w:rFonts w:hint="eastAsia" w:ascii="宋体" w:hAnsi="宋体" w:eastAsia="宋体" w:cs="宋体"/>
              <w:sz w:val="28"/>
              <w:szCs w:val="28"/>
            </w:rPr>
            <w:tab/>
          </w:r>
          <w:r>
            <w:rPr>
              <w:rFonts w:hint="eastAsia" w:ascii="宋体" w:hAnsi="宋体" w:eastAsia="宋体" w:cs="宋体"/>
              <w:sz w:val="28"/>
              <w:szCs w:val="28"/>
            </w:rPr>
            <w:t>12</w:t>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outlineLvl w:val="9"/>
            <w:rPr>
              <w:rFonts w:hint="eastAsia" w:ascii="宋体" w:hAnsi="宋体" w:eastAsia="宋体" w:cs="宋体"/>
              <w:sz w:val="28"/>
              <w:szCs w:val="28"/>
            </w:rPr>
          </w:pPr>
          <w:r>
            <w:rPr>
              <w:rFonts w:hint="eastAsia" w:ascii="宋体" w:hAnsi="宋体" w:eastAsia="宋体" w:cs="宋体"/>
              <w:sz w:val="28"/>
              <w:szCs w:val="28"/>
            </w:rPr>
            <w:t xml:space="preserve">第三章  </w:t>
          </w:r>
          <w:r>
            <w:rPr>
              <w:rFonts w:hint="eastAsia" w:ascii="宋体" w:hAnsi="宋体" w:eastAsia="宋体" w:cs="宋体"/>
              <w:spacing w:val="-11"/>
              <w:sz w:val="28"/>
              <w:szCs w:val="28"/>
            </w:rPr>
            <w:t>主动对接“双区”建设，加快构建现代产业发展新动能</w:t>
          </w:r>
          <w:r>
            <w:rPr>
              <w:rFonts w:hint="eastAsia" w:ascii="宋体" w:hAnsi="宋体" w:eastAsia="宋体" w:cs="宋体"/>
              <w:sz w:val="28"/>
              <w:szCs w:val="28"/>
            </w:rPr>
            <w:tab/>
          </w:r>
          <w:r>
            <w:rPr>
              <w:rFonts w:hint="eastAsia" w:ascii="宋体" w:hAnsi="宋体" w:eastAsia="宋体" w:cs="宋体"/>
              <w:sz w:val="28"/>
              <w:szCs w:val="28"/>
            </w:rPr>
            <w:t>15</w:t>
          </w:r>
        </w:p>
        <w:p>
          <w:pPr>
            <w:pStyle w:val="17"/>
            <w:keepNext w:val="0"/>
            <w:keepLines w:val="0"/>
            <w:pageBreakBefore w:val="0"/>
            <w:widowControl w:val="0"/>
            <w:tabs>
              <w:tab w:val="right" w:leader="dot" w:pos="8306"/>
            </w:tabs>
            <w:kinsoku/>
            <w:wordWrap/>
            <w:overflowPunct/>
            <w:topLinePunct w:val="0"/>
            <w:autoSpaceDE/>
            <w:autoSpaceDN/>
            <w:bidi w:val="0"/>
            <w:adjustRightInd/>
            <w:snapToGrid/>
            <w:ind w:left="0" w:leftChars="0" w:firstLine="56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lang w:eastAsia="zh-CN"/>
            </w:rPr>
            <w:t>第一节</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打造创新发展新引擎</w:t>
          </w:r>
          <w:r>
            <w:rPr>
              <w:rFonts w:hint="eastAsia" w:ascii="宋体" w:hAnsi="宋体" w:eastAsia="宋体" w:cs="宋体"/>
              <w:sz w:val="28"/>
              <w:szCs w:val="28"/>
            </w:rPr>
            <w:tab/>
          </w:r>
          <w:r>
            <w:rPr>
              <w:rFonts w:hint="eastAsia" w:ascii="宋体" w:hAnsi="宋体" w:eastAsia="宋体" w:cs="宋体"/>
              <w:sz w:val="28"/>
              <w:szCs w:val="28"/>
            </w:rPr>
            <w:t>15</w:t>
          </w:r>
        </w:p>
        <w:p>
          <w:pPr>
            <w:pStyle w:val="17"/>
            <w:keepNext w:val="0"/>
            <w:keepLines w:val="0"/>
            <w:pageBreakBefore w:val="0"/>
            <w:widowControl w:val="0"/>
            <w:tabs>
              <w:tab w:val="right" w:leader="dot" w:pos="8306"/>
            </w:tabs>
            <w:kinsoku/>
            <w:wordWrap/>
            <w:overflowPunct/>
            <w:topLinePunct w:val="0"/>
            <w:autoSpaceDE/>
            <w:autoSpaceDN/>
            <w:bidi w:val="0"/>
            <w:adjustRightInd/>
            <w:snapToGrid/>
            <w:ind w:left="0" w:leftChars="0" w:firstLine="56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rPr>
            <w:t>第二节  提升招商引资效能</w:t>
          </w:r>
          <w:r>
            <w:rPr>
              <w:rFonts w:hint="eastAsia" w:ascii="宋体" w:hAnsi="宋体" w:eastAsia="宋体" w:cs="宋体"/>
              <w:sz w:val="28"/>
              <w:szCs w:val="28"/>
            </w:rPr>
            <w:tab/>
          </w:r>
          <w:r>
            <w:rPr>
              <w:rFonts w:hint="eastAsia" w:ascii="宋体" w:hAnsi="宋体" w:eastAsia="宋体" w:cs="宋体"/>
              <w:sz w:val="28"/>
              <w:szCs w:val="28"/>
            </w:rPr>
            <w:t>17</w:t>
          </w:r>
        </w:p>
        <w:p>
          <w:pPr>
            <w:pStyle w:val="17"/>
            <w:keepNext w:val="0"/>
            <w:keepLines w:val="0"/>
            <w:pageBreakBefore w:val="0"/>
            <w:widowControl w:val="0"/>
            <w:tabs>
              <w:tab w:val="right" w:leader="dot" w:pos="8306"/>
            </w:tabs>
            <w:kinsoku/>
            <w:wordWrap/>
            <w:overflowPunct/>
            <w:topLinePunct w:val="0"/>
            <w:autoSpaceDE/>
            <w:autoSpaceDN/>
            <w:bidi w:val="0"/>
            <w:adjustRightInd/>
            <w:snapToGrid/>
            <w:ind w:left="0" w:lef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第三节</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深入推进产业提质升级</w:t>
          </w:r>
          <w:r>
            <w:rPr>
              <w:rFonts w:hint="eastAsia" w:ascii="宋体" w:hAnsi="宋体" w:eastAsia="宋体" w:cs="宋体"/>
              <w:sz w:val="28"/>
              <w:szCs w:val="28"/>
            </w:rPr>
            <w:tab/>
          </w:r>
          <w:r>
            <w:rPr>
              <w:rFonts w:hint="eastAsia" w:ascii="宋体" w:hAnsi="宋体" w:eastAsia="宋体" w:cs="宋体"/>
              <w:sz w:val="28"/>
              <w:szCs w:val="28"/>
            </w:rPr>
            <w:t>1</w:t>
          </w:r>
          <w:r>
            <w:rPr>
              <w:rFonts w:hint="eastAsia" w:ascii="宋体" w:hAnsi="宋体" w:eastAsia="宋体" w:cs="宋体"/>
              <w:sz w:val="28"/>
              <w:szCs w:val="28"/>
              <w:lang w:val="en-US" w:eastAsia="zh-CN"/>
            </w:rPr>
            <w:t>8</w:t>
          </w:r>
        </w:p>
        <w:p>
          <w:pPr>
            <w:pStyle w:val="17"/>
            <w:keepNext w:val="0"/>
            <w:keepLines w:val="0"/>
            <w:pageBreakBefore w:val="0"/>
            <w:widowControl w:val="0"/>
            <w:tabs>
              <w:tab w:val="right" w:leader="dot" w:pos="8306"/>
            </w:tabs>
            <w:kinsoku/>
            <w:wordWrap/>
            <w:overflowPunct/>
            <w:topLinePunct w:val="0"/>
            <w:autoSpaceDE/>
            <w:autoSpaceDN/>
            <w:bidi w:val="0"/>
            <w:adjustRightInd/>
            <w:snapToGrid/>
            <w:ind w:left="0" w:lef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第四节  发展特色旅游服务业</w:t>
          </w:r>
          <w:r>
            <w:rPr>
              <w:rFonts w:hint="eastAsia" w:ascii="宋体" w:hAnsi="宋体" w:eastAsia="宋体" w:cs="宋体"/>
              <w:sz w:val="28"/>
              <w:szCs w:val="28"/>
            </w:rPr>
            <w:tab/>
          </w:r>
          <w:r>
            <w:rPr>
              <w:rFonts w:hint="eastAsia" w:ascii="宋体" w:hAnsi="宋体" w:eastAsia="宋体" w:cs="宋体"/>
              <w:sz w:val="28"/>
              <w:szCs w:val="28"/>
            </w:rPr>
            <w:t>2</w:t>
          </w:r>
          <w:r>
            <w:rPr>
              <w:rFonts w:hint="eastAsia" w:ascii="宋体" w:hAnsi="宋体" w:eastAsia="宋体" w:cs="宋体"/>
              <w:sz w:val="28"/>
              <w:szCs w:val="28"/>
              <w:lang w:val="en-US" w:eastAsia="zh-CN"/>
            </w:rPr>
            <w:t>0</w:t>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outlineLvl w:val="9"/>
            <w:rPr>
              <w:rFonts w:hint="eastAsia" w:ascii="宋体" w:hAnsi="宋体" w:eastAsia="宋体" w:cs="宋体"/>
              <w:sz w:val="28"/>
              <w:szCs w:val="28"/>
            </w:rPr>
          </w:pPr>
          <w:r>
            <w:rPr>
              <w:rFonts w:hint="eastAsia" w:ascii="宋体" w:hAnsi="宋体" w:eastAsia="宋体" w:cs="宋体"/>
              <w:sz w:val="28"/>
              <w:szCs w:val="28"/>
            </w:rPr>
            <w:t>第四章  主动融入新发展格局，着力培育供需新增长点</w:t>
          </w:r>
          <w:r>
            <w:rPr>
              <w:rFonts w:hint="eastAsia" w:ascii="宋体" w:hAnsi="宋体" w:eastAsia="宋体" w:cs="宋体"/>
              <w:sz w:val="28"/>
              <w:szCs w:val="28"/>
            </w:rPr>
            <w:tab/>
          </w:r>
          <w:r>
            <w:rPr>
              <w:rFonts w:hint="eastAsia" w:ascii="宋体" w:hAnsi="宋体" w:eastAsia="宋体" w:cs="宋体"/>
              <w:sz w:val="28"/>
              <w:szCs w:val="28"/>
            </w:rPr>
            <w:t>22</w:t>
          </w:r>
        </w:p>
        <w:p>
          <w:pPr>
            <w:pStyle w:val="17"/>
            <w:keepNext w:val="0"/>
            <w:keepLines w:val="0"/>
            <w:pageBreakBefore w:val="0"/>
            <w:widowControl w:val="0"/>
            <w:tabs>
              <w:tab w:val="right" w:leader="dot" w:pos="8306"/>
            </w:tabs>
            <w:kinsoku/>
            <w:wordWrap/>
            <w:overflowPunct/>
            <w:topLinePunct w:val="0"/>
            <w:autoSpaceDE/>
            <w:autoSpaceDN/>
            <w:bidi w:val="0"/>
            <w:adjustRightInd/>
            <w:snapToGrid/>
            <w:ind w:left="0" w:leftChars="0" w:firstLine="56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lang w:eastAsia="zh-CN"/>
            </w:rPr>
            <w:t>第一节</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积极扩大有效投资</w:t>
          </w:r>
          <w:r>
            <w:rPr>
              <w:rFonts w:hint="eastAsia" w:ascii="宋体" w:hAnsi="宋体" w:eastAsia="宋体" w:cs="宋体"/>
              <w:sz w:val="28"/>
              <w:szCs w:val="28"/>
            </w:rPr>
            <w:tab/>
          </w:r>
          <w:r>
            <w:rPr>
              <w:rFonts w:hint="eastAsia" w:ascii="宋体" w:hAnsi="宋体" w:eastAsia="宋体" w:cs="宋体"/>
              <w:sz w:val="28"/>
              <w:szCs w:val="28"/>
            </w:rPr>
            <w:t>22</w:t>
          </w:r>
        </w:p>
        <w:p>
          <w:pPr>
            <w:pStyle w:val="17"/>
            <w:keepNext w:val="0"/>
            <w:keepLines w:val="0"/>
            <w:pageBreakBefore w:val="0"/>
            <w:widowControl w:val="0"/>
            <w:tabs>
              <w:tab w:val="right" w:leader="dot" w:pos="8306"/>
            </w:tabs>
            <w:kinsoku/>
            <w:wordWrap/>
            <w:overflowPunct/>
            <w:topLinePunct w:val="0"/>
            <w:autoSpaceDE/>
            <w:autoSpaceDN/>
            <w:bidi w:val="0"/>
            <w:adjustRightInd/>
            <w:snapToGrid/>
            <w:ind w:left="0" w:leftChars="0" w:firstLine="56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rPr>
            <w:t>第二节  主动融入国内国际双循环</w:t>
          </w:r>
          <w:r>
            <w:rPr>
              <w:rFonts w:hint="eastAsia" w:ascii="宋体" w:hAnsi="宋体" w:eastAsia="宋体" w:cs="宋体"/>
              <w:sz w:val="28"/>
              <w:szCs w:val="28"/>
            </w:rPr>
            <w:tab/>
          </w:r>
          <w:r>
            <w:rPr>
              <w:rFonts w:hint="eastAsia" w:ascii="宋体" w:hAnsi="宋体" w:eastAsia="宋体" w:cs="宋体"/>
              <w:sz w:val="28"/>
              <w:szCs w:val="28"/>
            </w:rPr>
            <w:t>23</w:t>
          </w:r>
        </w:p>
        <w:p>
          <w:pPr>
            <w:pStyle w:val="17"/>
            <w:keepNext w:val="0"/>
            <w:keepLines w:val="0"/>
            <w:pageBreakBefore w:val="0"/>
            <w:widowControl w:val="0"/>
            <w:tabs>
              <w:tab w:val="right" w:leader="dot" w:pos="8306"/>
            </w:tabs>
            <w:kinsoku/>
            <w:wordWrap/>
            <w:overflowPunct/>
            <w:topLinePunct w:val="0"/>
            <w:autoSpaceDE/>
            <w:autoSpaceDN/>
            <w:bidi w:val="0"/>
            <w:adjustRightInd/>
            <w:snapToGrid/>
            <w:ind w:left="0" w:leftChars="0" w:firstLine="56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rPr>
            <w:t>第三节  着力激活消费潜力</w:t>
          </w:r>
          <w:r>
            <w:rPr>
              <w:rFonts w:hint="eastAsia" w:ascii="宋体" w:hAnsi="宋体" w:eastAsia="宋体" w:cs="宋体"/>
              <w:sz w:val="28"/>
              <w:szCs w:val="28"/>
            </w:rPr>
            <w:tab/>
          </w:r>
          <w:r>
            <w:rPr>
              <w:rFonts w:hint="eastAsia" w:ascii="宋体" w:hAnsi="宋体" w:eastAsia="宋体" w:cs="宋体"/>
              <w:sz w:val="28"/>
              <w:szCs w:val="28"/>
            </w:rPr>
            <w:t>24</w:t>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outlineLvl w:val="9"/>
            <w:rPr>
              <w:rFonts w:hint="eastAsia" w:ascii="宋体" w:hAnsi="宋体" w:eastAsia="宋体" w:cs="宋体"/>
              <w:sz w:val="28"/>
              <w:szCs w:val="28"/>
            </w:rPr>
          </w:pPr>
          <w:r>
            <w:rPr>
              <w:rFonts w:hint="eastAsia" w:ascii="宋体" w:hAnsi="宋体" w:eastAsia="宋体" w:cs="宋体"/>
              <w:sz w:val="28"/>
              <w:szCs w:val="28"/>
            </w:rPr>
            <w:t>第五章  提升中心城区首位度，建设生态品质中心城区</w:t>
          </w:r>
          <w:r>
            <w:rPr>
              <w:rFonts w:hint="eastAsia" w:ascii="宋体" w:hAnsi="宋体" w:eastAsia="宋体" w:cs="宋体"/>
              <w:sz w:val="28"/>
              <w:szCs w:val="28"/>
            </w:rPr>
            <w:tab/>
          </w:r>
          <w:r>
            <w:rPr>
              <w:rFonts w:hint="eastAsia" w:ascii="宋体" w:hAnsi="宋体" w:eastAsia="宋体" w:cs="宋体"/>
              <w:sz w:val="28"/>
              <w:szCs w:val="28"/>
            </w:rPr>
            <w:t>26</w:t>
          </w:r>
        </w:p>
        <w:p>
          <w:pPr>
            <w:pStyle w:val="17"/>
            <w:keepNext w:val="0"/>
            <w:keepLines w:val="0"/>
            <w:pageBreakBefore w:val="0"/>
            <w:widowControl w:val="0"/>
            <w:tabs>
              <w:tab w:val="right" w:leader="dot" w:pos="8306"/>
            </w:tabs>
            <w:kinsoku/>
            <w:wordWrap/>
            <w:overflowPunct/>
            <w:topLinePunct w:val="0"/>
            <w:autoSpaceDE/>
            <w:autoSpaceDN/>
            <w:bidi w:val="0"/>
            <w:adjustRightInd/>
            <w:snapToGrid/>
            <w:ind w:left="0" w:leftChars="0" w:firstLine="56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lang w:eastAsia="zh-CN"/>
            </w:rPr>
            <w:t>第一节</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优化城市发展布局</w:t>
          </w:r>
          <w:r>
            <w:rPr>
              <w:rFonts w:hint="eastAsia" w:ascii="宋体" w:hAnsi="宋体" w:eastAsia="宋体" w:cs="宋体"/>
              <w:sz w:val="28"/>
              <w:szCs w:val="28"/>
            </w:rPr>
            <w:tab/>
          </w:r>
          <w:r>
            <w:rPr>
              <w:rFonts w:hint="eastAsia" w:ascii="宋体" w:hAnsi="宋体" w:eastAsia="宋体" w:cs="宋体"/>
              <w:sz w:val="28"/>
              <w:szCs w:val="28"/>
            </w:rPr>
            <w:t>26</w:t>
          </w:r>
        </w:p>
        <w:p>
          <w:pPr>
            <w:pStyle w:val="17"/>
            <w:keepNext w:val="0"/>
            <w:keepLines w:val="0"/>
            <w:pageBreakBefore w:val="0"/>
            <w:widowControl w:val="0"/>
            <w:tabs>
              <w:tab w:val="right" w:leader="dot" w:pos="8306"/>
            </w:tabs>
            <w:kinsoku/>
            <w:wordWrap/>
            <w:overflowPunct/>
            <w:topLinePunct w:val="0"/>
            <w:autoSpaceDE/>
            <w:autoSpaceDN/>
            <w:bidi w:val="0"/>
            <w:adjustRightInd/>
            <w:snapToGrid/>
            <w:ind w:left="0" w:leftChars="0" w:firstLine="56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rPr>
            <w:t>第二节  加快发展都市型产业</w:t>
          </w:r>
          <w:r>
            <w:rPr>
              <w:rFonts w:hint="eastAsia" w:ascii="宋体" w:hAnsi="宋体" w:eastAsia="宋体" w:cs="宋体"/>
              <w:sz w:val="28"/>
              <w:szCs w:val="28"/>
            </w:rPr>
            <w:tab/>
          </w:r>
          <w:r>
            <w:rPr>
              <w:rFonts w:hint="eastAsia" w:ascii="宋体" w:hAnsi="宋体" w:eastAsia="宋体" w:cs="宋体"/>
              <w:sz w:val="28"/>
              <w:szCs w:val="28"/>
            </w:rPr>
            <w:t>27</w:t>
          </w:r>
        </w:p>
        <w:p>
          <w:pPr>
            <w:pStyle w:val="17"/>
            <w:keepNext w:val="0"/>
            <w:keepLines w:val="0"/>
            <w:pageBreakBefore w:val="0"/>
            <w:widowControl w:val="0"/>
            <w:tabs>
              <w:tab w:val="right" w:leader="dot" w:pos="8306"/>
            </w:tabs>
            <w:kinsoku/>
            <w:wordWrap/>
            <w:overflowPunct/>
            <w:topLinePunct w:val="0"/>
            <w:autoSpaceDE/>
            <w:autoSpaceDN/>
            <w:bidi w:val="0"/>
            <w:adjustRightInd/>
            <w:snapToGrid/>
            <w:ind w:left="0" w:leftChars="0" w:firstLine="56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rPr>
            <w:t>第三节  提升城市精细化品质化水平</w:t>
          </w:r>
          <w:r>
            <w:rPr>
              <w:rFonts w:hint="eastAsia" w:ascii="宋体" w:hAnsi="宋体" w:eastAsia="宋体" w:cs="宋体"/>
              <w:sz w:val="28"/>
              <w:szCs w:val="28"/>
            </w:rPr>
            <w:tab/>
          </w:r>
          <w:r>
            <w:rPr>
              <w:rFonts w:hint="eastAsia" w:ascii="宋体" w:hAnsi="宋体" w:eastAsia="宋体" w:cs="宋体"/>
              <w:sz w:val="28"/>
              <w:szCs w:val="28"/>
            </w:rPr>
            <w:t>28</w:t>
          </w:r>
        </w:p>
        <w:p>
          <w:pPr>
            <w:pStyle w:val="17"/>
            <w:keepNext w:val="0"/>
            <w:keepLines w:val="0"/>
            <w:pageBreakBefore w:val="0"/>
            <w:widowControl w:val="0"/>
            <w:tabs>
              <w:tab w:val="right" w:leader="dot" w:pos="8306"/>
            </w:tabs>
            <w:kinsoku/>
            <w:wordWrap/>
            <w:overflowPunct/>
            <w:topLinePunct w:val="0"/>
            <w:autoSpaceDE/>
            <w:autoSpaceDN/>
            <w:bidi w:val="0"/>
            <w:adjustRightInd/>
            <w:snapToGrid/>
            <w:ind w:left="0" w:leftChars="0" w:firstLine="56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rPr>
            <w:t>第四节  加强城区基础设施建设</w:t>
          </w:r>
          <w:r>
            <w:rPr>
              <w:rFonts w:hint="eastAsia" w:ascii="宋体" w:hAnsi="宋体" w:eastAsia="宋体" w:cs="宋体"/>
              <w:sz w:val="28"/>
              <w:szCs w:val="28"/>
            </w:rPr>
            <w:tab/>
          </w:r>
          <w:r>
            <w:rPr>
              <w:rFonts w:hint="eastAsia" w:ascii="宋体" w:hAnsi="宋体" w:eastAsia="宋体" w:cs="宋体"/>
              <w:sz w:val="28"/>
              <w:szCs w:val="28"/>
            </w:rPr>
            <w:t>30</w:t>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outlineLvl w:val="9"/>
            <w:rPr>
              <w:rFonts w:hint="eastAsia" w:ascii="宋体" w:hAnsi="宋体" w:eastAsia="宋体" w:cs="宋体"/>
              <w:sz w:val="28"/>
              <w:szCs w:val="28"/>
            </w:rPr>
          </w:pPr>
          <w:r>
            <w:rPr>
              <w:rFonts w:hint="eastAsia" w:ascii="宋体" w:hAnsi="宋体" w:eastAsia="宋体" w:cs="宋体"/>
              <w:sz w:val="28"/>
              <w:szCs w:val="28"/>
            </w:rPr>
            <w:t>第六章  全面推进乡村振兴，推动城乡融合高质量发展</w:t>
          </w:r>
          <w:r>
            <w:rPr>
              <w:rFonts w:hint="eastAsia" w:ascii="宋体" w:hAnsi="宋体" w:eastAsia="宋体" w:cs="宋体"/>
              <w:sz w:val="28"/>
              <w:szCs w:val="28"/>
            </w:rPr>
            <w:tab/>
          </w:r>
          <w:r>
            <w:rPr>
              <w:rFonts w:hint="eastAsia" w:ascii="宋体" w:hAnsi="宋体" w:eastAsia="宋体" w:cs="宋体"/>
              <w:sz w:val="28"/>
              <w:szCs w:val="28"/>
            </w:rPr>
            <w:t>31</w:t>
          </w:r>
        </w:p>
        <w:p>
          <w:pPr>
            <w:pStyle w:val="17"/>
            <w:keepNext w:val="0"/>
            <w:keepLines w:val="0"/>
            <w:pageBreakBefore w:val="0"/>
            <w:widowControl w:val="0"/>
            <w:tabs>
              <w:tab w:val="right" w:leader="dot" w:pos="8306"/>
            </w:tabs>
            <w:kinsoku/>
            <w:wordWrap/>
            <w:overflowPunct/>
            <w:topLinePunct w:val="0"/>
            <w:autoSpaceDE/>
            <w:autoSpaceDN/>
            <w:bidi w:val="0"/>
            <w:adjustRightInd/>
            <w:snapToGrid/>
            <w:ind w:left="0" w:lef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第一节  大力提升农业发展质量</w:t>
          </w:r>
          <w:r>
            <w:rPr>
              <w:rFonts w:hint="eastAsia" w:ascii="宋体" w:hAnsi="宋体" w:eastAsia="宋体" w:cs="宋体"/>
              <w:sz w:val="28"/>
              <w:szCs w:val="28"/>
            </w:rPr>
            <w:tab/>
          </w:r>
          <w:r>
            <w:rPr>
              <w:rFonts w:hint="eastAsia" w:ascii="宋体" w:hAnsi="宋体" w:eastAsia="宋体" w:cs="宋体"/>
              <w:sz w:val="28"/>
              <w:szCs w:val="28"/>
            </w:rPr>
            <w:t>3</w:t>
          </w:r>
          <w:r>
            <w:rPr>
              <w:rFonts w:hint="eastAsia" w:ascii="宋体" w:hAnsi="宋体" w:eastAsia="宋体" w:cs="宋体"/>
              <w:sz w:val="28"/>
              <w:szCs w:val="28"/>
              <w:lang w:val="en-US" w:eastAsia="zh-CN"/>
            </w:rPr>
            <w:t>1</w:t>
          </w:r>
        </w:p>
        <w:p>
          <w:pPr>
            <w:pStyle w:val="17"/>
            <w:keepNext w:val="0"/>
            <w:keepLines w:val="0"/>
            <w:pageBreakBefore w:val="0"/>
            <w:widowControl w:val="0"/>
            <w:tabs>
              <w:tab w:val="right" w:leader="dot" w:pos="8306"/>
            </w:tabs>
            <w:kinsoku/>
            <w:wordWrap/>
            <w:overflowPunct/>
            <w:topLinePunct w:val="0"/>
            <w:autoSpaceDE/>
            <w:autoSpaceDN/>
            <w:bidi w:val="0"/>
            <w:adjustRightInd/>
            <w:snapToGrid/>
            <w:ind w:left="0" w:lef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第二节  建设生态宜居美丽乡村</w:t>
          </w:r>
          <w:r>
            <w:rPr>
              <w:rFonts w:hint="eastAsia" w:ascii="宋体" w:hAnsi="宋体" w:eastAsia="宋体" w:cs="宋体"/>
              <w:sz w:val="28"/>
              <w:szCs w:val="28"/>
            </w:rPr>
            <w:tab/>
          </w:r>
          <w:r>
            <w:rPr>
              <w:rFonts w:hint="eastAsia" w:ascii="宋体" w:hAnsi="宋体" w:eastAsia="宋体" w:cs="宋体"/>
              <w:sz w:val="28"/>
              <w:szCs w:val="28"/>
            </w:rPr>
            <w:t>3</w:t>
          </w:r>
          <w:r>
            <w:rPr>
              <w:rFonts w:hint="eastAsia" w:ascii="宋体" w:hAnsi="宋体" w:eastAsia="宋体" w:cs="宋体"/>
              <w:sz w:val="28"/>
              <w:szCs w:val="28"/>
              <w:lang w:val="en-US" w:eastAsia="zh-CN"/>
            </w:rPr>
            <w:t>4</w:t>
          </w:r>
        </w:p>
        <w:p>
          <w:pPr>
            <w:pStyle w:val="17"/>
            <w:keepNext w:val="0"/>
            <w:keepLines w:val="0"/>
            <w:pageBreakBefore w:val="0"/>
            <w:widowControl w:val="0"/>
            <w:tabs>
              <w:tab w:val="right" w:leader="dot" w:pos="8306"/>
            </w:tabs>
            <w:kinsoku/>
            <w:wordWrap/>
            <w:overflowPunct/>
            <w:topLinePunct w:val="0"/>
            <w:autoSpaceDE/>
            <w:autoSpaceDN/>
            <w:bidi w:val="0"/>
            <w:adjustRightInd/>
            <w:snapToGrid/>
            <w:ind w:left="0" w:leftChars="0" w:firstLine="56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rPr>
            <w:t>第三节  全面深化农村改革</w:t>
          </w:r>
          <w:r>
            <w:rPr>
              <w:rFonts w:hint="eastAsia" w:ascii="宋体" w:hAnsi="宋体" w:eastAsia="宋体" w:cs="宋体"/>
              <w:sz w:val="28"/>
              <w:szCs w:val="28"/>
            </w:rPr>
            <w:tab/>
          </w:r>
          <w:r>
            <w:rPr>
              <w:rFonts w:hint="eastAsia" w:ascii="宋体" w:hAnsi="宋体" w:eastAsia="宋体" w:cs="宋体"/>
              <w:sz w:val="28"/>
              <w:szCs w:val="28"/>
            </w:rPr>
            <w:t>36</w:t>
          </w:r>
        </w:p>
        <w:p>
          <w:pPr>
            <w:pStyle w:val="17"/>
            <w:keepNext w:val="0"/>
            <w:keepLines w:val="0"/>
            <w:pageBreakBefore w:val="0"/>
            <w:widowControl w:val="0"/>
            <w:tabs>
              <w:tab w:val="right" w:leader="dot" w:pos="8306"/>
            </w:tabs>
            <w:kinsoku/>
            <w:wordWrap/>
            <w:overflowPunct/>
            <w:topLinePunct w:val="0"/>
            <w:autoSpaceDE/>
            <w:autoSpaceDN/>
            <w:bidi w:val="0"/>
            <w:adjustRightInd/>
            <w:snapToGrid/>
            <w:ind w:left="0" w:leftChars="0" w:firstLine="56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rPr>
            <w:t>第四节  大力推动城乡融合发展</w:t>
          </w:r>
          <w:r>
            <w:rPr>
              <w:rFonts w:hint="eastAsia" w:ascii="宋体" w:hAnsi="宋体" w:eastAsia="宋体" w:cs="宋体"/>
              <w:sz w:val="28"/>
              <w:szCs w:val="28"/>
            </w:rPr>
            <w:tab/>
          </w:r>
          <w:r>
            <w:rPr>
              <w:rFonts w:hint="eastAsia" w:ascii="宋体" w:hAnsi="宋体" w:eastAsia="宋体" w:cs="宋体"/>
              <w:sz w:val="28"/>
              <w:szCs w:val="28"/>
            </w:rPr>
            <w:t>37</w:t>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outlineLvl w:val="9"/>
            <w:rPr>
              <w:rFonts w:hint="eastAsia" w:ascii="宋体" w:hAnsi="宋体" w:eastAsia="宋体" w:cs="宋体"/>
              <w:sz w:val="28"/>
              <w:szCs w:val="28"/>
            </w:rPr>
          </w:pPr>
          <w:r>
            <w:rPr>
              <w:rFonts w:hint="eastAsia" w:ascii="宋体" w:hAnsi="宋体" w:eastAsia="宋体" w:cs="宋体"/>
              <w:sz w:val="28"/>
              <w:szCs w:val="28"/>
            </w:rPr>
            <w:t>第七章  突出生态优先主旋律，建设更高水平的美丽武江</w:t>
          </w:r>
          <w:r>
            <w:rPr>
              <w:rFonts w:hint="eastAsia" w:ascii="宋体" w:hAnsi="宋体" w:eastAsia="宋体" w:cs="宋体"/>
              <w:sz w:val="28"/>
              <w:szCs w:val="28"/>
            </w:rPr>
            <w:tab/>
          </w:r>
          <w:r>
            <w:rPr>
              <w:rFonts w:hint="eastAsia" w:ascii="宋体" w:hAnsi="宋体" w:eastAsia="宋体" w:cs="宋体"/>
              <w:sz w:val="28"/>
              <w:szCs w:val="28"/>
            </w:rPr>
            <w:t>39</w:t>
          </w:r>
        </w:p>
        <w:p>
          <w:pPr>
            <w:pStyle w:val="17"/>
            <w:keepNext w:val="0"/>
            <w:keepLines w:val="0"/>
            <w:pageBreakBefore w:val="0"/>
            <w:widowControl w:val="0"/>
            <w:tabs>
              <w:tab w:val="right" w:leader="dot" w:pos="8306"/>
            </w:tabs>
            <w:kinsoku/>
            <w:wordWrap/>
            <w:overflowPunct/>
            <w:topLinePunct w:val="0"/>
            <w:autoSpaceDE/>
            <w:autoSpaceDN/>
            <w:bidi w:val="0"/>
            <w:adjustRightInd/>
            <w:snapToGrid/>
            <w:ind w:left="0" w:leftChars="0" w:firstLine="56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rPr>
            <w:t>第一节  加强生态建设与保护</w:t>
          </w:r>
          <w:r>
            <w:rPr>
              <w:rFonts w:hint="eastAsia" w:ascii="宋体" w:hAnsi="宋体" w:eastAsia="宋体" w:cs="宋体"/>
              <w:sz w:val="28"/>
              <w:szCs w:val="28"/>
            </w:rPr>
            <w:tab/>
          </w:r>
          <w:r>
            <w:rPr>
              <w:rFonts w:hint="eastAsia" w:ascii="宋体" w:hAnsi="宋体" w:eastAsia="宋体" w:cs="宋体"/>
              <w:sz w:val="28"/>
              <w:szCs w:val="28"/>
            </w:rPr>
            <w:t>39</w:t>
          </w:r>
        </w:p>
        <w:p>
          <w:pPr>
            <w:pStyle w:val="17"/>
            <w:keepNext w:val="0"/>
            <w:keepLines w:val="0"/>
            <w:pageBreakBefore w:val="0"/>
            <w:widowControl w:val="0"/>
            <w:tabs>
              <w:tab w:val="right" w:leader="dot" w:pos="8306"/>
            </w:tabs>
            <w:kinsoku/>
            <w:wordWrap/>
            <w:overflowPunct/>
            <w:topLinePunct w:val="0"/>
            <w:autoSpaceDE/>
            <w:autoSpaceDN/>
            <w:bidi w:val="0"/>
            <w:adjustRightInd/>
            <w:snapToGrid/>
            <w:ind w:left="0" w:lef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第二节  全域推进生态环境治理</w:t>
          </w:r>
          <w:r>
            <w:rPr>
              <w:rFonts w:hint="eastAsia" w:ascii="宋体" w:hAnsi="宋体" w:eastAsia="宋体" w:cs="宋体"/>
              <w:sz w:val="28"/>
              <w:szCs w:val="28"/>
            </w:rPr>
            <w:tab/>
          </w:r>
          <w:r>
            <w:rPr>
              <w:rFonts w:hint="eastAsia" w:ascii="宋体" w:hAnsi="宋体" w:eastAsia="宋体" w:cs="宋体"/>
              <w:sz w:val="28"/>
              <w:szCs w:val="28"/>
            </w:rPr>
            <w:t>4</w:t>
          </w:r>
          <w:r>
            <w:rPr>
              <w:rFonts w:hint="eastAsia" w:ascii="宋体" w:hAnsi="宋体" w:eastAsia="宋体" w:cs="宋体"/>
              <w:sz w:val="28"/>
              <w:szCs w:val="28"/>
              <w:lang w:val="en-US" w:eastAsia="zh-CN"/>
            </w:rPr>
            <w:t>0</w:t>
          </w:r>
        </w:p>
        <w:p>
          <w:pPr>
            <w:pStyle w:val="17"/>
            <w:keepNext w:val="0"/>
            <w:keepLines w:val="0"/>
            <w:pageBreakBefore w:val="0"/>
            <w:widowControl w:val="0"/>
            <w:tabs>
              <w:tab w:val="right" w:leader="dot" w:pos="8306"/>
            </w:tabs>
            <w:kinsoku/>
            <w:wordWrap/>
            <w:overflowPunct/>
            <w:topLinePunct w:val="0"/>
            <w:autoSpaceDE/>
            <w:autoSpaceDN/>
            <w:bidi w:val="0"/>
            <w:adjustRightInd/>
            <w:snapToGrid/>
            <w:ind w:left="0" w:leftChars="0" w:firstLine="56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rPr>
            <w:t xml:space="preserve">第三节  </w:t>
          </w:r>
          <w:r>
            <w:rPr>
              <w:rFonts w:hint="eastAsia" w:ascii="宋体" w:hAnsi="宋体" w:eastAsia="宋体" w:cs="宋体"/>
              <w:color w:val="auto"/>
              <w:sz w:val="28"/>
              <w:szCs w:val="28"/>
              <w:highlight w:val="none"/>
              <w:lang w:val="en-US" w:eastAsia="zh-CN"/>
            </w:rPr>
            <w:t>倡导绿色低碳生活</w:t>
          </w:r>
          <w:r>
            <w:rPr>
              <w:rFonts w:hint="eastAsia" w:ascii="宋体" w:hAnsi="宋体" w:eastAsia="宋体" w:cs="宋体"/>
              <w:sz w:val="28"/>
              <w:szCs w:val="28"/>
            </w:rPr>
            <w:tab/>
          </w:r>
          <w:r>
            <w:rPr>
              <w:rFonts w:hint="eastAsia" w:ascii="宋体" w:hAnsi="宋体" w:eastAsia="宋体" w:cs="宋体"/>
              <w:sz w:val="28"/>
              <w:szCs w:val="28"/>
            </w:rPr>
            <w:t>42</w:t>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outlineLvl w:val="9"/>
            <w:rPr>
              <w:rFonts w:hint="eastAsia" w:ascii="宋体" w:hAnsi="宋体" w:eastAsia="宋体" w:cs="宋体"/>
              <w:sz w:val="28"/>
              <w:szCs w:val="28"/>
            </w:rPr>
          </w:pPr>
          <w:r>
            <w:rPr>
              <w:rFonts w:hint="eastAsia" w:ascii="宋体" w:hAnsi="宋体" w:eastAsia="宋体" w:cs="宋体"/>
              <w:sz w:val="28"/>
              <w:szCs w:val="28"/>
            </w:rPr>
            <w:t>第八章  深化改革扩大开放，激发市场潜力发展活力</w:t>
          </w:r>
          <w:r>
            <w:rPr>
              <w:rFonts w:hint="eastAsia" w:ascii="宋体" w:hAnsi="宋体" w:eastAsia="宋体" w:cs="宋体"/>
              <w:sz w:val="28"/>
              <w:szCs w:val="28"/>
            </w:rPr>
            <w:tab/>
          </w:r>
          <w:r>
            <w:rPr>
              <w:rFonts w:hint="eastAsia" w:ascii="宋体" w:hAnsi="宋体" w:eastAsia="宋体" w:cs="宋体"/>
              <w:sz w:val="28"/>
              <w:szCs w:val="28"/>
            </w:rPr>
            <w:t>44</w:t>
          </w:r>
        </w:p>
        <w:p>
          <w:pPr>
            <w:pStyle w:val="17"/>
            <w:keepNext w:val="0"/>
            <w:keepLines w:val="0"/>
            <w:pageBreakBefore w:val="0"/>
            <w:widowControl w:val="0"/>
            <w:tabs>
              <w:tab w:val="right" w:leader="dot" w:pos="8306"/>
            </w:tabs>
            <w:kinsoku/>
            <w:wordWrap/>
            <w:overflowPunct/>
            <w:topLinePunct w:val="0"/>
            <w:autoSpaceDE/>
            <w:autoSpaceDN/>
            <w:bidi w:val="0"/>
            <w:adjustRightInd/>
            <w:snapToGrid/>
            <w:ind w:left="0" w:leftChars="0" w:firstLine="56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rPr>
            <w:t>第一节  深化要素市场化配置改革</w:t>
          </w:r>
          <w:r>
            <w:rPr>
              <w:rFonts w:hint="eastAsia" w:ascii="宋体" w:hAnsi="宋体" w:eastAsia="宋体" w:cs="宋体"/>
              <w:sz w:val="28"/>
              <w:szCs w:val="28"/>
            </w:rPr>
            <w:tab/>
          </w:r>
          <w:r>
            <w:rPr>
              <w:rFonts w:hint="eastAsia" w:ascii="宋体" w:hAnsi="宋体" w:eastAsia="宋体" w:cs="宋体"/>
              <w:sz w:val="28"/>
              <w:szCs w:val="28"/>
            </w:rPr>
            <w:t>44</w:t>
          </w:r>
        </w:p>
        <w:p>
          <w:pPr>
            <w:pStyle w:val="17"/>
            <w:keepNext w:val="0"/>
            <w:keepLines w:val="0"/>
            <w:pageBreakBefore w:val="0"/>
            <w:widowControl w:val="0"/>
            <w:tabs>
              <w:tab w:val="right" w:leader="dot" w:pos="8306"/>
            </w:tabs>
            <w:kinsoku/>
            <w:wordWrap/>
            <w:overflowPunct/>
            <w:topLinePunct w:val="0"/>
            <w:autoSpaceDE/>
            <w:autoSpaceDN/>
            <w:bidi w:val="0"/>
            <w:adjustRightInd/>
            <w:snapToGrid/>
            <w:ind w:left="0" w:leftChars="0" w:firstLine="56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rPr>
            <w:t>第二节  持续推动重点领域改革</w:t>
          </w:r>
          <w:r>
            <w:rPr>
              <w:rFonts w:hint="eastAsia" w:ascii="宋体" w:hAnsi="宋体" w:eastAsia="宋体" w:cs="宋体"/>
              <w:sz w:val="28"/>
              <w:szCs w:val="28"/>
            </w:rPr>
            <w:tab/>
          </w:r>
          <w:r>
            <w:rPr>
              <w:rFonts w:hint="eastAsia" w:ascii="宋体" w:hAnsi="宋体" w:eastAsia="宋体" w:cs="宋体"/>
              <w:sz w:val="28"/>
              <w:szCs w:val="28"/>
            </w:rPr>
            <w:t>45</w:t>
          </w:r>
        </w:p>
        <w:p>
          <w:pPr>
            <w:pStyle w:val="17"/>
            <w:keepNext w:val="0"/>
            <w:keepLines w:val="0"/>
            <w:pageBreakBefore w:val="0"/>
            <w:widowControl w:val="0"/>
            <w:tabs>
              <w:tab w:val="right" w:leader="dot" w:pos="8306"/>
            </w:tabs>
            <w:kinsoku/>
            <w:wordWrap/>
            <w:overflowPunct/>
            <w:topLinePunct w:val="0"/>
            <w:autoSpaceDE/>
            <w:autoSpaceDN/>
            <w:bidi w:val="0"/>
            <w:adjustRightInd/>
            <w:snapToGrid/>
            <w:ind w:left="0" w:leftChars="0" w:firstLine="56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rPr>
            <w:t>第三节  激发市场主体活力</w:t>
          </w:r>
          <w:r>
            <w:rPr>
              <w:rFonts w:hint="eastAsia" w:ascii="宋体" w:hAnsi="宋体" w:eastAsia="宋体" w:cs="宋体"/>
              <w:sz w:val="28"/>
              <w:szCs w:val="28"/>
            </w:rPr>
            <w:tab/>
          </w:r>
          <w:r>
            <w:rPr>
              <w:rFonts w:hint="eastAsia" w:ascii="宋体" w:hAnsi="宋体" w:eastAsia="宋体" w:cs="宋体"/>
              <w:sz w:val="28"/>
              <w:szCs w:val="28"/>
            </w:rPr>
            <w:t>47</w:t>
          </w:r>
        </w:p>
        <w:p>
          <w:pPr>
            <w:pStyle w:val="17"/>
            <w:keepNext w:val="0"/>
            <w:keepLines w:val="0"/>
            <w:pageBreakBefore w:val="0"/>
            <w:widowControl w:val="0"/>
            <w:tabs>
              <w:tab w:val="right" w:leader="dot" w:pos="8306"/>
            </w:tabs>
            <w:kinsoku/>
            <w:wordWrap/>
            <w:overflowPunct/>
            <w:topLinePunct w:val="0"/>
            <w:autoSpaceDE/>
            <w:autoSpaceDN/>
            <w:bidi w:val="0"/>
            <w:adjustRightInd/>
            <w:snapToGrid/>
            <w:ind w:left="0" w:leftChars="0" w:firstLine="56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rPr>
            <w:t>第四节  扩大对外开放合作</w:t>
          </w:r>
          <w:r>
            <w:rPr>
              <w:rFonts w:hint="eastAsia" w:ascii="宋体" w:hAnsi="宋体" w:eastAsia="宋体" w:cs="宋体"/>
              <w:sz w:val="28"/>
              <w:szCs w:val="28"/>
            </w:rPr>
            <w:tab/>
          </w:r>
          <w:r>
            <w:rPr>
              <w:rFonts w:hint="eastAsia" w:ascii="宋体" w:hAnsi="宋体" w:eastAsia="宋体" w:cs="宋体"/>
              <w:sz w:val="28"/>
              <w:szCs w:val="28"/>
            </w:rPr>
            <w:t>48</w:t>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outlineLvl w:val="9"/>
            <w:rPr>
              <w:rFonts w:hint="default" w:ascii="宋体" w:hAnsi="宋体" w:eastAsia="宋体" w:cs="宋体"/>
              <w:sz w:val="28"/>
              <w:szCs w:val="28"/>
              <w:lang w:val="en-US" w:eastAsia="zh-CN"/>
            </w:rPr>
          </w:pPr>
          <w:r>
            <w:rPr>
              <w:rFonts w:hint="eastAsia" w:ascii="宋体" w:hAnsi="宋体" w:eastAsia="宋体" w:cs="宋体"/>
              <w:spacing w:val="-14"/>
              <w:sz w:val="28"/>
              <w:szCs w:val="28"/>
            </w:rPr>
            <w:t>第九章  着力改善民生福祉，不断满足人民群众美好生活需要</w:t>
          </w:r>
          <w:r>
            <w:rPr>
              <w:rFonts w:hint="eastAsia" w:ascii="宋体" w:hAnsi="宋体" w:eastAsia="宋体" w:cs="宋体"/>
              <w:sz w:val="28"/>
              <w:szCs w:val="28"/>
            </w:rPr>
            <w:tab/>
          </w:r>
          <w:r>
            <w:rPr>
              <w:rFonts w:hint="eastAsia" w:ascii="宋体" w:hAnsi="宋体" w:eastAsia="宋体" w:cs="宋体"/>
              <w:sz w:val="28"/>
              <w:szCs w:val="28"/>
              <w:lang w:val="en-US" w:eastAsia="zh-CN"/>
            </w:rPr>
            <w:t>49</w:t>
          </w:r>
        </w:p>
        <w:p>
          <w:pPr>
            <w:pStyle w:val="17"/>
            <w:keepNext w:val="0"/>
            <w:keepLines w:val="0"/>
            <w:pageBreakBefore w:val="0"/>
            <w:widowControl w:val="0"/>
            <w:tabs>
              <w:tab w:val="right" w:leader="dot" w:pos="8306"/>
            </w:tabs>
            <w:kinsoku/>
            <w:wordWrap/>
            <w:overflowPunct/>
            <w:topLinePunct w:val="0"/>
            <w:autoSpaceDE/>
            <w:autoSpaceDN/>
            <w:bidi w:val="0"/>
            <w:adjustRightInd/>
            <w:snapToGrid/>
            <w:ind w:left="0" w:leftChars="0" w:firstLine="56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rPr>
            <w:t>第一节  促进更加充分更加高质量就业</w:t>
          </w:r>
          <w:r>
            <w:rPr>
              <w:rFonts w:hint="eastAsia" w:ascii="宋体" w:hAnsi="宋体" w:eastAsia="宋体" w:cs="宋体"/>
              <w:sz w:val="28"/>
              <w:szCs w:val="28"/>
            </w:rPr>
            <w:tab/>
          </w:r>
          <w:r>
            <w:rPr>
              <w:rFonts w:hint="eastAsia" w:ascii="宋体" w:hAnsi="宋体" w:eastAsia="宋体" w:cs="宋体"/>
              <w:sz w:val="28"/>
              <w:szCs w:val="28"/>
            </w:rPr>
            <w:t>50</w:t>
          </w:r>
        </w:p>
        <w:p>
          <w:pPr>
            <w:pStyle w:val="17"/>
            <w:keepNext w:val="0"/>
            <w:keepLines w:val="0"/>
            <w:pageBreakBefore w:val="0"/>
            <w:widowControl w:val="0"/>
            <w:tabs>
              <w:tab w:val="right" w:leader="dot" w:pos="8306"/>
            </w:tabs>
            <w:kinsoku/>
            <w:wordWrap/>
            <w:overflowPunct/>
            <w:topLinePunct w:val="0"/>
            <w:autoSpaceDE/>
            <w:autoSpaceDN/>
            <w:bidi w:val="0"/>
            <w:adjustRightInd/>
            <w:snapToGrid/>
            <w:ind w:left="0" w:leftChars="0" w:firstLine="56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rPr>
            <w:t>第二节  建设现代化教育强区</w:t>
          </w:r>
          <w:r>
            <w:rPr>
              <w:rFonts w:hint="eastAsia" w:ascii="宋体" w:hAnsi="宋体" w:eastAsia="宋体" w:cs="宋体"/>
              <w:sz w:val="28"/>
              <w:szCs w:val="28"/>
            </w:rPr>
            <w:tab/>
          </w:r>
          <w:r>
            <w:rPr>
              <w:rFonts w:hint="eastAsia" w:ascii="宋体" w:hAnsi="宋体" w:eastAsia="宋体" w:cs="宋体"/>
              <w:sz w:val="28"/>
              <w:szCs w:val="28"/>
            </w:rPr>
            <w:t>52</w:t>
          </w:r>
        </w:p>
        <w:p>
          <w:pPr>
            <w:pStyle w:val="17"/>
            <w:keepNext w:val="0"/>
            <w:keepLines w:val="0"/>
            <w:pageBreakBefore w:val="0"/>
            <w:widowControl w:val="0"/>
            <w:tabs>
              <w:tab w:val="right" w:leader="dot" w:pos="8306"/>
            </w:tabs>
            <w:kinsoku/>
            <w:wordWrap/>
            <w:overflowPunct/>
            <w:topLinePunct w:val="0"/>
            <w:autoSpaceDE/>
            <w:autoSpaceDN/>
            <w:bidi w:val="0"/>
            <w:adjustRightInd/>
            <w:snapToGrid/>
            <w:ind w:left="0" w:leftChars="0" w:firstLine="56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rPr>
            <w:t>第三节  增强医疗卫生服务能力</w:t>
          </w:r>
          <w:r>
            <w:rPr>
              <w:rFonts w:hint="eastAsia" w:ascii="宋体" w:hAnsi="宋体" w:eastAsia="宋体" w:cs="宋体"/>
              <w:sz w:val="28"/>
              <w:szCs w:val="28"/>
            </w:rPr>
            <w:tab/>
          </w:r>
          <w:r>
            <w:rPr>
              <w:rFonts w:hint="eastAsia" w:ascii="宋体" w:hAnsi="宋体" w:eastAsia="宋体" w:cs="宋体"/>
              <w:sz w:val="28"/>
              <w:szCs w:val="28"/>
            </w:rPr>
            <w:t>54</w:t>
          </w:r>
        </w:p>
        <w:p>
          <w:pPr>
            <w:pStyle w:val="17"/>
            <w:keepNext w:val="0"/>
            <w:keepLines w:val="0"/>
            <w:pageBreakBefore w:val="0"/>
            <w:widowControl w:val="0"/>
            <w:tabs>
              <w:tab w:val="right" w:leader="dot" w:pos="8306"/>
            </w:tabs>
            <w:kinsoku/>
            <w:wordWrap/>
            <w:overflowPunct/>
            <w:topLinePunct w:val="0"/>
            <w:autoSpaceDE/>
            <w:autoSpaceDN/>
            <w:bidi w:val="0"/>
            <w:adjustRightInd/>
            <w:snapToGrid/>
            <w:ind w:left="0" w:leftChars="0" w:firstLine="56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rPr>
            <w:t>第四节  着力提高社会保障水平</w:t>
          </w:r>
          <w:r>
            <w:rPr>
              <w:rFonts w:hint="eastAsia" w:ascii="宋体" w:hAnsi="宋体" w:eastAsia="宋体" w:cs="宋体"/>
              <w:sz w:val="28"/>
              <w:szCs w:val="28"/>
            </w:rPr>
            <w:tab/>
          </w:r>
          <w:r>
            <w:rPr>
              <w:rFonts w:hint="eastAsia" w:ascii="宋体" w:hAnsi="宋体" w:eastAsia="宋体" w:cs="宋体"/>
              <w:sz w:val="28"/>
              <w:szCs w:val="28"/>
            </w:rPr>
            <w:t>56</w:t>
          </w:r>
        </w:p>
        <w:p>
          <w:pPr>
            <w:pStyle w:val="17"/>
            <w:keepNext w:val="0"/>
            <w:keepLines w:val="0"/>
            <w:pageBreakBefore w:val="0"/>
            <w:widowControl w:val="0"/>
            <w:tabs>
              <w:tab w:val="right" w:leader="dot" w:pos="8306"/>
            </w:tabs>
            <w:kinsoku/>
            <w:wordWrap/>
            <w:overflowPunct/>
            <w:topLinePunct w:val="0"/>
            <w:autoSpaceDE/>
            <w:autoSpaceDN/>
            <w:bidi w:val="0"/>
            <w:adjustRightInd/>
            <w:snapToGrid/>
            <w:ind w:left="0" w:leftChars="0" w:firstLine="56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rPr>
            <w:t>第五节  大力发展文化体育事业</w:t>
          </w:r>
          <w:r>
            <w:rPr>
              <w:rFonts w:hint="eastAsia" w:ascii="宋体" w:hAnsi="宋体" w:eastAsia="宋体" w:cs="宋体"/>
              <w:sz w:val="28"/>
              <w:szCs w:val="28"/>
            </w:rPr>
            <w:tab/>
          </w:r>
          <w:r>
            <w:rPr>
              <w:rFonts w:hint="eastAsia" w:ascii="宋体" w:hAnsi="宋体" w:eastAsia="宋体" w:cs="宋体"/>
              <w:sz w:val="28"/>
              <w:szCs w:val="28"/>
            </w:rPr>
            <w:t>58</w:t>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outlineLvl w:val="9"/>
            <w:rPr>
              <w:rFonts w:hint="eastAsia" w:ascii="宋体" w:hAnsi="宋体" w:eastAsia="宋体" w:cs="宋体"/>
              <w:sz w:val="28"/>
              <w:szCs w:val="28"/>
            </w:rPr>
          </w:pPr>
          <w:r>
            <w:rPr>
              <w:rFonts w:hint="eastAsia" w:ascii="宋体" w:hAnsi="宋体" w:eastAsia="宋体" w:cs="宋体"/>
              <w:sz w:val="28"/>
              <w:szCs w:val="28"/>
            </w:rPr>
            <w:t>第十章  强化安全能力建设，构建社会治理新格局</w:t>
          </w:r>
          <w:r>
            <w:rPr>
              <w:rFonts w:hint="eastAsia" w:ascii="宋体" w:hAnsi="宋体" w:eastAsia="宋体" w:cs="宋体"/>
              <w:sz w:val="28"/>
              <w:szCs w:val="28"/>
            </w:rPr>
            <w:tab/>
          </w:r>
          <w:r>
            <w:rPr>
              <w:rFonts w:hint="eastAsia" w:ascii="宋体" w:hAnsi="宋体" w:eastAsia="宋体" w:cs="宋体"/>
              <w:sz w:val="28"/>
              <w:szCs w:val="28"/>
            </w:rPr>
            <w:t>59</w:t>
          </w:r>
        </w:p>
        <w:p>
          <w:pPr>
            <w:pStyle w:val="17"/>
            <w:keepNext w:val="0"/>
            <w:keepLines w:val="0"/>
            <w:pageBreakBefore w:val="0"/>
            <w:widowControl w:val="0"/>
            <w:tabs>
              <w:tab w:val="right" w:leader="dot" w:pos="8306"/>
            </w:tabs>
            <w:kinsoku/>
            <w:wordWrap/>
            <w:overflowPunct/>
            <w:topLinePunct w:val="0"/>
            <w:autoSpaceDE/>
            <w:autoSpaceDN/>
            <w:bidi w:val="0"/>
            <w:adjustRightInd/>
            <w:snapToGrid/>
            <w:ind w:left="0" w:leftChars="0" w:firstLine="560" w:firstLineChars="200"/>
            <w:textAlignment w:val="auto"/>
            <w:outlineLvl w:val="9"/>
            <w:rPr>
              <w:rFonts w:hint="default" w:ascii="宋体" w:hAnsi="宋体" w:eastAsia="宋体" w:cs="宋体"/>
              <w:sz w:val="28"/>
              <w:szCs w:val="28"/>
              <w:lang w:val="en-US" w:eastAsia="zh-CN"/>
            </w:rPr>
          </w:pPr>
          <w:r>
            <w:rPr>
              <w:rFonts w:hint="eastAsia" w:ascii="宋体" w:hAnsi="宋体" w:eastAsia="宋体" w:cs="宋体"/>
              <w:sz w:val="28"/>
              <w:szCs w:val="28"/>
            </w:rPr>
            <w:t>第一节  加强国家安全能力建设</w:t>
          </w:r>
          <w:r>
            <w:rPr>
              <w:rFonts w:hint="eastAsia" w:ascii="宋体" w:hAnsi="宋体" w:eastAsia="宋体" w:cs="宋体"/>
              <w:sz w:val="28"/>
              <w:szCs w:val="28"/>
            </w:rPr>
            <w:tab/>
          </w:r>
          <w:r>
            <w:rPr>
              <w:rFonts w:hint="eastAsia" w:ascii="宋体" w:hAnsi="宋体" w:eastAsia="宋体" w:cs="宋体"/>
              <w:sz w:val="28"/>
              <w:szCs w:val="28"/>
              <w:lang w:val="en-US" w:eastAsia="zh-CN"/>
            </w:rPr>
            <w:t>59</w:t>
          </w:r>
        </w:p>
        <w:p>
          <w:pPr>
            <w:pStyle w:val="17"/>
            <w:keepNext w:val="0"/>
            <w:keepLines w:val="0"/>
            <w:pageBreakBefore w:val="0"/>
            <w:widowControl w:val="0"/>
            <w:tabs>
              <w:tab w:val="right" w:leader="dot" w:pos="8306"/>
            </w:tabs>
            <w:kinsoku/>
            <w:wordWrap/>
            <w:overflowPunct/>
            <w:topLinePunct w:val="0"/>
            <w:autoSpaceDE/>
            <w:autoSpaceDN/>
            <w:bidi w:val="0"/>
            <w:adjustRightInd/>
            <w:snapToGrid/>
            <w:ind w:left="0" w:leftChars="0" w:firstLine="560" w:firstLineChars="200"/>
            <w:textAlignment w:val="auto"/>
            <w:outlineLvl w:val="9"/>
            <w:rPr>
              <w:rFonts w:hint="default" w:ascii="宋体" w:hAnsi="宋体" w:eastAsia="宋体" w:cs="宋体"/>
              <w:sz w:val="28"/>
              <w:szCs w:val="28"/>
              <w:lang w:val="en-US" w:eastAsia="zh-CN"/>
            </w:rPr>
          </w:pPr>
          <w:r>
            <w:rPr>
              <w:rFonts w:hint="eastAsia" w:ascii="宋体" w:hAnsi="宋体" w:eastAsia="宋体" w:cs="宋体"/>
              <w:sz w:val="28"/>
              <w:szCs w:val="28"/>
            </w:rPr>
            <w:t>第二节  保障社会公共安全</w:t>
          </w:r>
          <w:r>
            <w:rPr>
              <w:rFonts w:hint="eastAsia" w:ascii="宋体" w:hAnsi="宋体" w:eastAsia="宋体" w:cs="宋体"/>
              <w:sz w:val="28"/>
              <w:szCs w:val="28"/>
            </w:rPr>
            <w:tab/>
          </w:r>
          <w:r>
            <w:rPr>
              <w:rFonts w:hint="eastAsia" w:ascii="宋体" w:hAnsi="宋体" w:eastAsia="宋体" w:cs="宋体"/>
              <w:sz w:val="28"/>
              <w:szCs w:val="28"/>
              <w:lang w:val="en-US" w:eastAsia="zh-CN"/>
            </w:rPr>
            <w:t>60</w:t>
          </w:r>
        </w:p>
        <w:p>
          <w:pPr>
            <w:pStyle w:val="17"/>
            <w:keepNext w:val="0"/>
            <w:keepLines w:val="0"/>
            <w:pageBreakBefore w:val="0"/>
            <w:widowControl w:val="0"/>
            <w:tabs>
              <w:tab w:val="right" w:leader="dot" w:pos="8306"/>
            </w:tabs>
            <w:kinsoku/>
            <w:wordWrap/>
            <w:overflowPunct/>
            <w:topLinePunct w:val="0"/>
            <w:autoSpaceDE/>
            <w:autoSpaceDN/>
            <w:bidi w:val="0"/>
            <w:adjustRightInd/>
            <w:snapToGrid/>
            <w:ind w:left="0" w:lef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第三节  深化法治武江建设</w:t>
          </w:r>
          <w:r>
            <w:rPr>
              <w:rFonts w:hint="eastAsia" w:ascii="宋体" w:hAnsi="宋体" w:eastAsia="宋体" w:cs="宋体"/>
              <w:sz w:val="28"/>
              <w:szCs w:val="28"/>
            </w:rPr>
            <w:tab/>
          </w:r>
          <w:r>
            <w:rPr>
              <w:rFonts w:hint="eastAsia" w:ascii="宋体" w:hAnsi="宋体" w:eastAsia="宋体" w:cs="宋体"/>
              <w:sz w:val="28"/>
              <w:szCs w:val="28"/>
            </w:rPr>
            <w:t>6</w:t>
          </w:r>
          <w:r>
            <w:rPr>
              <w:rFonts w:hint="eastAsia" w:ascii="宋体" w:hAnsi="宋体" w:eastAsia="宋体" w:cs="宋体"/>
              <w:sz w:val="28"/>
              <w:szCs w:val="28"/>
              <w:lang w:val="en-US" w:eastAsia="zh-CN"/>
            </w:rPr>
            <w:t>2</w:t>
          </w:r>
        </w:p>
        <w:p>
          <w:pPr>
            <w:pStyle w:val="17"/>
            <w:keepNext w:val="0"/>
            <w:keepLines w:val="0"/>
            <w:pageBreakBefore w:val="0"/>
            <w:widowControl w:val="0"/>
            <w:tabs>
              <w:tab w:val="right" w:leader="dot" w:pos="8306"/>
            </w:tabs>
            <w:kinsoku/>
            <w:wordWrap/>
            <w:overflowPunct/>
            <w:topLinePunct w:val="0"/>
            <w:autoSpaceDE/>
            <w:autoSpaceDN/>
            <w:bidi w:val="0"/>
            <w:adjustRightInd/>
            <w:snapToGrid/>
            <w:ind w:left="0" w:leftChars="0" w:firstLine="56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rPr>
            <w:t>第四节  维护社会平安稳定</w:t>
          </w:r>
          <w:r>
            <w:rPr>
              <w:rFonts w:hint="eastAsia" w:ascii="宋体" w:hAnsi="宋体" w:eastAsia="宋体" w:cs="宋体"/>
              <w:sz w:val="28"/>
              <w:szCs w:val="28"/>
            </w:rPr>
            <w:tab/>
          </w:r>
          <w:r>
            <w:rPr>
              <w:rFonts w:hint="eastAsia" w:ascii="宋体" w:hAnsi="宋体" w:eastAsia="宋体" w:cs="宋体"/>
              <w:sz w:val="28"/>
              <w:szCs w:val="28"/>
            </w:rPr>
            <w:t>64</w:t>
          </w:r>
        </w:p>
        <w:p>
          <w:pPr>
            <w:pStyle w:val="17"/>
            <w:keepNext w:val="0"/>
            <w:keepLines w:val="0"/>
            <w:pageBreakBefore w:val="0"/>
            <w:widowControl w:val="0"/>
            <w:tabs>
              <w:tab w:val="right" w:leader="dot" w:pos="8306"/>
            </w:tabs>
            <w:kinsoku/>
            <w:wordWrap/>
            <w:overflowPunct/>
            <w:topLinePunct w:val="0"/>
            <w:autoSpaceDE/>
            <w:autoSpaceDN/>
            <w:bidi w:val="0"/>
            <w:adjustRightInd/>
            <w:snapToGrid/>
            <w:ind w:left="0" w:leftChars="0" w:firstLine="56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rPr>
            <w:t>第五节  创新和完善社会治理</w:t>
          </w:r>
          <w:r>
            <w:rPr>
              <w:rFonts w:hint="eastAsia" w:ascii="宋体" w:hAnsi="宋体" w:eastAsia="宋体" w:cs="宋体"/>
              <w:sz w:val="28"/>
              <w:szCs w:val="28"/>
            </w:rPr>
            <w:tab/>
          </w:r>
          <w:r>
            <w:rPr>
              <w:rFonts w:hint="eastAsia" w:ascii="宋体" w:hAnsi="宋体" w:eastAsia="宋体" w:cs="宋体"/>
              <w:sz w:val="28"/>
              <w:szCs w:val="28"/>
            </w:rPr>
            <w:t>65</w:t>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outlineLvl w:val="9"/>
            <w:rPr>
              <w:rFonts w:hint="eastAsia" w:ascii="宋体" w:hAnsi="宋体" w:eastAsia="宋体" w:cs="宋体"/>
              <w:sz w:val="28"/>
              <w:szCs w:val="28"/>
            </w:rPr>
          </w:pPr>
          <w:r>
            <w:rPr>
              <w:rFonts w:hint="eastAsia" w:ascii="宋体" w:hAnsi="宋体" w:eastAsia="宋体" w:cs="宋体"/>
              <w:sz w:val="28"/>
              <w:szCs w:val="28"/>
            </w:rPr>
            <w:t>第十一章  完善规划实施保障机制</w:t>
          </w:r>
          <w:r>
            <w:rPr>
              <w:rFonts w:hint="eastAsia" w:ascii="宋体" w:hAnsi="宋体" w:eastAsia="宋体" w:cs="宋体"/>
              <w:sz w:val="28"/>
              <w:szCs w:val="28"/>
            </w:rPr>
            <w:tab/>
          </w:r>
          <w:r>
            <w:rPr>
              <w:rFonts w:hint="eastAsia" w:ascii="宋体" w:hAnsi="宋体" w:eastAsia="宋体" w:cs="宋体"/>
              <w:sz w:val="28"/>
              <w:szCs w:val="28"/>
            </w:rPr>
            <w:t>66</w:t>
          </w:r>
        </w:p>
        <w:p>
          <w:pPr>
            <w:pStyle w:val="17"/>
            <w:keepNext w:val="0"/>
            <w:keepLines w:val="0"/>
            <w:pageBreakBefore w:val="0"/>
            <w:widowControl w:val="0"/>
            <w:tabs>
              <w:tab w:val="right" w:leader="dot" w:pos="8306"/>
            </w:tabs>
            <w:kinsoku/>
            <w:wordWrap/>
            <w:overflowPunct/>
            <w:topLinePunct w:val="0"/>
            <w:autoSpaceDE/>
            <w:autoSpaceDN/>
            <w:bidi w:val="0"/>
            <w:adjustRightInd/>
            <w:snapToGrid/>
            <w:ind w:left="0" w:lef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第一节  全面加强党的领导</w:t>
          </w:r>
          <w:r>
            <w:rPr>
              <w:rFonts w:hint="eastAsia" w:ascii="宋体" w:hAnsi="宋体" w:eastAsia="宋体" w:cs="宋体"/>
              <w:sz w:val="28"/>
              <w:szCs w:val="28"/>
            </w:rPr>
            <w:tab/>
          </w:r>
          <w:r>
            <w:rPr>
              <w:rFonts w:hint="eastAsia" w:ascii="宋体" w:hAnsi="宋体" w:eastAsia="宋体" w:cs="宋体"/>
              <w:sz w:val="28"/>
              <w:szCs w:val="28"/>
            </w:rPr>
            <w:t>6</w:t>
          </w:r>
          <w:r>
            <w:rPr>
              <w:rFonts w:hint="eastAsia" w:ascii="宋体" w:hAnsi="宋体" w:eastAsia="宋体" w:cs="宋体"/>
              <w:sz w:val="28"/>
              <w:szCs w:val="28"/>
              <w:lang w:val="en-US" w:eastAsia="zh-CN"/>
            </w:rPr>
            <w:t>6</w:t>
          </w:r>
        </w:p>
        <w:p>
          <w:pPr>
            <w:pStyle w:val="17"/>
            <w:keepNext w:val="0"/>
            <w:keepLines w:val="0"/>
            <w:pageBreakBefore w:val="0"/>
            <w:widowControl w:val="0"/>
            <w:tabs>
              <w:tab w:val="right" w:leader="dot" w:pos="8306"/>
            </w:tabs>
            <w:kinsoku/>
            <w:wordWrap/>
            <w:overflowPunct/>
            <w:topLinePunct w:val="0"/>
            <w:autoSpaceDE/>
            <w:autoSpaceDN/>
            <w:bidi w:val="0"/>
            <w:adjustRightInd/>
            <w:snapToGrid/>
            <w:ind w:left="0" w:leftChars="0" w:firstLine="56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rPr>
            <w:t>第二节  完善规划体系</w:t>
          </w:r>
          <w:r>
            <w:rPr>
              <w:rFonts w:hint="eastAsia" w:ascii="宋体" w:hAnsi="宋体" w:eastAsia="宋体" w:cs="宋体"/>
              <w:sz w:val="28"/>
              <w:szCs w:val="28"/>
            </w:rPr>
            <w:tab/>
          </w:r>
          <w:r>
            <w:rPr>
              <w:rFonts w:hint="eastAsia" w:ascii="宋体" w:hAnsi="宋体" w:eastAsia="宋体" w:cs="宋体"/>
              <w:sz w:val="28"/>
              <w:szCs w:val="28"/>
            </w:rPr>
            <w:t>67</w:t>
          </w:r>
        </w:p>
        <w:p>
          <w:pPr>
            <w:pStyle w:val="17"/>
            <w:keepNext w:val="0"/>
            <w:keepLines w:val="0"/>
            <w:pageBreakBefore w:val="0"/>
            <w:widowControl w:val="0"/>
            <w:tabs>
              <w:tab w:val="right" w:leader="dot" w:pos="8306"/>
            </w:tabs>
            <w:kinsoku/>
            <w:wordWrap/>
            <w:overflowPunct/>
            <w:topLinePunct w:val="0"/>
            <w:autoSpaceDE/>
            <w:autoSpaceDN/>
            <w:bidi w:val="0"/>
            <w:adjustRightInd/>
            <w:snapToGrid/>
            <w:ind w:left="0" w:leftChars="0" w:firstLine="56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rPr>
            <w:t>第三节  健全规划实施机制</w:t>
          </w:r>
          <w:r>
            <w:rPr>
              <w:rFonts w:hint="eastAsia" w:ascii="宋体" w:hAnsi="宋体" w:eastAsia="宋体" w:cs="宋体"/>
              <w:sz w:val="28"/>
              <w:szCs w:val="28"/>
            </w:rPr>
            <w:tab/>
          </w:r>
          <w:r>
            <w:rPr>
              <w:rFonts w:hint="eastAsia" w:ascii="宋体" w:hAnsi="宋体" w:eastAsia="宋体" w:cs="宋体"/>
              <w:sz w:val="28"/>
              <w:szCs w:val="28"/>
            </w:rPr>
            <w:t>68</w:t>
          </w:r>
        </w:p>
        <w:p>
          <w:pPr>
            <w:pStyle w:val="17"/>
            <w:keepNext w:val="0"/>
            <w:keepLines w:val="0"/>
            <w:pageBreakBefore w:val="0"/>
            <w:widowControl w:val="0"/>
            <w:tabs>
              <w:tab w:val="right" w:leader="dot" w:pos="8306"/>
            </w:tabs>
            <w:kinsoku/>
            <w:wordWrap/>
            <w:overflowPunct/>
            <w:topLinePunct w:val="0"/>
            <w:autoSpaceDE/>
            <w:autoSpaceDN/>
            <w:bidi w:val="0"/>
            <w:adjustRightInd/>
            <w:snapToGrid/>
            <w:ind w:left="0" w:leftChars="0" w:firstLine="560" w:firstLineChars="200"/>
            <w:textAlignment w:val="auto"/>
            <w:outlineLvl w:val="9"/>
          </w:pPr>
          <w:r>
            <w:rPr>
              <w:rFonts w:hint="eastAsia" w:ascii="宋体" w:hAnsi="宋体" w:eastAsia="宋体" w:cs="宋体"/>
              <w:sz w:val="28"/>
              <w:szCs w:val="28"/>
            </w:rPr>
            <w:t>第四节  强化重要政策和重大项目支撑</w:t>
          </w:r>
          <w:r>
            <w:rPr>
              <w:rFonts w:hint="eastAsia" w:ascii="宋体" w:hAnsi="宋体" w:eastAsia="宋体" w:cs="宋体"/>
              <w:sz w:val="28"/>
              <w:szCs w:val="28"/>
            </w:rPr>
            <w:tab/>
          </w:r>
          <w:r>
            <w:rPr>
              <w:rFonts w:hint="eastAsia" w:ascii="宋体" w:hAnsi="宋体" w:eastAsia="宋体" w:cs="宋体"/>
              <w:sz w:val="28"/>
              <w:szCs w:val="28"/>
            </w:rPr>
            <w:t>69</w:t>
          </w:r>
        </w:p>
        <w:p>
          <w:pPr>
            <w:ind w:firstLine="0" w:firstLineChars="0"/>
          </w:pPr>
        </w:p>
      </w:sdtContent>
    </w:sdt>
    <w:p>
      <w:pPr>
        <w:ind w:firstLine="0" w:firstLineChars="0"/>
        <w:rPr>
          <w:rFonts w:hint="eastAsia" w:ascii="宋体" w:hAnsi="宋体" w:eastAsia="宋体" w:cs="宋体"/>
          <w:spacing w:val="0"/>
          <w:sz w:val="28"/>
          <w:szCs w:val="28"/>
        </w:rPr>
      </w:pPr>
      <w:r>
        <w:rPr>
          <w:rFonts w:hint="eastAsia" w:ascii="宋体" w:hAnsi="宋体" w:eastAsia="宋体" w:cs="宋体"/>
          <w:spacing w:val="0"/>
          <w:sz w:val="28"/>
          <w:szCs w:val="28"/>
        </w:rPr>
        <w:t>附：</w:t>
      </w:r>
      <w:r>
        <w:rPr>
          <w:rFonts w:hint="eastAsia" w:ascii="宋体" w:hAnsi="宋体" w:eastAsia="宋体" w:cs="宋体"/>
          <w:spacing w:val="0"/>
          <w:sz w:val="28"/>
          <w:szCs w:val="28"/>
          <w:lang w:eastAsia="zh-CN"/>
        </w:rPr>
        <w:t>表</w:t>
      </w:r>
      <w:r>
        <w:rPr>
          <w:rFonts w:hint="eastAsia" w:ascii="宋体" w:hAnsi="宋体" w:eastAsia="宋体" w:cs="宋体"/>
          <w:spacing w:val="0"/>
          <w:sz w:val="28"/>
          <w:szCs w:val="28"/>
        </w:rPr>
        <w:t>1</w:t>
      </w:r>
      <w:r>
        <w:rPr>
          <w:rFonts w:hint="eastAsia" w:ascii="宋体" w:hAnsi="宋体" w:eastAsia="宋体" w:cs="宋体"/>
          <w:spacing w:val="0"/>
          <w:sz w:val="28"/>
          <w:szCs w:val="28"/>
          <w:lang w:val="en-US" w:eastAsia="zh-CN"/>
        </w:rPr>
        <w:t xml:space="preserve">  </w:t>
      </w:r>
      <w:r>
        <w:rPr>
          <w:rFonts w:hint="eastAsia" w:ascii="宋体" w:hAnsi="宋体" w:eastAsia="宋体" w:cs="宋体"/>
          <w:spacing w:val="0"/>
          <w:sz w:val="28"/>
          <w:szCs w:val="28"/>
        </w:rPr>
        <w:t>韶关市武江区“十三五”经济社会发展主要指标表</w:t>
      </w:r>
    </w:p>
    <w:p>
      <w:pPr>
        <w:pStyle w:val="18"/>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pacing w:val="0"/>
          <w:sz w:val="28"/>
          <w:szCs w:val="28"/>
        </w:rPr>
      </w:pPr>
      <w:r>
        <w:rPr>
          <w:rFonts w:hint="eastAsia" w:ascii="宋体" w:hAnsi="宋体" w:eastAsia="宋体" w:cs="宋体"/>
          <w:spacing w:val="0"/>
          <w:sz w:val="28"/>
          <w:szCs w:val="28"/>
          <w:lang w:eastAsia="zh-CN"/>
        </w:rPr>
        <w:t>表</w:t>
      </w:r>
      <w:r>
        <w:rPr>
          <w:rFonts w:hint="eastAsia" w:ascii="宋体" w:hAnsi="宋体" w:eastAsia="宋体" w:cs="宋体"/>
          <w:spacing w:val="0"/>
          <w:sz w:val="28"/>
          <w:szCs w:val="28"/>
        </w:rPr>
        <w:t>2</w:t>
      </w:r>
      <w:r>
        <w:rPr>
          <w:rFonts w:hint="eastAsia" w:ascii="宋体" w:hAnsi="宋体" w:eastAsia="宋体" w:cs="宋体"/>
          <w:spacing w:val="0"/>
          <w:sz w:val="28"/>
          <w:szCs w:val="28"/>
          <w:lang w:val="en-US" w:eastAsia="zh-CN"/>
        </w:rPr>
        <w:t xml:space="preserve">  </w:t>
      </w:r>
      <w:r>
        <w:rPr>
          <w:rFonts w:hint="eastAsia" w:ascii="宋体" w:hAnsi="宋体" w:eastAsia="宋体" w:cs="宋体"/>
          <w:spacing w:val="0"/>
          <w:sz w:val="28"/>
          <w:szCs w:val="28"/>
        </w:rPr>
        <w:t>韶关市武江区“十四五”经济社会发展主要指标表</w:t>
      </w:r>
    </w:p>
    <w:p>
      <w:pPr>
        <w:pStyle w:val="18"/>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pacing w:val="0"/>
          <w:sz w:val="28"/>
          <w:szCs w:val="28"/>
          <w:lang w:val="en-US" w:eastAsia="zh-CN"/>
        </w:rPr>
      </w:pPr>
      <w:r>
        <w:rPr>
          <w:rFonts w:hint="eastAsia" w:ascii="宋体" w:hAnsi="宋体" w:eastAsia="宋体" w:cs="宋体"/>
          <w:spacing w:val="0"/>
          <w:sz w:val="28"/>
          <w:szCs w:val="28"/>
          <w:lang w:val="en-US" w:eastAsia="zh-CN"/>
        </w:rPr>
        <w:t xml:space="preserve">表3  </w:t>
      </w:r>
      <w:r>
        <w:rPr>
          <w:rFonts w:hint="eastAsia" w:ascii="宋体" w:hAnsi="宋体" w:cs="宋体"/>
          <w:spacing w:val="0"/>
          <w:sz w:val="28"/>
          <w:szCs w:val="28"/>
          <w:lang w:val="en-US" w:eastAsia="zh-CN"/>
        </w:rPr>
        <w:t>韶关市</w:t>
      </w:r>
      <w:r>
        <w:rPr>
          <w:rFonts w:hint="eastAsia" w:ascii="宋体" w:hAnsi="宋体" w:eastAsia="宋体" w:cs="宋体"/>
          <w:spacing w:val="0"/>
          <w:sz w:val="28"/>
          <w:szCs w:val="28"/>
          <w:lang w:val="en-US" w:eastAsia="zh-CN"/>
        </w:rPr>
        <w:t>武江区“十四五”规划重大</w:t>
      </w:r>
      <w:r>
        <w:rPr>
          <w:rFonts w:hint="eastAsia" w:ascii="宋体" w:hAnsi="宋体" w:cs="宋体"/>
          <w:spacing w:val="0"/>
          <w:sz w:val="28"/>
          <w:szCs w:val="28"/>
          <w:lang w:val="en-US" w:eastAsia="zh-CN"/>
        </w:rPr>
        <w:t>建设</w:t>
      </w:r>
      <w:r>
        <w:rPr>
          <w:rFonts w:hint="eastAsia" w:ascii="宋体" w:hAnsi="宋体" w:eastAsia="宋体" w:cs="宋体"/>
          <w:spacing w:val="0"/>
          <w:sz w:val="28"/>
          <w:szCs w:val="28"/>
          <w:lang w:val="en-US" w:eastAsia="zh-CN"/>
        </w:rPr>
        <w:t>项目表</w:t>
      </w:r>
    </w:p>
    <w:p>
      <w:pPr>
        <w:spacing w:after="156" w:afterLines="50" w:line="590" w:lineRule="exact"/>
        <w:ind w:left="0" w:leftChars="0" w:firstLine="0" w:firstLineChars="0"/>
        <w:jc w:val="both"/>
        <w:rPr>
          <w:rFonts w:hint="eastAsia" w:ascii="宋体" w:hAnsi="宋体" w:eastAsia="宋体" w:cs="宋体"/>
          <w:b/>
          <w:bCs/>
          <w:color w:val="000000"/>
          <w:spacing w:val="0"/>
          <w:sz w:val="28"/>
          <w:szCs w:val="28"/>
        </w:rPr>
        <w:sectPr>
          <w:footerReference r:id="rId5" w:type="default"/>
          <w:pgSz w:w="11906" w:h="16838"/>
          <w:pgMar w:top="1440" w:right="1800" w:bottom="1440" w:left="1800" w:header="851" w:footer="992" w:gutter="0"/>
          <w:pgNumType w:fmt="upperRoman" w:start="1"/>
          <w:cols w:space="425" w:num="1"/>
          <w:docGrid w:type="lines" w:linePitch="312" w:charSpace="0"/>
        </w:sectPr>
      </w:pPr>
    </w:p>
    <w:p>
      <w:pPr>
        <w:ind w:firstLine="640"/>
      </w:pPr>
    </w:p>
    <w:p>
      <w:pPr>
        <w:ind w:firstLine="640"/>
      </w:pPr>
    </w:p>
    <w:p>
      <w:pPr>
        <w:pStyle w:val="2"/>
        <w:rPr>
          <w:rFonts w:hint="eastAsia" w:eastAsia="仿宋"/>
          <w:lang w:val="en-US" w:eastAsia="zh-CN"/>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sectPr>
          <w:footerReference r:id="rId6" w:type="default"/>
          <w:pgSz w:w="11906" w:h="16838"/>
          <w:pgMar w:top="1440" w:right="1800" w:bottom="1440" w:left="1800" w:header="851" w:footer="992" w:gutter="0"/>
          <w:pgNumType w:fmt="upperRoman"/>
          <w:cols w:space="425" w:num="1"/>
          <w:docGrid w:type="lines" w:linePitch="312" w:charSpace="0"/>
        </w:sectPr>
      </w:pPr>
    </w:p>
    <w:p>
      <w:pPr>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十四五”时期（2021-2025年）是我国开启全面建设社会主义现代化国家新征程、向第二个百年奋斗目标进军的第一个五年，是我省奋力在全面建设社会主义现代化国家新征程中走在全国前列、创造新的辉煌的重要时期，是我市全力筑牢粤北生态屏障、打造绿色发展韶关样板、奋力争当北部生态发展区高质量发展排头兵的关键时期，也是我区开启“二次创业”、加快城乡融合高质量发展、争当韶关改革发展排头兵的重要机遇期。科学编制并组织实施好国民经济和社会发展第十四个五年规划和二〇三五年远景目标纲要，对推动我区全面深化改革开放、实现高质量发展，奋力开创经济社会发展新局面，意义重大，影响深远。</w:t>
      </w:r>
    </w:p>
    <w:p>
      <w:pPr>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sectPr>
          <w:footerReference r:id="rId7" w:type="default"/>
          <w:pgSz w:w="11906" w:h="16838"/>
          <w:pgMar w:top="1701" w:right="1587" w:bottom="1701" w:left="1587" w:header="851" w:footer="992" w:gutter="0"/>
          <w:pgNumType w:fmt="numberInDash" w:start="1"/>
          <w:cols w:space="425" w:num="1"/>
          <w:docGrid w:type="lines" w:linePitch="312" w:charSpace="0"/>
        </w:sectPr>
      </w:pPr>
      <w:r>
        <w:rPr>
          <w:rFonts w:hint="eastAsia" w:ascii="仿宋_GB2312" w:hAnsi="仿宋_GB2312" w:eastAsia="仿宋_GB2312" w:cs="仿宋_GB2312"/>
          <w:color w:val="000000" w:themeColor="text1"/>
          <w:sz w:val="32"/>
          <w:szCs w:val="32"/>
        </w:rPr>
        <w:t>本规划纲要根据党的十九届五中全会精神和《中共韶关市武江区委关于制定国民经济和社会发展第十四个五年规划和二〇三五年远景目标的建议》编制，重点明确“十四五”期间武江经济社会发展的指导思想、基本原则、发展目标和发展要求，谋划重大战略，部署重大任务，并对二〇三五年远景目标进行展望，是战略性、宏观性、政策性规划，是政府履行经济调节、市场监管、社会管理、公共服务和生态环境保护职能的重要依据，是未来五年我区经济社会发展的宏伟蓝图和全区人民共同的行动纲领。</w:t>
      </w:r>
    </w:p>
    <w:p>
      <w:pPr>
        <w:pStyle w:val="3"/>
        <w:pageBreakBefore w:val="0"/>
        <w:widowControl w:val="0"/>
        <w:kinsoku/>
        <w:wordWrap/>
        <w:overflowPunct/>
        <w:topLinePunct w:val="0"/>
        <w:autoSpaceDE/>
        <w:autoSpaceDN/>
        <w:bidi w:val="0"/>
        <w:adjustRightInd/>
        <w:snapToGrid/>
        <w:spacing w:line="600" w:lineRule="exact"/>
        <w:textAlignment w:val="auto"/>
        <w:rPr>
          <w:color w:val="000000" w:themeColor="text1"/>
          <w:spacing w:val="-23"/>
          <w:sz w:val="32"/>
          <w:szCs w:val="32"/>
        </w:rPr>
      </w:pPr>
      <w:bookmarkStart w:id="0" w:name="_Toc28044"/>
      <w:bookmarkStart w:id="1" w:name="_Toc12953"/>
      <w:bookmarkStart w:id="2" w:name="_Toc31359"/>
      <w:bookmarkStart w:id="3" w:name="_Toc1456"/>
      <w:bookmarkStart w:id="4" w:name="_Toc24267"/>
      <w:bookmarkStart w:id="5" w:name="_Toc6985"/>
      <w:bookmarkStart w:id="6" w:name="_Toc13969"/>
      <w:bookmarkStart w:id="7" w:name="_Toc9196"/>
      <w:r>
        <w:rPr>
          <w:rFonts w:hint="eastAsia"/>
          <w:color w:val="000000" w:themeColor="text1"/>
          <w:spacing w:val="-23"/>
          <w:sz w:val="32"/>
          <w:szCs w:val="32"/>
        </w:rPr>
        <w:t>第一章  “十三五”时期取得的主要成就和</w:t>
      </w:r>
      <w:bookmarkEnd w:id="0"/>
      <w:r>
        <w:rPr>
          <w:rFonts w:hint="eastAsia"/>
          <w:color w:val="000000" w:themeColor="text1"/>
          <w:spacing w:val="-23"/>
          <w:sz w:val="32"/>
          <w:szCs w:val="32"/>
        </w:rPr>
        <w:t>“十四五”时期发展形势</w:t>
      </w:r>
      <w:bookmarkEnd w:id="1"/>
      <w:bookmarkEnd w:id="2"/>
      <w:bookmarkEnd w:id="3"/>
      <w:bookmarkEnd w:id="4"/>
      <w:bookmarkEnd w:id="5"/>
      <w:bookmarkEnd w:id="6"/>
      <w:bookmarkEnd w:id="7"/>
    </w:p>
    <w:p>
      <w:pPr>
        <w:pageBreakBefore w:val="0"/>
        <w:widowControl w:val="0"/>
        <w:kinsoku/>
        <w:wordWrap/>
        <w:overflowPunct/>
        <w:topLinePunct w:val="0"/>
        <w:autoSpaceDE/>
        <w:autoSpaceDN/>
        <w:bidi w:val="0"/>
        <w:adjustRightInd/>
        <w:snapToGrid/>
        <w:spacing w:line="600" w:lineRule="exact"/>
        <w:ind w:firstLine="640"/>
        <w:textAlignment w:val="auto"/>
        <w:rPr>
          <w:color w:val="000000" w:themeColor="text1"/>
          <w:sz w:val="32"/>
          <w:szCs w:val="32"/>
        </w:rPr>
      </w:pPr>
    </w:p>
    <w:p>
      <w:pPr>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十三五”时期，在以习近平同志为核心的党中央坚强领导下，全区人民团结奋进，经济社会发展取得了重大成就。“十四五”时期，世界处于深度变革期，国内外发展环境将发生深刻变化，我区已转向高质量发展阶段，将在全面建成小康社会基础上开启全面建设社会主义现代化国家新征程。</w:t>
      </w:r>
    </w:p>
    <w:p>
      <w:pPr>
        <w:pageBreakBefore w:val="0"/>
        <w:widowControl w:val="0"/>
        <w:kinsoku/>
        <w:wordWrap/>
        <w:overflowPunct/>
        <w:topLinePunct w:val="0"/>
        <w:autoSpaceDE/>
        <w:autoSpaceDN/>
        <w:bidi w:val="0"/>
        <w:adjustRightInd/>
        <w:snapToGrid/>
        <w:spacing w:line="600" w:lineRule="exact"/>
        <w:textAlignment w:val="auto"/>
        <w:rPr>
          <w:sz w:val="32"/>
          <w:szCs w:val="32"/>
        </w:rPr>
      </w:pPr>
      <w:bookmarkStart w:id="8" w:name="_Toc24172"/>
    </w:p>
    <w:p>
      <w:pPr>
        <w:pStyle w:val="4"/>
        <w:pageBreakBefore w:val="0"/>
        <w:widowControl w:val="0"/>
        <w:kinsoku/>
        <w:wordWrap/>
        <w:overflowPunct/>
        <w:topLinePunct w:val="0"/>
        <w:autoSpaceDE/>
        <w:autoSpaceDN/>
        <w:bidi w:val="0"/>
        <w:adjustRightInd/>
        <w:snapToGrid/>
        <w:spacing w:line="600" w:lineRule="exact"/>
        <w:textAlignment w:val="auto"/>
        <w:rPr>
          <w:color w:val="000000" w:themeColor="text1"/>
          <w:sz w:val="32"/>
          <w:szCs w:val="32"/>
        </w:rPr>
      </w:pPr>
      <w:bookmarkStart w:id="9" w:name="_Toc13967"/>
      <w:bookmarkStart w:id="10" w:name="_Toc16022"/>
      <w:bookmarkStart w:id="11" w:name="_Toc25102"/>
      <w:bookmarkStart w:id="12" w:name="_Toc12330"/>
      <w:bookmarkStart w:id="13" w:name="_Toc15428"/>
      <w:bookmarkStart w:id="14" w:name="_Toc4622"/>
      <w:bookmarkStart w:id="15" w:name="_Toc11538"/>
      <w:r>
        <w:rPr>
          <w:rFonts w:hint="eastAsia"/>
          <w:color w:val="000000" w:themeColor="text1"/>
          <w:sz w:val="32"/>
          <w:szCs w:val="32"/>
        </w:rPr>
        <w:t xml:space="preserve">第一节  </w:t>
      </w:r>
      <w:bookmarkEnd w:id="8"/>
      <w:r>
        <w:rPr>
          <w:rFonts w:hint="eastAsia"/>
          <w:color w:val="000000" w:themeColor="text1"/>
          <w:sz w:val="32"/>
          <w:szCs w:val="32"/>
        </w:rPr>
        <w:t>“十三五”时期取得的主要成就</w:t>
      </w:r>
      <w:bookmarkEnd w:id="9"/>
      <w:bookmarkEnd w:id="10"/>
      <w:bookmarkEnd w:id="11"/>
      <w:bookmarkEnd w:id="12"/>
      <w:bookmarkEnd w:id="13"/>
      <w:bookmarkEnd w:id="14"/>
      <w:bookmarkEnd w:id="15"/>
    </w:p>
    <w:p>
      <w:pPr>
        <w:pageBreakBefore w:val="0"/>
        <w:widowControl w:val="0"/>
        <w:kinsoku/>
        <w:wordWrap/>
        <w:overflowPunct/>
        <w:topLinePunct w:val="0"/>
        <w:autoSpaceDE/>
        <w:autoSpaceDN/>
        <w:bidi w:val="0"/>
        <w:adjustRightInd/>
        <w:snapToGrid/>
        <w:spacing w:line="600" w:lineRule="exact"/>
        <w:ind w:firstLine="640"/>
        <w:textAlignment w:val="auto"/>
        <w:rPr>
          <w:color w:val="000000" w:themeColor="text1"/>
          <w:sz w:val="32"/>
          <w:szCs w:val="32"/>
        </w:rPr>
      </w:pPr>
    </w:p>
    <w:p>
      <w:pPr>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十三五”以来，我区坚持稳中求进工作总基调，践行新发展理念，落实高质量发展要求，统筹做好稳增长、促改革、调结构、惠民生、防风险各项工作，经济社会发展取得显著成效，“十三五”规划主要目标基本完成，如期全面建成小康社会，为“十四五”时期的发展奠定了良好基础。</w:t>
      </w:r>
    </w:p>
    <w:p>
      <w:pPr>
        <w:pStyle w:val="11"/>
        <w:pageBreakBefore w:val="0"/>
        <w:widowControl w:val="0"/>
        <w:kinsoku/>
        <w:wordWrap/>
        <w:overflowPunct/>
        <w:topLinePunct w:val="0"/>
        <w:autoSpaceDE/>
        <w:autoSpaceDN/>
        <w:bidi w:val="0"/>
        <w:adjustRightInd/>
        <w:snapToGrid/>
        <w:spacing w:line="600" w:lineRule="exact"/>
        <w:ind w:firstLine="643"/>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b/>
          <w:bCs/>
          <w:color w:val="000000" w:themeColor="text1"/>
          <w:sz w:val="32"/>
          <w:szCs w:val="32"/>
        </w:rPr>
        <w:t>经济发展质量稳步提升。</w:t>
      </w:r>
      <w:r>
        <w:rPr>
          <w:rFonts w:hint="eastAsia" w:ascii="仿宋_GB2312" w:hAnsi="仿宋_GB2312" w:eastAsia="仿宋_GB2312" w:cs="仿宋_GB2312"/>
          <w:color w:val="000000" w:themeColor="text1"/>
          <w:sz w:val="32"/>
          <w:szCs w:val="32"/>
        </w:rPr>
        <w:t>2020年，全区</w:t>
      </w:r>
      <w:r>
        <w:rPr>
          <w:rFonts w:hint="eastAsia" w:ascii="仿宋_GB2312" w:hAnsi="仿宋_GB2312" w:eastAsia="仿宋_GB2312" w:cs="仿宋_GB2312"/>
          <w:color w:val="000000" w:themeColor="text1"/>
          <w:sz w:val="32"/>
          <w:szCs w:val="32"/>
          <w:lang w:val="en-US" w:eastAsia="zh-CN"/>
        </w:rPr>
        <w:t>(含新区)</w:t>
      </w:r>
      <w:r>
        <w:rPr>
          <w:rFonts w:hint="eastAsia" w:ascii="仿宋_GB2312" w:hAnsi="仿宋_GB2312" w:eastAsia="仿宋_GB2312" w:cs="仿宋_GB2312"/>
          <w:color w:val="000000" w:themeColor="text1"/>
          <w:sz w:val="32"/>
          <w:szCs w:val="32"/>
        </w:rPr>
        <w:t>实现地区生产总值</w:t>
      </w:r>
      <w:r>
        <w:rPr>
          <w:rFonts w:hint="eastAsia" w:ascii="仿宋_GB2312" w:hAnsi="仿宋_GB2312" w:eastAsia="仿宋_GB2312" w:cs="仿宋_GB2312"/>
          <w:color w:val="000000" w:themeColor="text1"/>
          <w:sz w:val="32"/>
          <w:szCs w:val="32"/>
          <w:lang w:val="en-US" w:eastAsia="zh-CN"/>
        </w:rPr>
        <w:t>269.49</w:t>
      </w:r>
      <w:r>
        <w:rPr>
          <w:rFonts w:hint="eastAsia" w:ascii="仿宋_GB2312" w:hAnsi="仿宋_GB2312" w:eastAsia="仿宋_GB2312" w:cs="仿宋_GB2312"/>
          <w:color w:val="000000" w:themeColor="text1"/>
          <w:sz w:val="32"/>
          <w:szCs w:val="32"/>
        </w:rPr>
        <w:t>亿元，</w:t>
      </w:r>
      <w:r>
        <w:rPr>
          <w:rFonts w:hint="eastAsia" w:ascii="仿宋_GB2312" w:hAnsi="仿宋_GB2312" w:eastAsia="仿宋_GB2312" w:cs="仿宋_GB2312"/>
          <w:sz w:val="32"/>
          <w:szCs w:val="32"/>
        </w:rPr>
        <w:t>居民可支配收入</w:t>
      </w:r>
      <w:r>
        <w:rPr>
          <w:rFonts w:hint="eastAsia" w:ascii="仿宋_GB2312" w:hAnsi="仿宋_GB2312" w:eastAsia="仿宋_GB2312" w:cs="仿宋_GB2312"/>
          <w:sz w:val="32"/>
          <w:szCs w:val="32"/>
          <w:lang w:val="en-US" w:eastAsia="zh-CN"/>
        </w:rPr>
        <w:t>3.85万元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themeColor="text1"/>
          <w:sz w:val="32"/>
          <w:szCs w:val="32"/>
        </w:rPr>
        <w:t>地方一般公共财政预算收入达</w:t>
      </w:r>
      <w:r>
        <w:rPr>
          <w:rFonts w:hint="eastAsia" w:ascii="仿宋_GB2312" w:hAnsi="仿宋_GB2312" w:eastAsia="仿宋_GB2312" w:cs="仿宋_GB2312"/>
          <w:color w:val="000000" w:themeColor="text1"/>
          <w:sz w:val="32"/>
          <w:szCs w:val="32"/>
          <w:lang w:val="en-US" w:eastAsia="zh-CN"/>
        </w:rPr>
        <w:t>5.94</w:t>
      </w:r>
      <w:r>
        <w:rPr>
          <w:rFonts w:hint="eastAsia" w:ascii="仿宋_GB2312" w:hAnsi="仿宋_GB2312" w:eastAsia="仿宋_GB2312" w:cs="仿宋_GB2312"/>
          <w:color w:val="000000" w:themeColor="text1"/>
          <w:sz w:val="32"/>
          <w:szCs w:val="32"/>
        </w:rPr>
        <w:t>亿元，社会消费品零售总额</w:t>
      </w:r>
      <w:r>
        <w:rPr>
          <w:rFonts w:hint="eastAsia" w:ascii="仿宋_GB2312" w:hAnsi="仿宋_GB2312" w:eastAsia="仿宋_GB2312" w:cs="仿宋_GB2312"/>
          <w:color w:val="000000" w:themeColor="text1"/>
          <w:sz w:val="32"/>
          <w:szCs w:val="32"/>
          <w:lang w:val="en-US" w:eastAsia="zh-CN"/>
        </w:rPr>
        <w:t>69.69</w:t>
      </w:r>
      <w:r>
        <w:rPr>
          <w:rFonts w:hint="eastAsia" w:ascii="仿宋_GB2312" w:hAnsi="仿宋_GB2312" w:eastAsia="仿宋_GB2312" w:cs="仿宋_GB2312"/>
          <w:color w:val="000000" w:themeColor="text1"/>
          <w:sz w:val="32"/>
          <w:szCs w:val="32"/>
        </w:rPr>
        <w:t>亿元</w:t>
      </w:r>
      <w:r>
        <w:rPr>
          <w:rFonts w:hint="eastAsia" w:ascii="仿宋_GB2312" w:hAnsi="仿宋_GB2312" w:eastAsia="仿宋_GB2312" w:cs="仿宋_GB2312"/>
          <w:color w:val="000000" w:themeColor="text1"/>
          <w:sz w:val="32"/>
          <w:szCs w:val="32"/>
          <w:lang w:eastAsia="zh-CN"/>
        </w:rPr>
        <w:t>，经济发展综合指数位居全市前列，</w:t>
      </w:r>
      <w:r>
        <w:rPr>
          <w:rFonts w:hint="eastAsia" w:ascii="仿宋_GB2312" w:hAnsi="仿宋_GB2312" w:eastAsia="仿宋_GB2312" w:cs="仿宋_GB2312"/>
          <w:color w:val="000000" w:themeColor="text1"/>
          <w:sz w:val="32"/>
          <w:szCs w:val="32"/>
          <w:lang w:val="en-US" w:eastAsia="zh-CN"/>
        </w:rPr>
        <w:t>地区生产总值总量、</w:t>
      </w:r>
      <w:r>
        <w:rPr>
          <w:rFonts w:hint="eastAsia" w:ascii="仿宋_GB2312" w:hAnsi="仿宋_GB2312" w:eastAsia="仿宋_GB2312" w:cs="仿宋_GB2312"/>
          <w:color w:val="000000" w:themeColor="text1"/>
          <w:sz w:val="32"/>
          <w:szCs w:val="32"/>
          <w:highlight w:val="none"/>
        </w:rPr>
        <w:t>固定资产投资</w:t>
      </w:r>
      <w:r>
        <w:rPr>
          <w:rFonts w:hint="eastAsia" w:ascii="仿宋_GB2312" w:hAnsi="仿宋_GB2312" w:eastAsia="仿宋_GB2312" w:cs="仿宋_GB2312"/>
          <w:color w:val="000000" w:themeColor="text1"/>
          <w:sz w:val="32"/>
          <w:szCs w:val="32"/>
          <w:highlight w:val="none"/>
          <w:lang w:eastAsia="zh-CN"/>
        </w:rPr>
        <w:t>总量</w:t>
      </w:r>
      <w:r>
        <w:rPr>
          <w:rFonts w:hint="eastAsia" w:ascii="仿宋_GB2312" w:hAnsi="仿宋_GB2312" w:eastAsia="仿宋_GB2312" w:cs="仿宋_GB2312"/>
          <w:color w:val="000000" w:themeColor="text1"/>
          <w:sz w:val="32"/>
          <w:szCs w:val="32"/>
          <w:highlight w:val="none"/>
        </w:rPr>
        <w:t>、高新技术企业数量等经济指标全市第一。</w:t>
      </w:r>
      <w:r>
        <w:rPr>
          <w:rFonts w:hint="eastAsia" w:ascii="仿宋_GB2312" w:hAnsi="仿宋_GB2312" w:eastAsia="仿宋_GB2312" w:cs="仿宋_GB2312"/>
          <w:color w:val="000000" w:themeColor="text1"/>
          <w:sz w:val="32"/>
          <w:szCs w:val="32"/>
        </w:rPr>
        <w:t>“十三五”时期，地区生产总值年均增长</w:t>
      </w:r>
      <w:r>
        <w:rPr>
          <w:rFonts w:hint="eastAsia" w:ascii="仿宋_GB2312" w:hAnsi="仿宋_GB2312" w:eastAsia="仿宋_GB2312" w:cs="仿宋_GB2312"/>
          <w:color w:val="000000" w:themeColor="text1"/>
          <w:sz w:val="32"/>
          <w:szCs w:val="32"/>
          <w:lang w:val="en-US" w:eastAsia="zh-CN"/>
        </w:rPr>
        <w:t>4.3</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highlight w:val="none"/>
        </w:rPr>
        <w:t>地方一般公共财政预算收入年均增长</w:t>
      </w:r>
      <w:r>
        <w:rPr>
          <w:rFonts w:hint="eastAsia" w:ascii="仿宋_GB2312" w:hAnsi="仿宋_GB2312" w:eastAsia="仿宋_GB2312" w:cs="仿宋_GB2312"/>
          <w:color w:val="000000" w:themeColor="text1"/>
          <w:sz w:val="32"/>
          <w:szCs w:val="32"/>
          <w:highlight w:val="none"/>
          <w:lang w:val="en-US" w:eastAsia="zh-CN"/>
        </w:rPr>
        <w:t>8.35</w:t>
      </w:r>
      <w:r>
        <w:rPr>
          <w:rFonts w:hint="eastAsia" w:ascii="仿宋_GB2312" w:hAnsi="仿宋_GB2312" w:eastAsia="仿宋_GB2312" w:cs="仿宋_GB2312"/>
          <w:color w:val="000000" w:themeColor="text1"/>
          <w:sz w:val="32"/>
          <w:szCs w:val="32"/>
          <w:highlight w:val="none"/>
        </w:rPr>
        <w:t>%</w:t>
      </w:r>
      <w:r>
        <w:rPr>
          <w:rFonts w:hint="eastAsia" w:ascii="仿宋_GB2312" w:hAnsi="仿宋_GB2312" w:eastAsia="仿宋_GB2312" w:cs="仿宋_GB2312"/>
          <w:color w:val="000000" w:themeColor="text1"/>
          <w:sz w:val="32"/>
          <w:szCs w:val="32"/>
          <w:highlight w:val="none"/>
          <w:lang w:eastAsia="zh-CN"/>
        </w:rPr>
        <w:t>；</w:t>
      </w:r>
      <w:r>
        <w:rPr>
          <w:rFonts w:hint="eastAsia" w:ascii="仿宋_GB2312" w:hAnsi="仿宋_GB2312" w:eastAsia="仿宋_GB2312" w:cs="仿宋_GB2312"/>
          <w:color w:val="000000" w:themeColor="text1"/>
          <w:sz w:val="32"/>
          <w:szCs w:val="32"/>
        </w:rPr>
        <w:t>累计完成固定资产投资</w:t>
      </w:r>
      <w:r>
        <w:rPr>
          <w:rFonts w:hint="eastAsia" w:ascii="仿宋_GB2312" w:hAnsi="仿宋_GB2312" w:eastAsia="仿宋_GB2312" w:cs="仿宋_GB2312"/>
          <w:color w:val="000000" w:themeColor="text1"/>
          <w:sz w:val="32"/>
          <w:szCs w:val="32"/>
          <w:lang w:val="en-US" w:eastAsia="zh-CN"/>
        </w:rPr>
        <w:t>643.5</w:t>
      </w:r>
      <w:r>
        <w:rPr>
          <w:rFonts w:hint="eastAsia" w:ascii="仿宋_GB2312" w:hAnsi="仿宋_GB2312" w:eastAsia="仿宋_GB2312" w:cs="仿宋_GB2312"/>
          <w:color w:val="000000" w:themeColor="text1"/>
          <w:sz w:val="32"/>
          <w:szCs w:val="32"/>
        </w:rPr>
        <w:t>亿元，年均增长</w:t>
      </w:r>
      <w:r>
        <w:rPr>
          <w:rFonts w:hint="eastAsia" w:ascii="仿宋_GB2312" w:hAnsi="仿宋_GB2312" w:eastAsia="仿宋_GB2312" w:cs="仿宋_GB2312"/>
          <w:color w:val="000000" w:themeColor="text1"/>
          <w:sz w:val="32"/>
          <w:szCs w:val="32"/>
          <w:lang w:val="en-US" w:eastAsia="zh-CN"/>
        </w:rPr>
        <w:t>8.1</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color w:val="auto"/>
          <w:sz w:val="32"/>
          <w:szCs w:val="32"/>
          <w:highlight w:val="none"/>
          <w:lang w:eastAsia="zh-CN"/>
        </w:rPr>
        <w:t>，比全市平均增速高出</w:t>
      </w:r>
      <w:r>
        <w:rPr>
          <w:rFonts w:hint="eastAsia" w:ascii="仿宋_GB2312" w:hAnsi="仿宋_GB2312" w:eastAsia="仿宋_GB2312" w:cs="仿宋_GB2312"/>
          <w:color w:val="auto"/>
          <w:sz w:val="32"/>
          <w:szCs w:val="32"/>
          <w:highlight w:val="none"/>
          <w:lang w:val="en-US" w:eastAsia="zh-CN"/>
        </w:rPr>
        <w:t>7.8个百分点</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社会消费品零售总额年均增长</w:t>
      </w:r>
      <w:r>
        <w:rPr>
          <w:rFonts w:hint="eastAsia" w:ascii="仿宋_GB2312" w:hAnsi="仿宋_GB2312" w:eastAsia="仿宋_GB2312" w:cs="仿宋_GB2312"/>
          <w:color w:val="000000" w:themeColor="text1"/>
          <w:sz w:val="32"/>
          <w:szCs w:val="32"/>
          <w:lang w:val="en-US" w:eastAsia="zh-CN"/>
        </w:rPr>
        <w:t>4.6</w:t>
      </w:r>
      <w:r>
        <w:rPr>
          <w:rFonts w:hint="eastAsia" w:ascii="仿宋_GB2312" w:hAnsi="仿宋_GB2312" w:eastAsia="仿宋_GB2312" w:cs="仿宋_GB2312"/>
          <w:color w:val="000000" w:themeColor="text1"/>
          <w:sz w:val="32"/>
          <w:szCs w:val="32"/>
        </w:rPr>
        <w:t>%，地区生产总值总量、人均地区生产总值、居民人均可支配收入均位居全市第一。产业结构不断优化，三次产业结构由2015年2.6</w:t>
      </w:r>
      <w:r>
        <w:rPr>
          <w:rFonts w:hint="eastAsia" w:ascii="仿宋_GB2312" w:hAnsi="仿宋_GB2312" w:eastAsia="仿宋_GB2312" w:cs="仿宋_GB2312"/>
          <w:color w:val="000000" w:themeColor="text1"/>
          <w:sz w:val="32"/>
          <w:szCs w:val="32"/>
          <w:lang w:val="en-US" w:eastAsia="zh-CN"/>
        </w:rPr>
        <w:t>:</w:t>
      </w:r>
      <w:r>
        <w:rPr>
          <w:rFonts w:hint="eastAsia" w:ascii="仿宋_GB2312" w:hAnsi="仿宋_GB2312" w:eastAsia="仿宋_GB2312" w:cs="仿宋_GB2312"/>
          <w:color w:val="000000" w:themeColor="text1"/>
          <w:sz w:val="32"/>
          <w:szCs w:val="32"/>
        </w:rPr>
        <w:t>47.3</w:t>
      </w:r>
      <w:r>
        <w:rPr>
          <w:rFonts w:hint="eastAsia" w:ascii="仿宋_GB2312" w:hAnsi="仿宋_GB2312" w:eastAsia="仿宋_GB2312" w:cs="仿宋_GB2312"/>
          <w:color w:val="000000" w:themeColor="text1"/>
          <w:sz w:val="32"/>
          <w:szCs w:val="32"/>
          <w:lang w:val="en-US" w:eastAsia="zh-CN"/>
        </w:rPr>
        <w:t>:</w:t>
      </w:r>
      <w:r>
        <w:rPr>
          <w:rFonts w:hint="eastAsia" w:ascii="仿宋_GB2312" w:hAnsi="仿宋_GB2312" w:eastAsia="仿宋_GB2312" w:cs="仿宋_GB2312"/>
          <w:color w:val="000000" w:themeColor="text1"/>
          <w:sz w:val="32"/>
          <w:szCs w:val="32"/>
        </w:rPr>
        <w:t>50.1调整为2020年的3.2：38.8：58。</w:t>
      </w:r>
    </w:p>
    <w:p>
      <w:pPr>
        <w:pStyle w:val="11"/>
        <w:pageBreakBefore w:val="0"/>
        <w:widowControl w:val="0"/>
        <w:kinsoku/>
        <w:wordWrap/>
        <w:overflowPunct/>
        <w:topLinePunct w:val="0"/>
        <w:autoSpaceDE/>
        <w:autoSpaceDN/>
        <w:bidi w:val="0"/>
        <w:adjustRightInd/>
        <w:snapToGrid/>
        <w:spacing w:line="600" w:lineRule="exact"/>
        <w:ind w:firstLine="643"/>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b/>
          <w:bCs/>
          <w:color w:val="000000" w:themeColor="text1"/>
          <w:sz w:val="32"/>
          <w:szCs w:val="32"/>
        </w:rPr>
        <w:t>产业发展基础加快构建</w:t>
      </w:r>
      <w:r>
        <w:rPr>
          <w:rFonts w:hint="eastAsia" w:ascii="仿宋_GB2312" w:hAnsi="仿宋_GB2312" w:eastAsia="仿宋_GB2312" w:cs="仿宋_GB2312"/>
          <w:color w:val="000000" w:themeColor="text1"/>
          <w:sz w:val="32"/>
          <w:szCs w:val="32"/>
        </w:rPr>
        <w:t>。现代农业加快发展，建成正邦养殖场、龙归种猪场</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优百特</w:t>
      </w:r>
      <w:r>
        <w:rPr>
          <w:rFonts w:hint="eastAsia" w:ascii="仿宋_GB2312" w:hAnsi="仿宋_GB2312" w:eastAsia="仿宋_GB2312" w:cs="仿宋_GB2312"/>
          <w:color w:val="000000" w:themeColor="text1"/>
          <w:sz w:val="32"/>
          <w:szCs w:val="32"/>
          <w:lang w:eastAsia="zh-CN"/>
        </w:rPr>
        <w:t>养殖场等</w:t>
      </w:r>
      <w:r>
        <w:rPr>
          <w:rFonts w:hint="eastAsia" w:ascii="仿宋_GB2312" w:hAnsi="仿宋_GB2312" w:eastAsia="仿宋_GB2312" w:cs="仿宋_GB2312"/>
          <w:color w:val="000000" w:themeColor="text1"/>
          <w:sz w:val="32"/>
          <w:szCs w:val="32"/>
        </w:rPr>
        <w:t>大型养殖项目，生猪养殖规模化、标准化</w:t>
      </w:r>
      <w:r>
        <w:rPr>
          <w:rFonts w:hint="eastAsia" w:ascii="仿宋_GB2312" w:hAnsi="仿宋_GB2312" w:eastAsia="仿宋_GB2312" w:cs="仿宋_GB2312"/>
          <w:color w:val="000000" w:themeColor="text1"/>
          <w:sz w:val="32"/>
          <w:szCs w:val="32"/>
          <w:lang w:eastAsia="zh-CN"/>
        </w:rPr>
        <w:t>、现代化</w:t>
      </w:r>
      <w:r>
        <w:rPr>
          <w:rFonts w:hint="eastAsia" w:ascii="仿宋_GB2312" w:hAnsi="仿宋_GB2312" w:eastAsia="仿宋_GB2312" w:cs="仿宋_GB2312"/>
          <w:color w:val="000000" w:themeColor="text1"/>
          <w:sz w:val="32"/>
          <w:szCs w:val="32"/>
        </w:rPr>
        <w:t>水平显著提高；加快农村耕地流转，</w:t>
      </w:r>
      <w:r>
        <w:rPr>
          <w:rFonts w:hint="eastAsia" w:ascii="仿宋_GB2312" w:hAnsi="仿宋_GB2312" w:eastAsia="仿宋_GB2312" w:cs="仿宋_GB2312"/>
          <w:sz w:val="32"/>
          <w:szCs w:val="32"/>
        </w:rPr>
        <w:t>“五朵金花”特色农业产业基地初具规模</w:t>
      </w:r>
      <w:r>
        <w:rPr>
          <w:rFonts w:hint="eastAsia" w:ascii="仿宋_GB2312" w:hAnsi="仿宋_GB2312" w:eastAsia="仿宋_GB2312" w:cs="仿宋_GB2312"/>
          <w:color w:val="000000" w:themeColor="text1"/>
          <w:sz w:val="32"/>
          <w:szCs w:val="32"/>
        </w:rPr>
        <w:t>；食用菌产业园成功获批省级现代农业产业园，武江现代农业产业园项目开工建设，武江联旺家庭农场、武江乡村家庭农场创建为粤港澳大湾区“菜篮子”生产基地。</w:t>
      </w:r>
      <w:r>
        <w:rPr>
          <w:rFonts w:hint="eastAsia" w:ascii="仿宋_GB2312" w:hAnsi="仿宋_GB2312" w:eastAsia="仿宋_GB2312" w:cs="仿宋_GB2312"/>
          <w:color w:val="000000" w:themeColor="text1"/>
          <w:sz w:val="32"/>
          <w:szCs w:val="32"/>
          <w:lang w:eastAsia="zh-CN"/>
        </w:rPr>
        <w:t>多个园区加快建设，</w:t>
      </w:r>
      <w:r>
        <w:rPr>
          <w:rFonts w:hint="eastAsia" w:ascii="仿宋_GB2312" w:hAnsi="仿宋_GB2312" w:eastAsia="仿宋_GB2312" w:cs="仿宋_GB2312"/>
          <w:color w:val="000000" w:themeColor="text1"/>
          <w:sz w:val="32"/>
          <w:szCs w:val="32"/>
        </w:rPr>
        <w:t>甘棠工业园投产一批工业项目，经济规模明显壮大；武江科创园完成改造一期工程，招引一批优质企业进驻；武江城乡融合产业园主干道、桥梁</w:t>
      </w:r>
      <w:r>
        <w:rPr>
          <w:rFonts w:hint="eastAsia" w:ascii="仿宋_GB2312" w:hAnsi="仿宋_GB2312" w:eastAsia="仿宋_GB2312" w:cs="仿宋_GB2312"/>
          <w:color w:val="000000" w:themeColor="text1"/>
          <w:sz w:val="32"/>
          <w:szCs w:val="32"/>
          <w:lang w:eastAsia="zh-CN"/>
        </w:rPr>
        <w:t>工程启动</w:t>
      </w:r>
      <w:r>
        <w:rPr>
          <w:rFonts w:hint="eastAsia" w:ascii="仿宋_GB2312" w:hAnsi="仿宋_GB2312" w:eastAsia="仿宋_GB2312" w:cs="仿宋_GB2312"/>
          <w:color w:val="000000" w:themeColor="text1"/>
          <w:sz w:val="32"/>
          <w:szCs w:val="32"/>
        </w:rPr>
        <w:t>建设。都市型产业持续发展，世邦幸福商业广场等大中型超市建成投运，摩尔城商业综合体</w:t>
      </w:r>
      <w:r>
        <w:rPr>
          <w:rFonts w:hint="eastAsia" w:ascii="仿宋_GB2312" w:hAnsi="仿宋_GB2312" w:eastAsia="仿宋_GB2312" w:cs="仿宋_GB2312"/>
          <w:color w:val="000000" w:themeColor="text1"/>
          <w:sz w:val="32"/>
          <w:szCs w:val="32"/>
          <w:lang w:eastAsia="zh-CN"/>
        </w:rPr>
        <w:t>建成</w:t>
      </w:r>
      <w:r>
        <w:rPr>
          <w:rFonts w:hint="eastAsia" w:ascii="仿宋_GB2312" w:hAnsi="仿宋_GB2312" w:eastAsia="仿宋_GB2312" w:cs="仿宋_GB2312"/>
          <w:color w:val="000000" w:themeColor="text1"/>
          <w:sz w:val="32"/>
          <w:szCs w:val="32"/>
        </w:rPr>
        <w:t>即将启用，富康广场等商业综合体加快建设，枫合汇、湘商大厦等商务楼宇发展壮大，楼宇经济初具规模。</w:t>
      </w:r>
    </w:p>
    <w:p>
      <w:pPr>
        <w:pageBreakBefore w:val="0"/>
        <w:widowControl w:val="0"/>
        <w:kinsoku/>
        <w:wordWrap/>
        <w:overflowPunct/>
        <w:topLinePunct w:val="0"/>
        <w:autoSpaceDE/>
        <w:autoSpaceDN/>
        <w:bidi w:val="0"/>
        <w:adjustRightInd/>
        <w:snapToGrid/>
        <w:spacing w:line="600" w:lineRule="exact"/>
        <w:ind w:firstLine="643"/>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城乡宜居宜业宜游水平显著提高</w:t>
      </w:r>
      <w:r>
        <w:rPr>
          <w:rFonts w:hint="eastAsia" w:ascii="仿宋_GB2312" w:hAnsi="仿宋_GB2312" w:eastAsia="仿宋_GB2312" w:cs="仿宋_GB2312"/>
          <w:sz w:val="32"/>
          <w:szCs w:val="32"/>
        </w:rPr>
        <w:t>。对标建设最优最好中心城区，</w:t>
      </w:r>
      <w:r>
        <w:rPr>
          <w:rStyle w:val="36"/>
          <w:rFonts w:hint="eastAsia" w:ascii="仿宋_GB2312" w:hAnsi="仿宋_GB2312" w:eastAsia="仿宋_GB2312" w:cs="仿宋_GB2312"/>
          <w:sz w:val="32"/>
          <w:szCs w:val="32"/>
        </w:rPr>
        <w:t>中心城区生态品质明显提升，</w:t>
      </w:r>
      <w:r>
        <w:rPr>
          <w:rFonts w:hint="eastAsia" w:ascii="仿宋_GB2312" w:hAnsi="仿宋_GB2312" w:eastAsia="仿宋_GB2312" w:cs="仿宋_GB2312"/>
          <w:sz w:val="32"/>
          <w:szCs w:val="32"/>
        </w:rPr>
        <w:t>城区面貌发生巨大改变。</w:t>
      </w:r>
      <w:r>
        <w:rPr>
          <w:rStyle w:val="36"/>
          <w:rFonts w:hint="eastAsia" w:ascii="仿宋_GB2312" w:hAnsi="仿宋_GB2312" w:eastAsia="仿宋_GB2312" w:cs="仿宋_GB2312"/>
          <w:sz w:val="32"/>
          <w:szCs w:val="32"/>
        </w:rPr>
        <w:t>城市建设管理考评连年稳居全市第一。</w:t>
      </w:r>
      <w:r>
        <w:rPr>
          <w:rStyle w:val="36"/>
          <w:rFonts w:hint="eastAsia" w:ascii="仿宋_GB2312" w:hAnsi="仿宋_GB2312" w:eastAsia="仿宋_GB2312" w:cs="仿宋_GB2312"/>
          <w:sz w:val="32"/>
          <w:szCs w:val="32"/>
          <w:lang w:eastAsia="zh-CN"/>
        </w:rPr>
        <w:t>芙蓉新城不断扩容，主路网基本建成，学校、医院、市场等公共服务配套愈加完善，产城融合明显加快。推动建设</w:t>
      </w:r>
      <w:r>
        <w:rPr>
          <w:rStyle w:val="36"/>
          <w:rFonts w:hint="eastAsia" w:ascii="仿宋_GB2312" w:hAnsi="仿宋_GB2312" w:eastAsia="仿宋_GB2312" w:cs="仿宋_GB2312"/>
          <w:sz w:val="32"/>
          <w:szCs w:val="32"/>
        </w:rPr>
        <w:t>一批城市交通基础设施，</w:t>
      </w:r>
      <w:r>
        <w:rPr>
          <w:rStyle w:val="36"/>
          <w:rFonts w:hint="eastAsia" w:ascii="仿宋_GB2312" w:hAnsi="仿宋_GB2312" w:eastAsia="仿宋_GB2312" w:cs="仿宋_GB2312"/>
          <w:sz w:val="32"/>
          <w:szCs w:val="32"/>
          <w:lang w:eastAsia="zh-CN"/>
        </w:rPr>
        <w:t>建成</w:t>
      </w:r>
      <w:r>
        <w:rPr>
          <w:rStyle w:val="36"/>
          <w:rFonts w:hint="eastAsia" w:ascii="仿宋_GB2312" w:hAnsi="仿宋_GB2312" w:eastAsia="仿宋_GB2312" w:cs="仿宋_GB2312"/>
          <w:sz w:val="32"/>
          <w:szCs w:val="32"/>
        </w:rPr>
        <w:t>芙蓉隧道</w:t>
      </w:r>
      <w:r>
        <w:rPr>
          <w:rStyle w:val="36"/>
          <w:rFonts w:hint="eastAsia" w:ascii="仿宋_GB2312" w:hAnsi="仿宋_GB2312" w:eastAsia="仿宋_GB2312" w:cs="仿宋_GB2312"/>
          <w:sz w:val="32"/>
          <w:szCs w:val="32"/>
          <w:lang w:eastAsia="zh-CN"/>
        </w:rPr>
        <w:t>，打通北江桥西桥头、韶关大道北、教育路等交通堵点，提升</w:t>
      </w:r>
      <w:r>
        <w:rPr>
          <w:rStyle w:val="36"/>
          <w:rFonts w:hint="eastAsia" w:ascii="仿宋_GB2312" w:hAnsi="仿宋_GB2312" w:eastAsia="仿宋_GB2312" w:cs="仿宋_GB2312"/>
          <w:sz w:val="32"/>
          <w:szCs w:val="32"/>
        </w:rPr>
        <w:t>武江大道南、朝阳路等</w:t>
      </w:r>
      <w:r>
        <w:rPr>
          <w:rStyle w:val="36"/>
          <w:rFonts w:hint="eastAsia" w:ascii="仿宋_GB2312" w:hAnsi="仿宋_GB2312" w:eastAsia="仿宋_GB2312" w:cs="仿宋_GB2312"/>
          <w:sz w:val="32"/>
          <w:szCs w:val="32"/>
          <w:lang w:eastAsia="zh-CN"/>
        </w:rPr>
        <w:t>主次干道，</w:t>
      </w:r>
      <w:r>
        <w:rPr>
          <w:rStyle w:val="36"/>
          <w:rFonts w:hint="eastAsia" w:ascii="仿宋_GB2312" w:hAnsi="仿宋_GB2312" w:eastAsia="仿宋_GB2312" w:cs="仿宋_GB2312"/>
          <w:sz w:val="32"/>
          <w:szCs w:val="32"/>
        </w:rPr>
        <w:t>五年整治提升交通节点50处，</w:t>
      </w:r>
      <w:r>
        <w:rPr>
          <w:rFonts w:hint="eastAsia" w:ascii="仿宋_GB2312" w:hAnsi="仿宋_GB2312" w:eastAsia="仿宋_GB2312" w:cs="仿宋_GB2312"/>
          <w:sz w:val="32"/>
          <w:szCs w:val="32"/>
        </w:rPr>
        <w:t>新建停车场28个，增设停车位3438个</w:t>
      </w:r>
      <w:r>
        <w:rPr>
          <w:rStyle w:val="36"/>
          <w:rFonts w:hint="eastAsia" w:ascii="仿宋_GB2312" w:hAnsi="仿宋_GB2312" w:eastAsia="仿宋_GB2312" w:cs="仿宋_GB2312"/>
          <w:sz w:val="32"/>
          <w:szCs w:val="32"/>
          <w:highlight w:val="none"/>
        </w:rPr>
        <w:t>，</w:t>
      </w:r>
      <w:r>
        <w:rPr>
          <w:rStyle w:val="36"/>
          <w:rFonts w:hint="eastAsia" w:ascii="仿宋_GB2312" w:hAnsi="仿宋_GB2312" w:eastAsia="仿宋_GB2312" w:cs="仿宋_GB2312"/>
          <w:sz w:val="32"/>
          <w:szCs w:val="32"/>
        </w:rPr>
        <w:t>城市的便捷度和通达率显著提升。建成韶州公园、文化三馆、城市盒子等一批市民休闲文化场所，拖拉机厂宿舍、光明巷等老旧小区、背街小巷旧貌换新颜，城市家园的归属感、亲和力明显增强。</w:t>
      </w:r>
      <w:r>
        <w:rPr>
          <w:rFonts w:hint="eastAsia" w:ascii="仿宋_GB2312" w:hAnsi="仿宋_GB2312" w:eastAsia="仿宋_GB2312" w:cs="仿宋_GB2312"/>
          <w:sz w:val="32"/>
          <w:szCs w:val="32"/>
        </w:rPr>
        <w:t>光明巷成为全市背街小巷改造典范，沿江路整治提升和津头岭城中村改造让城市增添了靓丽风景线，城市微改造精品不断呈现</w:t>
      </w:r>
      <w:r>
        <w:rPr>
          <w:rStyle w:val="36"/>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城市环境治理实现网格化、常态化，城市智慧化管理方式加快植入。</w:t>
      </w:r>
      <w:r>
        <w:rPr>
          <w:rStyle w:val="36"/>
          <w:rFonts w:hint="eastAsia" w:ascii="仿宋_GB2312" w:hAnsi="仿宋_GB2312" w:eastAsia="仿宋_GB2312" w:cs="仿宋_GB2312"/>
          <w:sz w:val="32"/>
          <w:szCs w:val="32"/>
        </w:rPr>
        <w:t>实施</w:t>
      </w:r>
      <w:r>
        <w:rPr>
          <w:rFonts w:hint="eastAsia" w:ascii="仿宋_GB2312" w:hAnsi="仿宋_GB2312" w:eastAsia="仿宋_GB2312" w:cs="仿宋_GB2312"/>
          <w:sz w:val="32"/>
          <w:szCs w:val="32"/>
        </w:rPr>
        <w:t>镇域提升“139”行动，深入开展农村人居环境整治和路域提升，完成龙归、江湾、重阳污水处理厂和省定贫困村村级污水处理设施建设，改造农村无害化卫生户厕</w:t>
      </w:r>
      <w:r>
        <w:rPr>
          <w:rFonts w:hint="eastAsia" w:ascii="仿宋_GB2312" w:hAnsi="仿宋_GB2312" w:eastAsia="仿宋_GB2312" w:cs="仿宋_GB2312"/>
          <w:sz w:val="32"/>
          <w:szCs w:val="32"/>
          <w:lang w:val="en-US" w:eastAsia="zh-CN"/>
        </w:rPr>
        <w:t>263</w:t>
      </w:r>
      <w:r>
        <w:rPr>
          <w:rFonts w:hint="eastAsia" w:ascii="仿宋_GB2312" w:hAnsi="仿宋_GB2312" w:eastAsia="仿宋_GB2312" w:cs="仿宋_GB2312"/>
          <w:sz w:val="32"/>
          <w:szCs w:val="32"/>
        </w:rPr>
        <w:t>户，新建公厕102座，推进“三清三拆三整治”，实现自然村保洁员配备和生活垃圾常态化处理全覆盖。镇村面貌实现美丽蝶变，涌现出龙归粮仓等一大批网红打卡点，“龙归—江湾”乡村精品线路获评“广东美丽乡村精品线路”，重阳镇万侯村和江湾镇湖洋村分别获得“全国乡村治理示范村”和“广东省乡村大擂台污水治理先进村”荣誉称号。加快推进农村全域供水工程，全面完成“四好农村路”建设任务。城乡融合发展基础不断累积，我区被广东省政府</w:t>
      </w:r>
      <w:r>
        <w:rPr>
          <w:rFonts w:hint="eastAsia" w:ascii="仿宋_GB2312" w:hAnsi="仿宋_GB2312" w:eastAsia="仿宋_GB2312" w:cs="仿宋_GB2312"/>
          <w:sz w:val="32"/>
          <w:szCs w:val="32"/>
          <w:lang w:eastAsia="zh-CN"/>
        </w:rPr>
        <w:t>确定</w:t>
      </w:r>
      <w:r>
        <w:rPr>
          <w:rFonts w:hint="eastAsia" w:ascii="仿宋_GB2312" w:hAnsi="仿宋_GB2312" w:eastAsia="仿宋_GB2312" w:cs="仿宋_GB2312"/>
          <w:sz w:val="32"/>
          <w:szCs w:val="32"/>
        </w:rPr>
        <w:t>为城乡融合发展省级试点。</w:t>
      </w:r>
    </w:p>
    <w:p>
      <w:pPr>
        <w:pageBreakBefore w:val="0"/>
        <w:widowControl w:val="0"/>
        <w:kinsoku/>
        <w:wordWrap/>
        <w:overflowPunct/>
        <w:topLinePunct w:val="0"/>
        <w:autoSpaceDE/>
        <w:autoSpaceDN/>
        <w:bidi w:val="0"/>
        <w:adjustRightInd/>
        <w:snapToGrid/>
        <w:spacing w:line="600" w:lineRule="exact"/>
        <w:ind w:firstLine="643"/>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生态环境质量进一步提升。</w:t>
      </w:r>
      <w:r>
        <w:rPr>
          <w:rFonts w:hint="eastAsia" w:ascii="仿宋_GB2312" w:hAnsi="仿宋_GB2312" w:eastAsia="仿宋_GB2312" w:cs="仿宋_GB2312"/>
          <w:sz w:val="32"/>
          <w:szCs w:val="32"/>
        </w:rPr>
        <w:t>奋力打好大气、水、土壤污染防治攻坚战，环境质量持续优化。开展扬尘整治攻坚行动，加强施工工地和运输扬尘管理，整治裸露土地，基本消灭辖区泥土路和裸露地；全面整治散乱污企业，加强护林防火工作，全面禁止露天焚烧和燃放烟花爆竹，空气优良指数明显提升，辖区空气质量</w:t>
      </w:r>
      <w:r>
        <w:rPr>
          <w:rFonts w:hint="eastAsia" w:ascii="仿宋_GB2312" w:hAnsi="仿宋_GB2312" w:eastAsia="仿宋_GB2312" w:cs="仿宋_GB2312"/>
          <w:sz w:val="32"/>
          <w:szCs w:val="32"/>
          <w:lang w:eastAsia="zh-CN"/>
        </w:rPr>
        <w:t>指数</w:t>
      </w:r>
      <w:r>
        <w:rPr>
          <w:rFonts w:hint="eastAsia" w:ascii="仿宋_GB2312" w:hAnsi="仿宋_GB2312" w:eastAsia="仿宋_GB2312" w:cs="仿宋_GB2312"/>
          <w:sz w:val="32"/>
          <w:szCs w:val="32"/>
        </w:rPr>
        <w:t>优良率达97%。全面完成十里亭武江辖区饮用水源地一级保护区整治；清理整治辖区主要公路和主要江河干流及支流两岸一公里范围内的畜禽养殖场（户），改造升级养殖场（户）环保设施，畜禽粪污综合利用率不断提高；深入开展“南粤河更美”、河湖“五清”专项行动，考核断面水质全面达标，优良比例</w:t>
      </w:r>
      <w:r>
        <w:rPr>
          <w:rFonts w:hint="eastAsia" w:ascii="仿宋_GB2312" w:hAnsi="仿宋_GB2312" w:eastAsia="仿宋_GB2312" w:cs="仿宋_GB2312"/>
          <w:sz w:val="32"/>
          <w:szCs w:val="32"/>
          <w:lang w:eastAsia="zh-CN"/>
        </w:rPr>
        <w:t>保持</w:t>
      </w:r>
      <w:r>
        <w:rPr>
          <w:rFonts w:hint="eastAsia" w:ascii="仿宋_GB2312" w:hAnsi="仿宋_GB2312" w:eastAsia="仿宋_GB2312" w:cs="仿宋_GB2312"/>
          <w:sz w:val="32"/>
          <w:szCs w:val="32"/>
        </w:rPr>
        <w:t>100%。全面推进农用地分类管理和工业固体废物专项整治；实施了一批山水林田湖草生态保护修复项目；开展植树造林和护林工作，森林覆盖率逐年扩大。</w:t>
      </w:r>
    </w:p>
    <w:p>
      <w:pPr>
        <w:pStyle w:val="18"/>
        <w:pageBreakBefore w:val="0"/>
        <w:widowControl w:val="0"/>
        <w:kinsoku/>
        <w:wordWrap/>
        <w:overflowPunct/>
        <w:topLinePunct w:val="0"/>
        <w:autoSpaceDE/>
        <w:autoSpaceDN/>
        <w:bidi w:val="0"/>
        <w:adjustRightInd/>
        <w:snapToGrid/>
        <w:spacing w:line="600" w:lineRule="exact"/>
        <w:ind w:firstLine="643"/>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改革发展新活力明显增强。</w:t>
      </w:r>
      <w:r>
        <w:rPr>
          <w:rFonts w:hint="eastAsia" w:ascii="仿宋_GB2312" w:hAnsi="仿宋_GB2312" w:eastAsia="仿宋_GB2312" w:cs="仿宋_GB2312"/>
          <w:color w:val="000000"/>
          <w:sz w:val="32"/>
          <w:szCs w:val="32"/>
        </w:rPr>
        <w:t>在全区上下开展思想解放大讨论，推动干部实现思想观念的更新、思维方式的变革和精神状态的提振。抓住重点领域和关键环节，因地制宜推进党政机构、镇街体制改革任务，不断优化协同高效的机构职能体系；出台“担当落实、走在前列”十条意见，建立以实干实战实绩为核心的考评机制，实施“6+4”党员领导干部带头抓项目组团攻坚模式，创造了省、市重点项目攻坚“武江速度”，得到市委、市政府多次通报表扬，在市辖三区发展各类现场会评比和全市</w:t>
      </w:r>
      <w:r>
        <w:rPr>
          <w:rFonts w:hint="eastAsia" w:ascii="仿宋_GB2312" w:hAnsi="仿宋_GB2312" w:eastAsia="仿宋_GB2312" w:cs="仿宋_GB2312"/>
          <w:color w:val="000000" w:themeColor="text1"/>
          <w:sz w:val="32"/>
          <w:szCs w:val="32"/>
          <w:lang w:eastAsia="zh-CN"/>
        </w:rPr>
        <w:t>各</w:t>
      </w:r>
      <w:r>
        <w:rPr>
          <w:rFonts w:hint="eastAsia" w:ascii="仿宋_GB2312" w:hAnsi="仿宋_GB2312" w:eastAsia="仿宋_GB2312" w:cs="仿宋_GB2312"/>
          <w:color w:val="000000"/>
          <w:sz w:val="32"/>
          <w:szCs w:val="32"/>
        </w:rPr>
        <w:t>县（市、区）绩效考评中位列前茅；大力推进营商环境改革，深化“数字政府”建设和政务服务改革，企业开办便利度居全市首位。大力推进农村综合改革，被列入全国农村集体产权制度改革试点单位，创新开展“打擂比武”活动，有关经验做法得到省领导的批示肯定。</w:t>
      </w:r>
    </w:p>
    <w:p>
      <w:pPr>
        <w:pStyle w:val="18"/>
        <w:pageBreakBefore w:val="0"/>
        <w:widowControl w:val="0"/>
        <w:kinsoku/>
        <w:wordWrap/>
        <w:overflowPunct/>
        <w:topLinePunct w:val="0"/>
        <w:autoSpaceDE/>
        <w:autoSpaceDN/>
        <w:bidi w:val="0"/>
        <w:adjustRightInd/>
        <w:snapToGrid/>
        <w:spacing w:line="600" w:lineRule="exact"/>
        <w:ind w:firstLine="643"/>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民生服务和保障能力显著增强。</w:t>
      </w:r>
      <w:r>
        <w:rPr>
          <w:rFonts w:hint="eastAsia" w:ascii="仿宋_GB2312" w:hAnsi="仿宋_GB2312" w:eastAsia="仿宋_GB2312" w:cs="仿宋_GB2312"/>
          <w:color w:val="000000"/>
          <w:sz w:val="32"/>
          <w:szCs w:val="32"/>
        </w:rPr>
        <w:t>始终坚持以人民为中心，坚决打好精准脱贫攻坚战，如期完成新时代脱贫攻坚目标任务，贫困村、贫困户全部脱贫出列。</w:t>
      </w:r>
      <w:r>
        <w:rPr>
          <w:rFonts w:hint="eastAsia" w:ascii="仿宋_GB2312" w:hAnsi="仿宋_GB2312" w:eastAsia="仿宋_GB2312" w:cs="仿宋_GB2312"/>
          <w:sz w:val="32"/>
          <w:szCs w:val="32"/>
        </w:rPr>
        <w:t>城镇登记失业率控制在2.78%以内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sz w:val="32"/>
          <w:szCs w:val="32"/>
        </w:rPr>
        <w:t>社会保障水平稳步提升，城镇和农村低保、五保、孤儿、重残等底线民生水平逐年提高，实现城乡养老保险、医疗保险全覆盖。</w:t>
      </w:r>
      <w:r>
        <w:rPr>
          <w:rFonts w:hint="eastAsia" w:ascii="仿宋_GB2312" w:hAnsi="仿宋_GB2312" w:eastAsia="仿宋_GB2312" w:cs="仿宋_GB2312"/>
          <w:color w:val="000000"/>
          <w:sz w:val="32"/>
          <w:szCs w:val="32"/>
          <w:lang w:eastAsia="zh-CN"/>
        </w:rPr>
        <w:t>坚持教育优先发展，实施教育“四大工程”，加大学位供给力度，新建、改（扩）建</w:t>
      </w:r>
      <w:r>
        <w:rPr>
          <w:rFonts w:hint="eastAsia" w:ascii="仿宋_GB2312" w:hAnsi="仿宋_GB2312" w:eastAsia="仿宋_GB2312" w:cs="仿宋_GB2312"/>
          <w:color w:val="000000"/>
          <w:sz w:val="32"/>
          <w:szCs w:val="32"/>
          <w:lang w:val="en-US" w:eastAsia="zh-CN"/>
        </w:rPr>
        <w:t>8所小学</w:t>
      </w:r>
      <w:r>
        <w:rPr>
          <w:rFonts w:hint="eastAsia" w:ascii="仿宋_GB2312" w:hAnsi="仿宋_GB2312" w:eastAsia="仿宋_GB2312" w:cs="仿宋_GB2312"/>
          <w:color w:val="000000"/>
          <w:sz w:val="32"/>
          <w:szCs w:val="32"/>
          <w:lang w:eastAsia="zh-CN"/>
        </w:rPr>
        <w:t>、4所幼儿园，共新增学位</w:t>
      </w:r>
      <w:r>
        <w:rPr>
          <w:rFonts w:hint="eastAsia" w:ascii="仿宋_GB2312" w:hAnsi="仿宋_GB2312" w:eastAsia="仿宋_GB2312" w:cs="仿宋_GB2312"/>
          <w:color w:val="000000"/>
          <w:sz w:val="32"/>
          <w:szCs w:val="32"/>
          <w:lang w:val="en-US" w:eastAsia="zh-CN"/>
        </w:rPr>
        <w:t>7600余个</w:t>
      </w:r>
      <w:r>
        <w:rPr>
          <w:rFonts w:hint="eastAsia" w:ascii="仿宋_GB2312" w:hAnsi="仿宋_GB2312" w:eastAsia="仿宋_GB2312" w:cs="仿宋_GB2312"/>
          <w:color w:val="000000"/>
          <w:sz w:val="32"/>
          <w:szCs w:val="32"/>
          <w:lang w:eastAsia="zh-CN"/>
        </w:rPr>
        <w:t>，在全市率先创建“广东省推进教育现代化先进区”。</w:t>
      </w:r>
      <w:r>
        <w:rPr>
          <w:rFonts w:hint="eastAsia" w:ascii="仿宋_GB2312" w:hAnsi="仿宋_GB2312" w:eastAsia="仿宋_GB2312" w:cs="仿宋_GB2312"/>
          <w:sz w:val="32"/>
          <w:szCs w:val="32"/>
        </w:rPr>
        <w:t>武江</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中医院、武江</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儿童医院两家</w:t>
      </w:r>
      <w:r>
        <w:rPr>
          <w:rFonts w:hint="eastAsia" w:ascii="仿宋_GB2312" w:hAnsi="仿宋_GB2312" w:eastAsia="仿宋_GB2312" w:cs="仿宋_GB2312"/>
          <w:sz w:val="32"/>
          <w:szCs w:val="32"/>
          <w:highlight w:val="none"/>
        </w:rPr>
        <w:t>二</w:t>
      </w:r>
      <w:r>
        <w:rPr>
          <w:rFonts w:hint="eastAsia" w:ascii="仿宋_GB2312" w:hAnsi="仿宋_GB2312" w:eastAsia="仿宋_GB2312" w:cs="仿宋_GB2312"/>
          <w:sz w:val="32"/>
          <w:szCs w:val="32"/>
          <w:highlight w:val="none"/>
          <w:lang w:eastAsia="zh-CN"/>
        </w:rPr>
        <w:t>级</w:t>
      </w:r>
      <w:r>
        <w:rPr>
          <w:rFonts w:hint="eastAsia" w:ascii="仿宋_GB2312" w:hAnsi="仿宋_GB2312" w:eastAsia="仿宋_GB2312" w:cs="仿宋_GB2312"/>
          <w:sz w:val="32"/>
          <w:szCs w:val="32"/>
        </w:rPr>
        <w:t>标准医院动工建设，完成龙归</w:t>
      </w:r>
      <w:r>
        <w:rPr>
          <w:rFonts w:hint="eastAsia" w:ascii="仿宋_GB2312" w:hAnsi="仿宋_GB2312" w:eastAsia="仿宋_GB2312" w:cs="仿宋_GB2312"/>
          <w:sz w:val="32"/>
          <w:szCs w:val="32"/>
          <w:lang w:eastAsia="zh-CN"/>
        </w:rPr>
        <w:t>镇中心</w:t>
      </w:r>
      <w:r>
        <w:rPr>
          <w:rFonts w:hint="eastAsia" w:ascii="仿宋_GB2312" w:hAnsi="仿宋_GB2312" w:eastAsia="仿宋_GB2312" w:cs="仿宋_GB2312"/>
          <w:sz w:val="32"/>
          <w:szCs w:val="32"/>
        </w:rPr>
        <w:t>卫生院扩建，建成西河</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卫生院和沙洲尾、芙蓉新区社区卫生服务中心，完成</w:t>
      </w:r>
      <w:r>
        <w:rPr>
          <w:rFonts w:hint="eastAsia" w:ascii="仿宋_GB2312" w:hAnsi="仿宋_GB2312" w:eastAsia="仿宋_GB2312" w:cs="仿宋_GB2312"/>
          <w:sz w:val="32"/>
          <w:szCs w:val="32"/>
          <w:lang w:val="en-US" w:eastAsia="zh-CN"/>
        </w:rPr>
        <w:t>46间</w:t>
      </w:r>
      <w:r>
        <w:rPr>
          <w:rFonts w:hint="eastAsia" w:ascii="仿宋_GB2312" w:hAnsi="仿宋_GB2312" w:eastAsia="仿宋_GB2312" w:cs="仿宋_GB2312"/>
          <w:sz w:val="32"/>
          <w:szCs w:val="32"/>
        </w:rPr>
        <w:t>村卫生站规范化建设，实现行政村规范化卫生站全覆盖，</w:t>
      </w:r>
      <w:r>
        <w:rPr>
          <w:rFonts w:hint="eastAsia" w:ascii="仿宋_GB2312" w:hAnsi="仿宋_GB2312" w:eastAsia="仿宋_GB2312" w:cs="仿宋_GB2312"/>
          <w:color w:val="000000"/>
          <w:sz w:val="32"/>
          <w:szCs w:val="32"/>
        </w:rPr>
        <w:t>基层卫生医疗服务体系日渐完善，</w:t>
      </w:r>
      <w:r>
        <w:rPr>
          <w:rFonts w:hint="eastAsia" w:ascii="仿宋_GB2312" w:hAnsi="仿宋_GB2312" w:eastAsia="仿宋_GB2312" w:cs="仿宋_GB2312"/>
          <w:sz w:val="32"/>
          <w:szCs w:val="32"/>
        </w:rPr>
        <w:t>城乡医疗服务保障能力不断提升。</w:t>
      </w:r>
      <w:r>
        <w:rPr>
          <w:rFonts w:hint="eastAsia" w:ascii="仿宋_GB2312" w:hAnsi="仿宋_GB2312" w:eastAsia="仿宋_GB2312" w:cs="仿宋_GB2312"/>
          <w:color w:val="000000"/>
          <w:sz w:val="32"/>
          <w:szCs w:val="32"/>
        </w:rPr>
        <w:t>大力拓展居家养老服务和居家康复工作覆盖面，</w:t>
      </w:r>
      <w:r>
        <w:rPr>
          <w:rFonts w:hint="eastAsia" w:ascii="仿宋_GB2312" w:hAnsi="仿宋_GB2312" w:eastAsia="仿宋_GB2312" w:cs="仿宋_GB2312"/>
          <w:color w:val="auto"/>
          <w:sz w:val="32"/>
          <w:szCs w:val="32"/>
          <w:lang w:eastAsia="zh-CN"/>
        </w:rPr>
        <w:t>镇、街</w:t>
      </w:r>
      <w:r>
        <w:rPr>
          <w:rFonts w:hint="eastAsia" w:ascii="仿宋_GB2312" w:hAnsi="仿宋_GB2312" w:eastAsia="仿宋_GB2312" w:cs="仿宋_GB2312"/>
          <w:color w:val="auto"/>
          <w:sz w:val="32"/>
          <w:szCs w:val="32"/>
        </w:rPr>
        <w:t>康园中心</w:t>
      </w:r>
      <w:r>
        <w:rPr>
          <w:rFonts w:hint="eastAsia" w:ascii="仿宋_GB2312" w:hAnsi="仿宋_GB2312" w:eastAsia="仿宋_GB2312" w:cs="仿宋_GB2312"/>
          <w:color w:val="auto"/>
          <w:sz w:val="32"/>
          <w:szCs w:val="32"/>
          <w:lang w:eastAsia="zh-CN"/>
        </w:rPr>
        <w:t>及</w:t>
      </w:r>
      <w:r>
        <w:rPr>
          <w:rFonts w:hint="eastAsia" w:ascii="仿宋_GB2312" w:hAnsi="仿宋_GB2312" w:eastAsia="仿宋_GB2312" w:cs="仿宋_GB2312"/>
          <w:color w:val="auto"/>
          <w:sz w:val="32"/>
          <w:szCs w:val="32"/>
        </w:rPr>
        <w:t>长者饭堂建成使用</w:t>
      </w:r>
      <w:r>
        <w:rPr>
          <w:rFonts w:hint="eastAsia" w:ascii="仿宋_GB2312" w:hAnsi="仿宋_GB2312" w:eastAsia="仿宋_GB2312" w:cs="仿宋_GB2312"/>
          <w:color w:val="000000"/>
          <w:sz w:val="32"/>
          <w:szCs w:val="32"/>
        </w:rPr>
        <w:t>。建成区文化馆、图书馆、档案馆，建成一批风度书屋，全面提升镇街文化站，城乡文化服务体系不断健全。完成西联新村、芙蓉新村体育公园建设，增设一大批乡村文体设施。深入开展“平安武江”建设，持续推进扫黑除恶专项斗争，社会治安综合治理和应急管理能力水平不断提升，社会大局保持和谐稳定。新冠肺炎疫情有效防控。</w:t>
      </w:r>
      <w:bookmarkStart w:id="16" w:name="_Toc14647"/>
    </w:p>
    <w:p>
      <w:pPr>
        <w:pStyle w:val="4"/>
        <w:pageBreakBefore w:val="0"/>
        <w:widowControl w:val="0"/>
        <w:kinsoku/>
        <w:wordWrap/>
        <w:overflowPunct/>
        <w:topLinePunct w:val="0"/>
        <w:autoSpaceDE/>
        <w:autoSpaceDN/>
        <w:bidi w:val="0"/>
        <w:adjustRightInd/>
        <w:snapToGrid/>
        <w:spacing w:line="600" w:lineRule="exact"/>
        <w:jc w:val="center"/>
        <w:textAlignment w:val="auto"/>
        <w:rPr>
          <w:sz w:val="32"/>
          <w:szCs w:val="32"/>
        </w:rPr>
      </w:pPr>
      <w:bookmarkStart w:id="17" w:name="_Toc7578"/>
      <w:bookmarkStart w:id="18" w:name="_Toc9929"/>
      <w:bookmarkStart w:id="19" w:name="_Toc2876"/>
      <w:bookmarkStart w:id="20" w:name="_Toc29432"/>
      <w:bookmarkStart w:id="21" w:name="_Toc982"/>
      <w:bookmarkStart w:id="22" w:name="_Toc1788"/>
      <w:bookmarkStart w:id="23" w:name="_Toc18897"/>
      <w:r>
        <w:rPr>
          <w:rFonts w:hint="eastAsia"/>
          <w:sz w:val="32"/>
          <w:szCs w:val="32"/>
        </w:rPr>
        <w:t xml:space="preserve">第二节  </w:t>
      </w:r>
      <w:bookmarkEnd w:id="16"/>
      <w:r>
        <w:rPr>
          <w:rFonts w:hint="eastAsia"/>
          <w:sz w:val="32"/>
          <w:szCs w:val="32"/>
        </w:rPr>
        <w:t>“十四五”时期发展形势</w:t>
      </w:r>
      <w:bookmarkEnd w:id="17"/>
      <w:bookmarkEnd w:id="18"/>
      <w:bookmarkEnd w:id="19"/>
      <w:bookmarkEnd w:id="20"/>
      <w:bookmarkEnd w:id="21"/>
      <w:bookmarkEnd w:id="22"/>
      <w:bookmarkEnd w:id="23"/>
    </w:p>
    <w:p>
      <w:pPr>
        <w:pageBreakBefore w:val="0"/>
        <w:widowControl w:val="0"/>
        <w:kinsoku/>
        <w:wordWrap/>
        <w:overflowPunct/>
        <w:topLinePunct w:val="0"/>
        <w:autoSpaceDE/>
        <w:autoSpaceDN/>
        <w:bidi w:val="0"/>
        <w:adjustRightInd/>
        <w:snapToGrid/>
        <w:spacing w:line="600" w:lineRule="exact"/>
        <w:textAlignment w:val="auto"/>
        <w:rPr>
          <w:sz w:val="32"/>
          <w:szCs w:val="32"/>
        </w:rPr>
      </w:pPr>
    </w:p>
    <w:p>
      <w:pPr>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“十四五”时期，我区发展的国内外环境和自身条件都发生了复杂而深刻的重大变化，将进入具有新的历史特点的重要战略机遇期，机遇更具有战略性、可塑性，挑战更具有复杂性、全局性。</w:t>
      </w:r>
    </w:p>
    <w:p>
      <w:pPr>
        <w:pageBreakBefore w:val="0"/>
        <w:widowControl w:val="0"/>
        <w:kinsoku/>
        <w:wordWrap/>
        <w:overflowPunct/>
        <w:topLinePunct w:val="0"/>
        <w:autoSpaceDE/>
        <w:autoSpaceDN/>
        <w:bidi w:val="0"/>
        <w:adjustRightInd/>
        <w:snapToGrid/>
        <w:spacing w:line="600" w:lineRule="exact"/>
        <w:ind w:firstLine="643"/>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从国际形势看，</w:t>
      </w:r>
      <w:r>
        <w:rPr>
          <w:rFonts w:hint="eastAsia" w:ascii="仿宋_GB2312" w:hAnsi="仿宋_GB2312" w:eastAsia="仿宋_GB2312" w:cs="仿宋_GB2312"/>
          <w:sz w:val="32"/>
          <w:szCs w:val="32"/>
        </w:rPr>
        <w:t>世界正处于百年未有之大变局，全球格局加快重塑；新一轮科技革命和产业变革深入发展，将推动生产生活方式发生前所未有的变革；“一带一路”国际合作不断走深走实，基础设施互联互通进程明显加快。同时，世界经济仍处在国际金融危机后的深度调整期，经济增长持续放缓；新冠肺炎疫情使全球产业链和价值链加快重组，世界进入竞争优势重塑、国际经贸规则重建、全球力量格局重构叠加期，不稳定性不确定性明显增强。</w:t>
      </w:r>
    </w:p>
    <w:p>
      <w:pPr>
        <w:pageBreakBefore w:val="0"/>
        <w:widowControl w:val="0"/>
        <w:kinsoku/>
        <w:wordWrap/>
        <w:overflowPunct/>
        <w:topLinePunct w:val="0"/>
        <w:autoSpaceDE/>
        <w:autoSpaceDN/>
        <w:bidi w:val="0"/>
        <w:adjustRightInd/>
        <w:snapToGrid/>
        <w:spacing w:line="600" w:lineRule="exact"/>
        <w:ind w:firstLine="643"/>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从国内形势看，</w:t>
      </w:r>
      <w:r>
        <w:rPr>
          <w:rFonts w:hint="eastAsia" w:ascii="仿宋_GB2312" w:hAnsi="仿宋_GB2312" w:eastAsia="仿宋_GB2312" w:cs="仿宋_GB2312"/>
          <w:sz w:val="32"/>
          <w:szCs w:val="32"/>
        </w:rPr>
        <w:t>伴随着我国主要矛盾变化，经济社会发展面临新要求，虽然新冠肺炎疫情对我国短期经济社会发展造成较大冲击，但我国制度优势显著，在习近平新时代中国特色社会主义思想指导下的“中国之治”焕发出强大的生命力和感召力，将为我国经济社会发展行稳致远提供强大的制度保障。我国将如期全面建成小康社会，建设社会主义现代化强国的基础和条件进一步坚实，国家加快构建以国内大循环为主体、国内国际双循环相互促进的新发展格局。同时，国内经济已由高速增长转向高质量发展，推动经济结构和发展方式发生新变化，从规模扩张转向结构优化、从要素驱动转向创新驱动，正处于比较优势重塑、新旧动能转换爬坡过坎的关键时期，经济下行压力仍然存在，发展不平衡不充分问题依然突出，生态环保任重道远，民生保障存在短板，社会治理还有弱项。</w:t>
      </w:r>
    </w:p>
    <w:p>
      <w:pPr>
        <w:pageBreakBefore w:val="0"/>
        <w:widowControl w:val="0"/>
        <w:kinsoku/>
        <w:wordWrap/>
        <w:overflowPunct/>
        <w:topLinePunct w:val="0"/>
        <w:autoSpaceDE/>
        <w:autoSpaceDN/>
        <w:bidi w:val="0"/>
        <w:adjustRightInd/>
        <w:snapToGrid/>
        <w:spacing w:line="600" w:lineRule="exact"/>
        <w:ind w:firstLine="643"/>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从省市形势看，</w:t>
      </w:r>
      <w:r>
        <w:rPr>
          <w:rFonts w:hint="eastAsia" w:ascii="仿宋_GB2312" w:hAnsi="仿宋_GB2312" w:eastAsia="仿宋_GB2312" w:cs="仿宋_GB2312"/>
          <w:sz w:val="32"/>
          <w:szCs w:val="32"/>
        </w:rPr>
        <w:t>我省进入新发展阶段，经济总量大、产业配套齐、市场机制活、开放水平高，转型升级、领先发展的态势更加明显，随着“双区”建设国家战略深入推进，高质量构建“一核一带一区”区域发展格局步伐加快。同时，省内区域发展不协调、城乡二元结构问题仍然突出，社会需求多样性、利益关系复杂性和社会矛盾易发性特征将愈发明显，对广东高质量发展提出了更高要求。我市落实省委、省政府“1+1+9”工作部署，按照“一核一带一区”区域协调发展战略，坚持生态优先、绿色发展，区位优势、交通优势、资源优势、产业基础优势和政策红利优势凸显，发展空间广阔、潜力巨大。同时，韶关经济总量不大，发展质量不高，产业水平有待提升，交通网络仍不够完善，城镇功能不强。</w:t>
      </w:r>
    </w:p>
    <w:p>
      <w:pPr>
        <w:pageBreakBefore w:val="0"/>
        <w:widowControl w:val="0"/>
        <w:kinsoku/>
        <w:wordWrap/>
        <w:overflowPunct/>
        <w:topLinePunct w:val="0"/>
        <w:autoSpaceDE/>
        <w:autoSpaceDN/>
        <w:bidi w:val="0"/>
        <w:adjustRightInd/>
        <w:snapToGrid/>
        <w:spacing w:line="600" w:lineRule="exact"/>
        <w:ind w:firstLine="643"/>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从武江情况看，</w:t>
      </w:r>
      <w:r>
        <w:rPr>
          <w:rFonts w:hint="eastAsia" w:ascii="仿宋_GB2312" w:hAnsi="仿宋_GB2312" w:eastAsia="仿宋_GB2312" w:cs="仿宋_GB2312"/>
          <w:bCs/>
          <w:sz w:val="32"/>
          <w:szCs w:val="32"/>
        </w:rPr>
        <w:t>我区发展处在爬坡越坎的攻坚阶段，</w:t>
      </w:r>
      <w:r>
        <w:rPr>
          <w:rFonts w:hint="eastAsia" w:ascii="仿宋_GB2312" w:hAnsi="仿宋_GB2312" w:eastAsia="仿宋_GB2312" w:cs="仿宋_GB2312"/>
          <w:color w:val="000000" w:themeColor="text1"/>
          <w:sz w:val="32"/>
          <w:szCs w:val="32"/>
        </w:rPr>
        <w:t>面临一些有利条件，一是国家全面推进乡村振兴和城乡融合发展，有利于我区城乡融合发展省级试点先行先试，破解城乡二元结构。二是国家推动构建“双循环”发展战略，有利于我区充分发挥中心城区商贸集聚中心比较优势，加快发展现代服务业。三是</w:t>
      </w:r>
      <w:r>
        <w:rPr>
          <w:rFonts w:hint="eastAsia" w:ascii="仿宋_GB2312" w:hAnsi="仿宋_GB2312" w:eastAsia="仿宋_GB2312" w:cs="仿宋_GB2312"/>
          <w:sz w:val="32"/>
          <w:szCs w:val="32"/>
        </w:rPr>
        <w:t>粤港澳大湾区和深圳中国特色社会主义先行示范区建设，有利于我区承接“双区建设”辐射。四是随着“一核一带一区”区域协调发展战略深入推进，省将在财政转移支付、生态补偿方面加大力度。五是韶关立足生态发展区功能定位，大力实施“东进、南拓、西融、北优”城市发展战略，将进一步增强我区作为中心城区、北部生态发展区区域发展核心引擎功能。六是</w:t>
      </w:r>
      <w:r>
        <w:rPr>
          <w:rFonts w:hint="eastAsia" w:ascii="仿宋_GB2312" w:hAnsi="仿宋_GB2312" w:eastAsia="仿宋_GB2312" w:cs="仿宋_GB2312"/>
          <w:color w:val="000000" w:themeColor="text1"/>
          <w:sz w:val="32"/>
          <w:szCs w:val="32"/>
        </w:rPr>
        <w:t>武江科创园、</w:t>
      </w:r>
      <w:r>
        <w:rPr>
          <w:rFonts w:hint="eastAsia" w:ascii="仿宋_GB2312" w:hAnsi="仿宋_GB2312" w:eastAsia="仿宋_GB2312" w:cs="仿宋_GB2312"/>
          <w:bCs/>
          <w:color w:val="000000" w:themeColor="text1"/>
          <w:sz w:val="32"/>
          <w:szCs w:val="32"/>
        </w:rPr>
        <w:t>武江</w:t>
      </w:r>
      <w:r>
        <w:rPr>
          <w:rFonts w:hint="eastAsia" w:ascii="仿宋_GB2312" w:hAnsi="仿宋_GB2312" w:eastAsia="仿宋_GB2312" w:cs="仿宋_GB2312"/>
          <w:color w:val="000000" w:themeColor="text1"/>
          <w:sz w:val="32"/>
          <w:szCs w:val="32"/>
        </w:rPr>
        <w:t>城乡融合产业园、武江现代农业产业园等经济发展重要平台建设，为我区今后经济发展提供了新空间、新引擎。同时，我区发展存在短板和不足，</w:t>
      </w:r>
      <w:r>
        <w:rPr>
          <w:rFonts w:hint="eastAsia" w:ascii="仿宋_GB2312" w:hAnsi="仿宋_GB2312" w:eastAsia="仿宋_GB2312" w:cs="仿宋_GB2312"/>
          <w:color w:val="000000"/>
          <w:sz w:val="32"/>
          <w:szCs w:val="32"/>
        </w:rPr>
        <w:t>一是发展新动能新平台培育不足，过度依赖传统产业，经济增长乏力。二是城乡发展不平衡不充分的问题突出，城区面子不靓里子不强，农村基础设施和公共服务短板明显，基础教育学校布局不够合理，优质学位紧张，城乡医疗发展水平不平衡，农村卫生服务能力相对落后。三是生态环境基础还不牢固，环保基础设施建设不足，生态环境监测网络未全覆盖。四是营商环境缺乏竞争力，法治政府建设水平有待提高，企业融资环境亟待改善。</w:t>
      </w:r>
      <w:r>
        <w:rPr>
          <w:rFonts w:hint="eastAsia" w:ascii="仿宋_GB2312" w:hAnsi="仿宋_GB2312" w:eastAsia="仿宋_GB2312" w:cs="仿宋_GB2312"/>
          <w:sz w:val="32"/>
          <w:szCs w:val="32"/>
        </w:rPr>
        <w:t>这些问题事关全局、涉及长远，需要在“十四五”时期加以妥善解决。</w:t>
      </w:r>
    </w:p>
    <w:p>
      <w:pPr>
        <w:pStyle w:val="2"/>
        <w:ind w:left="0" w:leftChars="0" w:firstLine="0" w:firstLineChars="0"/>
        <w:rPr>
          <w:rFonts w:hint="eastAsia" w:ascii="仿宋" w:hAnsi="仿宋" w:eastAsia="仿宋" w:cs="仿宋"/>
          <w:sz w:val="32"/>
          <w:szCs w:val="32"/>
        </w:rPr>
      </w:pPr>
    </w:p>
    <w:p>
      <w:pPr>
        <w:pStyle w:val="3"/>
        <w:bidi w:val="0"/>
        <w:rPr>
          <w:rFonts w:hint="eastAsia"/>
        </w:rPr>
      </w:pPr>
      <w:bookmarkStart w:id="24" w:name="_Toc22648"/>
      <w:bookmarkStart w:id="25" w:name="_Toc19953"/>
      <w:bookmarkStart w:id="26" w:name="_Toc23396"/>
      <w:bookmarkStart w:id="27" w:name="_Toc1619"/>
      <w:bookmarkStart w:id="28" w:name="_Toc30684"/>
      <w:bookmarkStart w:id="29" w:name="_Toc21024"/>
      <w:bookmarkStart w:id="30" w:name="_Toc6439"/>
      <w:r>
        <w:rPr>
          <w:rFonts w:hint="eastAsia"/>
        </w:rPr>
        <w:t>第二章  总体要求</w:t>
      </w:r>
      <w:bookmarkEnd w:id="24"/>
      <w:bookmarkEnd w:id="25"/>
      <w:bookmarkEnd w:id="26"/>
      <w:bookmarkEnd w:id="27"/>
      <w:bookmarkEnd w:id="28"/>
      <w:bookmarkEnd w:id="29"/>
      <w:bookmarkEnd w:id="30"/>
    </w:p>
    <w:p>
      <w:pPr>
        <w:pStyle w:val="2"/>
        <w:ind w:left="0" w:leftChars="0" w:firstLine="0" w:firstLineChars="0"/>
        <w:rPr>
          <w:rFonts w:hint="eastAsia" w:ascii="仿宋" w:hAnsi="仿宋" w:eastAsia="仿宋" w:cs="仿宋"/>
          <w:sz w:val="32"/>
          <w:szCs w:val="32"/>
        </w:rPr>
      </w:pPr>
    </w:p>
    <w:p>
      <w:pPr>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面对百年未有之大变局，着眼实现中华民族伟大复兴的中国梦，我们要深刻把握全面建设社会主义现代化的目标要求，深刻把握社会主要矛盾变化带来的新特征新要求，全面贯彻中央、省、市关于经济社会发展的有关精神，保持战略定力，科学谋划、</w:t>
      </w:r>
      <w:r>
        <w:rPr>
          <w:rFonts w:hint="eastAsia" w:ascii="仿宋_GB2312" w:hAnsi="仿宋_GB2312" w:eastAsia="仿宋_GB2312" w:cs="仿宋_GB2312"/>
          <w:sz w:val="32"/>
          <w:szCs w:val="32"/>
          <w:lang w:eastAsia="zh-CN"/>
        </w:rPr>
        <w:t>加快</w:t>
      </w:r>
      <w:r>
        <w:rPr>
          <w:rFonts w:hint="eastAsia" w:ascii="仿宋_GB2312" w:hAnsi="仿宋_GB2312" w:eastAsia="仿宋_GB2312" w:cs="仿宋_GB2312"/>
          <w:sz w:val="32"/>
          <w:szCs w:val="32"/>
        </w:rPr>
        <w:t>发展，顺利开启全面建设社会主义现代化国家新征程。</w:t>
      </w:r>
    </w:p>
    <w:p>
      <w:pPr>
        <w:pStyle w:val="2"/>
        <w:ind w:left="0" w:leftChars="0" w:firstLine="0" w:firstLineChars="0"/>
        <w:rPr>
          <w:rFonts w:hint="eastAsia" w:ascii="仿宋" w:hAnsi="仿宋" w:eastAsia="仿宋" w:cs="仿宋"/>
          <w:sz w:val="32"/>
          <w:szCs w:val="32"/>
        </w:rPr>
      </w:pPr>
    </w:p>
    <w:p>
      <w:pPr>
        <w:pStyle w:val="4"/>
        <w:pageBreakBefore w:val="0"/>
        <w:widowControl w:val="0"/>
        <w:numPr>
          <w:ilvl w:val="0"/>
          <w:numId w:val="1"/>
        </w:numPr>
        <w:kinsoku/>
        <w:wordWrap/>
        <w:overflowPunct/>
        <w:topLinePunct w:val="0"/>
        <w:autoSpaceDE/>
        <w:autoSpaceDN/>
        <w:bidi w:val="0"/>
        <w:adjustRightInd/>
        <w:snapToGrid/>
        <w:spacing w:line="600" w:lineRule="exact"/>
        <w:jc w:val="center"/>
        <w:textAlignment w:val="auto"/>
        <w:rPr>
          <w:rFonts w:hint="eastAsia"/>
          <w:sz w:val="32"/>
          <w:szCs w:val="32"/>
        </w:rPr>
      </w:pPr>
      <w:bookmarkStart w:id="31" w:name="_Toc24319"/>
      <w:bookmarkStart w:id="32" w:name="_Toc20339"/>
      <w:bookmarkStart w:id="33" w:name="_Toc29536"/>
      <w:bookmarkStart w:id="34" w:name="_Toc2024"/>
      <w:bookmarkStart w:id="35" w:name="_Toc13698"/>
      <w:r>
        <w:rPr>
          <w:rFonts w:hint="eastAsia"/>
          <w:sz w:val="32"/>
          <w:szCs w:val="32"/>
        </w:rPr>
        <w:t xml:space="preserve"> </w:t>
      </w:r>
      <w:bookmarkStart w:id="36" w:name="_Toc3324"/>
      <w:bookmarkStart w:id="37" w:name="_Toc16054"/>
      <w:r>
        <w:rPr>
          <w:rFonts w:hint="eastAsia"/>
          <w:sz w:val="32"/>
          <w:szCs w:val="32"/>
        </w:rPr>
        <w:t>指导思想</w:t>
      </w:r>
      <w:bookmarkEnd w:id="31"/>
      <w:bookmarkEnd w:id="32"/>
      <w:bookmarkEnd w:id="33"/>
      <w:bookmarkEnd w:id="34"/>
      <w:bookmarkEnd w:id="35"/>
      <w:bookmarkEnd w:id="36"/>
      <w:bookmarkEnd w:id="37"/>
    </w:p>
    <w:p>
      <w:pPr>
        <w:rPr>
          <w:rFonts w:hint="eastAsia"/>
          <w:sz w:val="32"/>
          <w:szCs w:val="32"/>
        </w:rPr>
      </w:pPr>
    </w:p>
    <w:p>
      <w:pPr>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举中国特色社会主义伟大旗帜，深入贯彻党的十九大和十九届二中、三中、四中、五中全会精神，坚持以马克思列宁主义、毛泽东思想、邓小平理论、“三个代表”重要思想、科学发展观、习近平新时代中国特色社会主义思想为指导，深入学习贯彻习近平总书记对广东重要讲话和重要指示批示精神，全面贯彻党的理论、路线、方略，统筹推进经济、政治、文化、社会、生态文明建设，贯彻创新、协调、绿色、开放、共享的新发展理念，坚持发展是第一要务，坚持稳中求进工作总基调，以推动高质量发展为主题，以深化供给侧结构性改革为主线，以改革开放创新为根本动力，以满足人民日益增长的美好生活需要为根本目的，统筹发展和安全，融入以国内大循环为主体、国内国际双循环相互促进的新发展格局，按照全省“1+1+9”工作部署和“一核一带一区”区域协调发展战略，及韶关市筑牢粤北生态屏障、打造绿色发展韶关样板、争当北部生态发展区高质量发展排头兵的目标定位，坚持以生态为特色优势融入粤港澳大湾区、深圳先行示范区“双区”建设，深入实施新一轮改革发展“六大行动”，</w:t>
      </w:r>
      <w:r>
        <w:rPr>
          <w:rStyle w:val="36"/>
          <w:rFonts w:hint="eastAsia" w:ascii="仿宋_GB2312" w:hAnsi="仿宋_GB2312" w:eastAsia="仿宋_GB2312" w:cs="仿宋_GB2312"/>
          <w:sz w:val="32"/>
          <w:szCs w:val="32"/>
        </w:rPr>
        <w:t>开启“二次创业”，</w:t>
      </w:r>
      <w:r>
        <w:rPr>
          <w:rFonts w:hint="eastAsia" w:ascii="仿宋_GB2312" w:hAnsi="仿宋_GB2312" w:eastAsia="仿宋_GB2312" w:cs="仿宋_GB2312"/>
          <w:color w:val="000000"/>
          <w:kern w:val="32"/>
          <w:sz w:val="32"/>
          <w:szCs w:val="32"/>
          <w:highlight w:val="none"/>
        </w:rPr>
        <w:t>全面提升武江中心城区</w:t>
      </w:r>
      <w:r>
        <w:rPr>
          <w:rFonts w:hint="eastAsia" w:ascii="仿宋_GB2312" w:hAnsi="仿宋_GB2312" w:eastAsia="仿宋_GB2312" w:cs="仿宋_GB2312"/>
          <w:color w:val="000000"/>
          <w:kern w:val="32"/>
          <w:sz w:val="32"/>
          <w:szCs w:val="32"/>
          <w:highlight w:val="none"/>
          <w:lang w:eastAsia="zh-CN"/>
        </w:rPr>
        <w:t>的创新发展承载力和生态</w:t>
      </w:r>
      <w:r>
        <w:rPr>
          <w:rFonts w:hint="eastAsia" w:ascii="仿宋_GB2312" w:hAnsi="仿宋_GB2312" w:eastAsia="仿宋_GB2312" w:cs="仿宋_GB2312"/>
          <w:color w:val="000000"/>
          <w:kern w:val="32"/>
          <w:sz w:val="32"/>
          <w:szCs w:val="32"/>
          <w:highlight w:val="none"/>
        </w:rPr>
        <w:t>宜居品质</w:t>
      </w:r>
      <w:r>
        <w:rPr>
          <w:rFonts w:hint="eastAsia" w:ascii="仿宋_GB2312" w:hAnsi="仿宋_GB2312" w:eastAsia="仿宋_GB2312" w:cs="仿宋_GB2312"/>
          <w:sz w:val="32"/>
          <w:szCs w:val="32"/>
        </w:rPr>
        <w:t>，建设具有生态品质和发展活力的中心城区，</w:t>
      </w:r>
      <w:r>
        <w:rPr>
          <w:rStyle w:val="36"/>
          <w:rFonts w:hint="eastAsia" w:ascii="仿宋_GB2312" w:hAnsi="仿宋_GB2312" w:eastAsia="仿宋_GB2312" w:cs="仿宋_GB2312"/>
          <w:sz w:val="32"/>
          <w:szCs w:val="32"/>
        </w:rPr>
        <w:t>构建新武江、新经济、新生活崭新局面，</w:t>
      </w:r>
      <w:r>
        <w:rPr>
          <w:rFonts w:hint="eastAsia" w:ascii="仿宋_GB2312" w:hAnsi="仿宋_GB2312" w:eastAsia="仿宋_GB2312" w:cs="仿宋_GB2312"/>
          <w:sz w:val="32"/>
          <w:szCs w:val="32"/>
        </w:rPr>
        <w:t>奋力推动武江在城乡融合高质量发展上走在北部生态发展区前列，争当韶关改革发展排头兵。</w:t>
      </w:r>
    </w:p>
    <w:p>
      <w:pPr>
        <w:pStyle w:val="4"/>
        <w:pageBreakBefore w:val="0"/>
        <w:widowControl w:val="0"/>
        <w:kinsoku/>
        <w:wordWrap/>
        <w:overflowPunct/>
        <w:topLinePunct w:val="0"/>
        <w:autoSpaceDE/>
        <w:autoSpaceDN/>
        <w:bidi w:val="0"/>
        <w:adjustRightInd/>
        <w:snapToGrid/>
        <w:spacing w:line="600" w:lineRule="exact"/>
        <w:jc w:val="both"/>
        <w:textAlignment w:val="auto"/>
        <w:rPr>
          <w:rFonts w:hint="eastAsia"/>
          <w:sz w:val="32"/>
          <w:szCs w:val="32"/>
        </w:rPr>
      </w:pPr>
      <w:bookmarkStart w:id="38" w:name="_Toc20602"/>
      <w:bookmarkStart w:id="39" w:name="_Toc11569"/>
      <w:bookmarkStart w:id="40" w:name="_Toc6256"/>
      <w:bookmarkStart w:id="41" w:name="_Toc21505"/>
      <w:bookmarkStart w:id="42" w:name="_Toc16458"/>
      <w:bookmarkStart w:id="43" w:name="_Toc23788"/>
    </w:p>
    <w:p>
      <w:pPr>
        <w:pStyle w:val="4"/>
        <w:pageBreakBefore w:val="0"/>
        <w:widowControl w:val="0"/>
        <w:kinsoku/>
        <w:wordWrap/>
        <w:overflowPunct/>
        <w:topLinePunct w:val="0"/>
        <w:autoSpaceDE/>
        <w:autoSpaceDN/>
        <w:bidi w:val="0"/>
        <w:adjustRightInd/>
        <w:snapToGrid/>
        <w:spacing w:line="600" w:lineRule="exact"/>
        <w:jc w:val="center"/>
        <w:textAlignment w:val="auto"/>
        <w:rPr>
          <w:sz w:val="32"/>
          <w:szCs w:val="32"/>
        </w:rPr>
      </w:pPr>
      <w:bookmarkStart w:id="44" w:name="_Toc12283"/>
      <w:bookmarkStart w:id="45" w:name="_Toc29678"/>
      <w:r>
        <w:rPr>
          <w:rFonts w:hint="eastAsia"/>
          <w:sz w:val="32"/>
          <w:szCs w:val="32"/>
        </w:rPr>
        <w:t>第二节  基本原则</w:t>
      </w:r>
      <w:bookmarkEnd w:id="38"/>
      <w:bookmarkEnd w:id="39"/>
      <w:bookmarkEnd w:id="40"/>
      <w:bookmarkEnd w:id="41"/>
      <w:bookmarkEnd w:id="42"/>
      <w:bookmarkEnd w:id="43"/>
      <w:bookmarkEnd w:id="44"/>
      <w:bookmarkEnd w:id="45"/>
    </w:p>
    <w:p>
      <w:pPr>
        <w:pageBreakBefore w:val="0"/>
        <w:widowControl w:val="0"/>
        <w:kinsoku/>
        <w:wordWrap/>
        <w:overflowPunct/>
        <w:topLinePunct w:val="0"/>
        <w:autoSpaceDE/>
        <w:autoSpaceDN/>
        <w:bidi w:val="0"/>
        <w:adjustRightInd/>
        <w:snapToGrid/>
        <w:spacing w:line="600" w:lineRule="exact"/>
        <w:ind w:firstLine="640"/>
        <w:textAlignment w:val="auto"/>
        <w:rPr>
          <w:sz w:val="32"/>
          <w:szCs w:val="32"/>
        </w:rPr>
      </w:pPr>
    </w:p>
    <w:p>
      <w:pPr>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“十四五”时期，推动全区经济持续平稳健康发展和社会全面进步，必须坚持以下基本原则：</w:t>
      </w:r>
    </w:p>
    <w:p>
      <w:pPr>
        <w:pageBreakBefore w:val="0"/>
        <w:widowControl w:val="0"/>
        <w:kinsoku/>
        <w:wordWrap/>
        <w:overflowPunct/>
        <w:topLinePunct w:val="0"/>
        <w:autoSpaceDE/>
        <w:autoSpaceDN/>
        <w:bidi w:val="0"/>
        <w:adjustRightInd/>
        <w:snapToGrid/>
        <w:spacing w:line="600" w:lineRule="exact"/>
        <w:ind w:firstLine="643"/>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——坚持党的全面领导。</w:t>
      </w:r>
      <w:r>
        <w:rPr>
          <w:rFonts w:hint="eastAsia" w:ascii="仿宋_GB2312" w:hAnsi="仿宋_GB2312" w:eastAsia="仿宋_GB2312" w:cs="仿宋_GB2312"/>
          <w:sz w:val="32"/>
          <w:szCs w:val="32"/>
        </w:rPr>
        <w:t>增强“四个意识”、坚定“四个自信”、做到“两个维护”，充分发挥党总揽全局、协调各方的领导核心作用，坚持党要管党、</w:t>
      </w:r>
      <w:r>
        <w:rPr>
          <w:rFonts w:hint="eastAsia" w:ascii="仿宋_GB2312" w:hAnsi="仿宋_GB2312" w:eastAsia="仿宋_GB2312" w:cs="仿宋_GB2312"/>
          <w:sz w:val="32"/>
          <w:szCs w:val="32"/>
          <w:lang w:eastAsia="zh-CN"/>
        </w:rPr>
        <w:t>全面</w:t>
      </w:r>
      <w:r>
        <w:rPr>
          <w:rFonts w:hint="eastAsia" w:ascii="仿宋_GB2312" w:hAnsi="仿宋_GB2312" w:eastAsia="仿宋_GB2312" w:cs="仿宋_GB2312"/>
          <w:sz w:val="32"/>
          <w:szCs w:val="32"/>
        </w:rPr>
        <w:t>从严治党，不断提高贯彻新发展理念、构建新发展格局的能力和水平，为实现高质量发展提供根本保证。</w:t>
      </w:r>
    </w:p>
    <w:p>
      <w:pPr>
        <w:pageBreakBefore w:val="0"/>
        <w:widowControl w:val="0"/>
        <w:kinsoku/>
        <w:wordWrap/>
        <w:overflowPunct/>
        <w:topLinePunct w:val="0"/>
        <w:autoSpaceDE/>
        <w:autoSpaceDN/>
        <w:bidi w:val="0"/>
        <w:adjustRightInd/>
        <w:snapToGrid/>
        <w:spacing w:line="600" w:lineRule="exact"/>
        <w:ind w:firstLine="643"/>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——坚持以人民为中心。</w:t>
      </w:r>
      <w:r>
        <w:rPr>
          <w:rFonts w:hint="eastAsia" w:ascii="仿宋_GB2312" w:hAnsi="仿宋_GB2312" w:eastAsia="仿宋_GB2312" w:cs="仿宋_GB2312"/>
          <w:sz w:val="32"/>
          <w:szCs w:val="32"/>
        </w:rPr>
        <w:t>坚持人民主体地位，坚持共</w:t>
      </w:r>
      <w:bookmarkStart w:id="401" w:name="_GoBack"/>
      <w:bookmarkEnd w:id="401"/>
      <w:r>
        <w:rPr>
          <w:rFonts w:hint="eastAsia" w:ascii="仿宋_GB2312" w:hAnsi="仿宋_GB2312" w:eastAsia="仿宋_GB2312" w:cs="仿宋_GB2312"/>
          <w:sz w:val="32"/>
          <w:szCs w:val="32"/>
        </w:rPr>
        <w:t>同富裕方向，始终做到发展为了人民、发展依靠人民、发展成果由人民共享，全面提升城乡发展水平，加快解决城乡发展不协调不充分问题，不断实现人民群众对美好生活的向往。</w:t>
      </w:r>
    </w:p>
    <w:p>
      <w:pPr>
        <w:pageBreakBefore w:val="0"/>
        <w:widowControl w:val="0"/>
        <w:kinsoku/>
        <w:wordWrap/>
        <w:overflowPunct/>
        <w:topLinePunct w:val="0"/>
        <w:autoSpaceDE/>
        <w:autoSpaceDN/>
        <w:bidi w:val="0"/>
        <w:adjustRightInd/>
        <w:snapToGrid/>
        <w:spacing w:line="600" w:lineRule="exact"/>
        <w:ind w:firstLine="643"/>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——坚持新发展理念。</w:t>
      </w:r>
      <w:r>
        <w:rPr>
          <w:rFonts w:hint="eastAsia" w:ascii="仿宋_GB2312" w:hAnsi="仿宋_GB2312" w:eastAsia="仿宋_GB2312" w:cs="仿宋_GB2312"/>
          <w:sz w:val="32"/>
          <w:szCs w:val="32"/>
        </w:rPr>
        <w:t>把新发展理念贯穿经济社会发展全过程和各领域，坚持走绿色高质量发展之路，加快推动质量变革、效率变革、动力变革，实现更高质量、更有效率、更加公平、更可持续、更为安全的发展。</w:t>
      </w:r>
    </w:p>
    <w:p>
      <w:pPr>
        <w:pageBreakBefore w:val="0"/>
        <w:widowControl w:val="0"/>
        <w:kinsoku/>
        <w:wordWrap/>
        <w:overflowPunct/>
        <w:topLinePunct w:val="0"/>
        <w:autoSpaceDE/>
        <w:autoSpaceDN/>
        <w:bidi w:val="0"/>
        <w:adjustRightInd/>
        <w:snapToGrid/>
        <w:spacing w:line="600" w:lineRule="exact"/>
        <w:ind w:firstLine="643"/>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——坚持深化改革开放。</w:t>
      </w:r>
      <w:r>
        <w:rPr>
          <w:rFonts w:hint="eastAsia" w:ascii="仿宋_GB2312" w:hAnsi="仿宋_GB2312" w:eastAsia="仿宋_GB2312" w:cs="仿宋_GB2312"/>
          <w:sz w:val="32"/>
          <w:szCs w:val="32"/>
        </w:rPr>
        <w:t>加大重点领域和关键环节改革力度，主动融入“双区”建设，推进市域社会治理体系、治理能力现代化建设和城乡融合发展省级试点工作，促进经济社会平衡发展和城乡融合发展。推进与韶关新区协调发展，在加快构建新发展格局中展现新作为。</w:t>
      </w:r>
    </w:p>
    <w:p>
      <w:pPr>
        <w:pageBreakBefore w:val="0"/>
        <w:widowControl w:val="0"/>
        <w:kinsoku/>
        <w:wordWrap/>
        <w:overflowPunct/>
        <w:topLinePunct w:val="0"/>
        <w:autoSpaceDE/>
        <w:autoSpaceDN/>
        <w:bidi w:val="0"/>
        <w:adjustRightInd/>
        <w:snapToGrid/>
        <w:spacing w:line="600" w:lineRule="exact"/>
        <w:ind w:firstLine="643"/>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——坚持系统观念。</w:t>
      </w:r>
      <w:r>
        <w:rPr>
          <w:rFonts w:hint="eastAsia" w:ascii="仿宋_GB2312" w:hAnsi="仿宋_GB2312" w:eastAsia="仿宋_GB2312" w:cs="仿宋_GB2312"/>
          <w:sz w:val="32"/>
          <w:szCs w:val="32"/>
        </w:rPr>
        <w:t>加强前瞻性思考、全局性谋划、战略性布局、整体性推进，坚持全区一盘棋，更好发挥各方面积极性，统筹发展与安全，固根基、扬优势、补短板、强弱项，防范化解重大风险，实现高质量发展。</w:t>
      </w:r>
    </w:p>
    <w:p>
      <w:pPr>
        <w:pageBreakBefore w:val="0"/>
        <w:widowControl w:val="0"/>
        <w:kinsoku/>
        <w:wordWrap/>
        <w:overflowPunct/>
        <w:topLinePunct w:val="0"/>
        <w:autoSpaceDE/>
        <w:autoSpaceDN/>
        <w:bidi w:val="0"/>
        <w:adjustRightInd/>
        <w:snapToGrid/>
        <w:spacing w:line="600" w:lineRule="exact"/>
        <w:textAlignment w:val="auto"/>
        <w:rPr>
          <w:sz w:val="32"/>
          <w:szCs w:val="32"/>
        </w:rPr>
      </w:pPr>
      <w:bookmarkStart w:id="46" w:name="_Toc19395"/>
    </w:p>
    <w:p>
      <w:pPr>
        <w:pStyle w:val="4"/>
        <w:pageBreakBefore w:val="0"/>
        <w:widowControl w:val="0"/>
        <w:kinsoku/>
        <w:wordWrap/>
        <w:overflowPunct/>
        <w:topLinePunct w:val="0"/>
        <w:autoSpaceDE/>
        <w:autoSpaceDN/>
        <w:bidi w:val="0"/>
        <w:adjustRightInd/>
        <w:snapToGrid/>
        <w:spacing w:line="600" w:lineRule="exact"/>
        <w:textAlignment w:val="auto"/>
        <w:rPr>
          <w:sz w:val="32"/>
          <w:szCs w:val="32"/>
        </w:rPr>
      </w:pPr>
      <w:bookmarkStart w:id="47" w:name="_Toc29625"/>
      <w:bookmarkStart w:id="48" w:name="_Toc30642"/>
      <w:bookmarkStart w:id="49" w:name="_Toc5492"/>
      <w:bookmarkStart w:id="50" w:name="_Toc6841"/>
      <w:bookmarkStart w:id="51" w:name="_Toc12927"/>
      <w:bookmarkStart w:id="52" w:name="_Toc1451"/>
      <w:bookmarkStart w:id="53" w:name="_Toc28309"/>
      <w:r>
        <w:rPr>
          <w:rFonts w:hint="eastAsia"/>
          <w:sz w:val="32"/>
          <w:szCs w:val="32"/>
        </w:rPr>
        <w:t>第三节  发展目标</w:t>
      </w:r>
      <w:bookmarkEnd w:id="46"/>
      <w:bookmarkEnd w:id="47"/>
      <w:bookmarkEnd w:id="48"/>
      <w:bookmarkEnd w:id="49"/>
      <w:bookmarkEnd w:id="50"/>
      <w:bookmarkEnd w:id="51"/>
      <w:bookmarkEnd w:id="52"/>
      <w:bookmarkEnd w:id="53"/>
    </w:p>
    <w:p>
      <w:pPr>
        <w:pageBreakBefore w:val="0"/>
        <w:widowControl w:val="0"/>
        <w:kinsoku/>
        <w:wordWrap/>
        <w:overflowPunct/>
        <w:topLinePunct w:val="0"/>
        <w:autoSpaceDE/>
        <w:autoSpaceDN/>
        <w:bidi w:val="0"/>
        <w:adjustRightInd/>
        <w:snapToGrid/>
        <w:spacing w:line="600" w:lineRule="exact"/>
        <w:ind w:firstLine="640"/>
        <w:textAlignment w:val="auto"/>
        <w:rPr>
          <w:sz w:val="32"/>
          <w:szCs w:val="32"/>
        </w:rPr>
      </w:pPr>
    </w:p>
    <w:p>
      <w:pPr>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的十九大作出了到二〇三五年我国基本实现社会主义现代化的战略安排。展望二〇三五年，我区经济实力、综合竞争力大幅增强，地区生产总值和城乡居民人均收入迈上新的大台阶，形成现代化经济体系，基本实现新型工业化、信息化、城镇化、农业现代化，基本公共服务实现均等化，基本实现治理体系和治理能力现代化，社会文明程度达到新高度，全体人民共同富裕取得实质性进展，与全国全省全市基本同步实现社会主义现代化。</w:t>
      </w:r>
    </w:p>
    <w:p>
      <w:pPr>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锚定二〇三五年基本实现社会主义现代化目标，着眼我区新发展阶段总定位总目标，到二〇二五年，我区创新发展、绿色发展格局全面构建，经济总量、人均GDP继续保持全市首位，城乡融合高质量发展走在北部生态发展区前列，城市创新创业承载力显著增强，争当韶关改革发展排头兵的综合实力全面展现，人民生活水平显著提高，建成北部生态发展区具有生态魅力和时代活力的城市核心区，成为红三角地区具有影响力和竞争力的绿色发展特色城区。我区“十四五”时期经济社会发展实现以下主要目标：</w:t>
      </w:r>
    </w:p>
    <w:p>
      <w:pPr>
        <w:pageBreakBefore w:val="0"/>
        <w:widowControl w:val="0"/>
        <w:kinsoku/>
        <w:wordWrap/>
        <w:overflowPunct/>
        <w:topLinePunct w:val="0"/>
        <w:autoSpaceDE/>
        <w:autoSpaceDN/>
        <w:bidi w:val="0"/>
        <w:adjustRightInd/>
        <w:snapToGrid/>
        <w:spacing w:line="600" w:lineRule="exact"/>
        <w:ind w:firstLine="643"/>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高质量发展走在全市前列。</w:t>
      </w:r>
      <w:r>
        <w:rPr>
          <w:rFonts w:hint="eastAsia" w:ascii="仿宋_GB2312" w:hAnsi="仿宋_GB2312" w:eastAsia="仿宋_GB2312" w:cs="仿宋_GB2312"/>
          <w:b w:val="0"/>
          <w:bCs w:val="0"/>
          <w:sz w:val="32"/>
          <w:szCs w:val="32"/>
          <w:lang w:eastAsia="zh-CN"/>
        </w:rPr>
        <w:t>“十四五”时期</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sz w:val="32"/>
          <w:szCs w:val="32"/>
        </w:rPr>
        <w:t>全区地区生产总值</w:t>
      </w:r>
      <w:r>
        <w:rPr>
          <w:rFonts w:hint="eastAsia" w:ascii="仿宋_GB2312" w:hAnsi="仿宋_GB2312" w:eastAsia="仿宋_GB2312" w:cs="仿宋_GB2312"/>
          <w:sz w:val="32"/>
          <w:szCs w:val="32"/>
          <w:lang w:eastAsia="zh-CN"/>
        </w:rPr>
        <w:t>年均增长</w:t>
      </w:r>
      <w:r>
        <w:rPr>
          <w:rFonts w:hint="eastAsia" w:ascii="仿宋_GB2312" w:hAnsi="仿宋_GB2312" w:eastAsia="仿宋_GB2312" w:cs="仿宋_GB2312"/>
          <w:sz w:val="32"/>
          <w:szCs w:val="32"/>
          <w:lang w:val="en-US" w:eastAsia="zh-CN"/>
        </w:rPr>
        <w:t>6%左右，固定资产投资年均增长6%以上。</w:t>
      </w:r>
      <w:r>
        <w:rPr>
          <w:rFonts w:hint="eastAsia" w:ascii="仿宋_GB2312" w:hAnsi="仿宋_GB2312" w:eastAsia="仿宋_GB2312" w:cs="仿宋_GB2312"/>
          <w:color w:val="auto"/>
          <w:sz w:val="32"/>
          <w:szCs w:val="32"/>
        </w:rPr>
        <w:t>农</w:t>
      </w:r>
      <w:r>
        <w:rPr>
          <w:rFonts w:hint="eastAsia" w:ascii="仿宋_GB2312" w:hAnsi="仿宋_GB2312" w:eastAsia="仿宋_GB2312" w:cs="仿宋_GB2312"/>
          <w:sz w:val="32"/>
          <w:szCs w:val="32"/>
        </w:rPr>
        <w:t>业产业化水平显著提升，新兴产业发展初具规模，都市型产业蓬勃发展，实现经济发展新旧动能转换，创新氛围更加浓厚，发展环境更加优越，武江科创园、武江城乡融合产业园、武江现代农业产业园等新平台建设取得重要进展，有力支撑经济高质量发展。</w:t>
      </w:r>
    </w:p>
    <w:p>
      <w:pPr>
        <w:pageBreakBefore w:val="0"/>
        <w:widowControl w:val="0"/>
        <w:kinsoku/>
        <w:wordWrap/>
        <w:overflowPunct/>
        <w:topLinePunct w:val="0"/>
        <w:autoSpaceDE/>
        <w:autoSpaceDN/>
        <w:bidi w:val="0"/>
        <w:adjustRightInd/>
        <w:snapToGrid/>
        <w:spacing w:line="600" w:lineRule="exact"/>
        <w:ind w:firstLine="643"/>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生态品质中心城区首位度更加彰显。</w:t>
      </w:r>
      <w:r>
        <w:rPr>
          <w:rFonts w:hint="eastAsia" w:ascii="仿宋_GB2312" w:hAnsi="仿宋_GB2312" w:eastAsia="仿宋_GB2312" w:cs="仿宋_GB2312"/>
          <w:sz w:val="32"/>
          <w:szCs w:val="32"/>
        </w:rPr>
        <w:t>全面拓展城市发展空间，全面提升城市首位度，全面增强城市发展能级。实现城市建设精品化、城市管理网格化、城市文明创建常态化，城市综合功能、文化综合实力、商贸中心等功能进一步增强，加快景观风貌提升，城区生态品质明显改善，中心城区承载力、引领带动作用不断增强，把武江城区建设成为韶关市环境最好、管理最优的中心城区。</w:t>
      </w:r>
    </w:p>
    <w:p>
      <w:pPr>
        <w:pageBreakBefore w:val="0"/>
        <w:widowControl w:val="0"/>
        <w:kinsoku/>
        <w:wordWrap/>
        <w:overflowPunct/>
        <w:topLinePunct w:val="0"/>
        <w:autoSpaceDE/>
        <w:autoSpaceDN/>
        <w:bidi w:val="0"/>
        <w:adjustRightInd/>
        <w:snapToGrid/>
        <w:spacing w:line="600" w:lineRule="exact"/>
        <w:ind w:firstLine="643"/>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城乡融合发展成为全省示范样板。</w:t>
      </w:r>
      <w:r>
        <w:rPr>
          <w:rFonts w:hint="eastAsia" w:ascii="仿宋_GB2312" w:hAnsi="仿宋_GB2312" w:eastAsia="仿宋_GB2312" w:cs="仿宋_GB2312"/>
          <w:sz w:val="32"/>
          <w:szCs w:val="32"/>
        </w:rPr>
        <w:t>全面推进乡村振兴并取得重大进展，城乡一体化发展格局基本形成，城乡基本公共服务均等化基本实现，城乡生产要素跨界流动渠道畅通。现代农业产业体系、生产体系与经营体系基本构建，工农互促、城乡互补、协调发展、共同繁荣的新型工农城乡关系基本形成。农村集体经济进一步壮大，城乡居民收入差距显著缩小。城乡融合发展省级试点任务取得战略性成果，城乡二元结构发生根本改变。</w:t>
      </w:r>
    </w:p>
    <w:p>
      <w:pPr>
        <w:pageBreakBefore w:val="0"/>
        <w:widowControl w:val="0"/>
        <w:kinsoku/>
        <w:wordWrap/>
        <w:overflowPunct/>
        <w:topLinePunct w:val="0"/>
        <w:autoSpaceDE/>
        <w:autoSpaceDN/>
        <w:bidi w:val="0"/>
        <w:adjustRightInd/>
        <w:snapToGrid/>
        <w:spacing w:line="600" w:lineRule="exact"/>
        <w:ind w:firstLine="643"/>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生态文明建设成效更加凸显。</w:t>
      </w:r>
      <w:r>
        <w:rPr>
          <w:rFonts w:hint="eastAsia" w:ascii="仿宋_GB2312" w:hAnsi="仿宋_GB2312" w:eastAsia="仿宋_GB2312" w:cs="仿宋_GB2312"/>
          <w:sz w:val="32"/>
          <w:szCs w:val="32"/>
        </w:rPr>
        <w:t>美丽中心城区国土空间格局初步构建，生产、生态、生活空间科学合理，绿色生产方式和生活方式加快形成，单位生产总值能耗、单位生产总值二氧化碳排放量、主要污染物排放量进一步降低，生态系统功能与生态环境质量全面提升，生态环境自我修复能力不断增强，生态保护和绿色发展取得更大成效。</w:t>
      </w:r>
    </w:p>
    <w:p>
      <w:pPr>
        <w:pageBreakBefore w:val="0"/>
        <w:widowControl w:val="0"/>
        <w:kinsoku/>
        <w:wordWrap/>
        <w:overflowPunct/>
        <w:topLinePunct w:val="0"/>
        <w:autoSpaceDE/>
        <w:autoSpaceDN/>
        <w:bidi w:val="0"/>
        <w:adjustRightInd/>
        <w:snapToGrid/>
        <w:spacing w:line="600" w:lineRule="exact"/>
        <w:ind w:firstLine="643"/>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人民生活更加幸福美好。</w:t>
      </w:r>
      <w:r>
        <w:rPr>
          <w:rFonts w:hint="eastAsia" w:ascii="仿宋_GB2312" w:hAnsi="仿宋_GB2312" w:eastAsia="仿宋_GB2312" w:cs="仿宋_GB2312"/>
          <w:sz w:val="32"/>
          <w:szCs w:val="32"/>
        </w:rPr>
        <w:t>城乡居民收入增长和经济增长基本同步，高水平的基本公共服务体系基本建立，优质公共服务设施城乡区域分布更加均衡，城乡宜居环境显著改善，公民素质进一步提高，社会保障体系逐步健全，群众生活更加殷实安康。</w:t>
      </w:r>
    </w:p>
    <w:p>
      <w:pPr>
        <w:pageBreakBefore w:val="0"/>
        <w:widowControl w:val="0"/>
        <w:kinsoku/>
        <w:wordWrap/>
        <w:overflowPunct/>
        <w:topLinePunct w:val="0"/>
        <w:autoSpaceDE/>
        <w:autoSpaceDN/>
        <w:bidi w:val="0"/>
        <w:adjustRightInd/>
        <w:snapToGrid/>
        <w:spacing w:line="600" w:lineRule="exact"/>
        <w:ind w:firstLine="643"/>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社会治理效能更加优化。</w:t>
      </w:r>
      <w:r>
        <w:rPr>
          <w:rFonts w:hint="eastAsia" w:ascii="仿宋_GB2312" w:hAnsi="仿宋_GB2312" w:eastAsia="仿宋_GB2312" w:cs="仿宋_GB2312"/>
          <w:sz w:val="32"/>
          <w:szCs w:val="32"/>
        </w:rPr>
        <w:t>加快推进市域社会治理现代化，社会治理各方面制度不断健全，社会治理体系更加完善。数字政府全面建成，智慧城市建设成效明显。社会主义民主法治更加健全，反恐怖斗争和禁毒专项斗争扎实有效开展。食品药品质量安全监管体系更加健全，突发公共事件应急能力显著增强，“三防”工作责任全面落实，社会大局更加和谐稳定，基本形成共建共治共享的社会治理格局。</w:t>
      </w:r>
    </w:p>
    <w:p>
      <w:pPr>
        <w:pStyle w:val="3"/>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rPr>
      </w:pPr>
      <w:bookmarkStart w:id="54" w:name="_Toc27873"/>
      <w:bookmarkStart w:id="55" w:name="_Toc5752"/>
      <w:bookmarkStart w:id="56" w:name="_Toc6219"/>
      <w:bookmarkStart w:id="57" w:name="_Toc4840"/>
      <w:bookmarkStart w:id="58" w:name="_Toc2378"/>
      <w:bookmarkStart w:id="59" w:name="_Toc17161"/>
      <w:bookmarkStart w:id="60" w:name="_Toc32343"/>
      <w:bookmarkStart w:id="61" w:name="_Toc6290"/>
      <w:r>
        <w:rPr>
          <w:rFonts w:hint="eastAsia" w:ascii="黑体" w:hAnsi="黑体" w:eastAsia="黑体" w:cs="黑体"/>
          <w:sz w:val="32"/>
          <w:szCs w:val="32"/>
        </w:rPr>
        <w:t xml:space="preserve">第三章  </w:t>
      </w:r>
      <w:bookmarkEnd w:id="54"/>
      <w:r>
        <w:rPr>
          <w:rFonts w:hint="eastAsia" w:ascii="黑体" w:hAnsi="黑体" w:eastAsia="黑体" w:cs="黑体"/>
          <w:spacing w:val="-11"/>
          <w:sz w:val="32"/>
          <w:szCs w:val="32"/>
        </w:rPr>
        <w:t>主动对接“双区”建设，加快构建现代产业发展新动能</w:t>
      </w:r>
      <w:bookmarkEnd w:id="55"/>
      <w:bookmarkEnd w:id="56"/>
      <w:bookmarkEnd w:id="57"/>
      <w:bookmarkEnd w:id="58"/>
      <w:bookmarkEnd w:id="59"/>
      <w:bookmarkEnd w:id="60"/>
      <w:bookmarkEnd w:id="61"/>
    </w:p>
    <w:p>
      <w:pPr>
        <w:pageBreakBefore w:val="0"/>
        <w:widowControl w:val="0"/>
        <w:kinsoku/>
        <w:wordWrap/>
        <w:overflowPunct/>
        <w:topLinePunct w:val="0"/>
        <w:autoSpaceDE/>
        <w:autoSpaceDN/>
        <w:bidi w:val="0"/>
        <w:adjustRightInd/>
        <w:snapToGrid/>
        <w:spacing w:line="600" w:lineRule="exact"/>
        <w:ind w:firstLine="560"/>
        <w:textAlignment w:val="auto"/>
        <w:rPr>
          <w:rFonts w:ascii="Times New Roman" w:hAnsi="Times New Roman" w:eastAsia="仿宋_GB2312" w:cs="Times New Roman"/>
          <w:sz w:val="32"/>
          <w:szCs w:val="32"/>
        </w:rPr>
      </w:pPr>
    </w:p>
    <w:p>
      <w:pPr>
        <w:pageBreakBefore w:val="0"/>
        <w:widowControl w:val="0"/>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力发展需要山水而不污染山水的产业，全力推进产业生态化、生态产业化，塑造绿色发展新优势。加快推进武江产业平台建设，主动对接“双区”，打造创新发展新引擎。提升科技创新能力，构建现代产业发展体系，打造生态经济发展新标杆，推动经济高质量发展。</w:t>
      </w:r>
    </w:p>
    <w:p>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jc w:val="center"/>
        <w:textAlignment w:val="auto"/>
        <w:rPr>
          <w:rFonts w:ascii="Times New Roman" w:hAnsi="Times New Roman" w:cs="Times New Roman"/>
          <w:sz w:val="32"/>
          <w:szCs w:val="32"/>
        </w:rPr>
      </w:pPr>
      <w:bookmarkStart w:id="62" w:name="_Toc31766"/>
      <w:bookmarkStart w:id="63" w:name="_Toc14700"/>
      <w:bookmarkStart w:id="64" w:name="_Toc25321"/>
      <w:bookmarkStart w:id="65" w:name="_Toc18543"/>
      <w:bookmarkStart w:id="66" w:name="_Toc29126"/>
      <w:bookmarkStart w:id="67" w:name="_Toc2464"/>
      <w:bookmarkStart w:id="68" w:name="_Toc6562"/>
      <w:r>
        <w:rPr>
          <w:rFonts w:hint="eastAsia" w:ascii="Times New Roman" w:hAnsi="Times New Roman" w:cs="Times New Roman"/>
          <w:sz w:val="32"/>
          <w:szCs w:val="32"/>
          <w:lang w:eastAsia="zh-CN"/>
        </w:rPr>
        <w:t>第一节</w:t>
      </w:r>
      <w:r>
        <w:rPr>
          <w:rFonts w:hint="eastAsia" w:ascii="Times New Roman" w:hAnsi="Times New Roman" w:cs="Times New Roman"/>
          <w:sz w:val="32"/>
          <w:szCs w:val="32"/>
          <w:lang w:val="en-US" w:eastAsia="zh-CN"/>
        </w:rPr>
        <w:t xml:space="preserve">  </w:t>
      </w:r>
      <w:r>
        <w:rPr>
          <w:rFonts w:ascii="Times New Roman" w:hAnsi="Times New Roman" w:cs="Times New Roman"/>
          <w:sz w:val="32"/>
          <w:szCs w:val="32"/>
        </w:rPr>
        <w:t>打造创新发展新引擎</w:t>
      </w:r>
      <w:bookmarkEnd w:id="62"/>
      <w:bookmarkEnd w:id="63"/>
      <w:bookmarkEnd w:id="64"/>
      <w:bookmarkEnd w:id="65"/>
      <w:bookmarkEnd w:id="66"/>
      <w:bookmarkEnd w:id="67"/>
      <w:bookmarkEnd w:id="68"/>
    </w:p>
    <w:p>
      <w:pPr>
        <w:pageBreakBefore w:val="0"/>
        <w:widowControl w:val="0"/>
        <w:kinsoku/>
        <w:wordWrap/>
        <w:overflowPunct/>
        <w:topLinePunct w:val="0"/>
        <w:autoSpaceDE/>
        <w:autoSpaceDN/>
        <w:bidi w:val="0"/>
        <w:adjustRightInd/>
        <w:snapToGrid/>
        <w:spacing w:line="600" w:lineRule="exact"/>
        <w:ind w:firstLine="0" w:firstLineChars="0"/>
        <w:textAlignment w:val="auto"/>
        <w:rPr>
          <w:sz w:val="32"/>
          <w:szCs w:val="32"/>
        </w:rPr>
      </w:pPr>
    </w:p>
    <w:p>
      <w:pPr>
        <w:pageBreakBefore w:val="0"/>
        <w:widowControl w:val="0"/>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u w:val="none"/>
          <w:lang w:eastAsia="zh-CN"/>
        </w:rPr>
        <w:t>建立科学精干的园区管理体系，</w:t>
      </w:r>
      <w:r>
        <w:rPr>
          <w:rFonts w:hint="eastAsia" w:ascii="仿宋_GB2312" w:hAnsi="仿宋_GB2312" w:eastAsia="仿宋_GB2312" w:cs="仿宋_GB2312"/>
          <w:sz w:val="32"/>
          <w:szCs w:val="32"/>
        </w:rPr>
        <w:t>高起点、高标准推进武江科创园、武江城乡融合产业园、武江现代农业产业园三大园区建设，着力构建支撑实体经济创新发展的新引擎新平台，打造对接“双区”建设的新高地。</w:t>
      </w:r>
    </w:p>
    <w:p>
      <w:pPr>
        <w:pStyle w:val="33"/>
        <w:pageBreakBefore w:val="0"/>
        <w:widowControl w:val="0"/>
        <w:kinsoku/>
        <w:wordWrap/>
        <w:overflowPunct/>
        <w:topLinePunct w:val="0"/>
        <w:autoSpaceDE/>
        <w:autoSpaceDN/>
        <w:bidi w:val="0"/>
        <w:adjustRightInd/>
        <w:snapToGrid/>
        <w:spacing w:line="600" w:lineRule="exact"/>
        <w:ind w:firstLine="56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加快建设武江科创园。</w:t>
      </w:r>
      <w:r>
        <w:rPr>
          <w:rFonts w:hint="eastAsia" w:ascii="仿宋_GB2312" w:hAnsi="仿宋_GB2312" w:eastAsia="仿宋_GB2312" w:cs="仿宋_GB2312"/>
          <w:sz w:val="32"/>
          <w:szCs w:val="32"/>
        </w:rPr>
        <w:t>把武江科创园打造成“双区”创新资源外溢的首选地。重点围绕医药健康、智能装备等领域，引进一批高新技术企业和高成长性企业，打造集科技研发、产业转化、生产制造于一体的创新创业链条。推动其创建国家级科技孵化器、加速器、众创空间，构建“创业苗圃—孵化器—加速器—科技园”全链条孵化育成体系，打造成创新驱动新引擎，带动韶关大道北片区发展。支持其建设成为全市产业、科技与金融资本融合发展平台，拓展中小企业融资渠道，增强金融服务实体经济能力。建立产业发展基金，优化园区创新环境，吸引科技创新企业落户我区。多元化发展园区业态，大力发展总部经济、商贸会展、商务咨询、专业服务等高端商务服务业，打造促进产业升级的空间载体。加快完善武江科创园展览中心、科创</w:t>
      </w:r>
      <w:r>
        <w:rPr>
          <w:rFonts w:hint="eastAsia" w:ascii="仿宋_GB2312" w:hAnsi="仿宋_GB2312" w:eastAsia="仿宋_GB2312" w:cs="仿宋_GB2312"/>
          <w:sz w:val="32"/>
          <w:szCs w:val="32"/>
          <w:lang w:eastAsia="zh-CN"/>
        </w:rPr>
        <w:t>园</w:t>
      </w:r>
      <w:r>
        <w:rPr>
          <w:rFonts w:hint="eastAsia" w:ascii="仿宋_GB2312" w:hAnsi="仿宋_GB2312" w:eastAsia="仿宋_GB2312" w:cs="仿宋_GB2312"/>
          <w:sz w:val="32"/>
          <w:szCs w:val="32"/>
        </w:rPr>
        <w:t>办公区等配套服务设施，为不同成长期的企业提供办公、研发、展示、交流、孵化等多样化科创服务。在科创园率先进行5G应用，打造智慧园区。</w:t>
      </w:r>
    </w:p>
    <w:p>
      <w:pPr>
        <w:pageBreakBefore w:val="0"/>
        <w:widowControl w:val="0"/>
        <w:kinsoku/>
        <w:wordWrap/>
        <w:overflowPunct/>
        <w:topLinePunct w:val="0"/>
        <w:autoSpaceDE/>
        <w:autoSpaceDN/>
        <w:bidi w:val="0"/>
        <w:adjustRightInd/>
        <w:snapToGrid/>
        <w:spacing w:line="600" w:lineRule="exact"/>
        <w:ind w:firstLine="56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加快建设武江城乡融合产业园。</w:t>
      </w:r>
      <w:r>
        <w:rPr>
          <w:rFonts w:hint="eastAsia" w:ascii="仿宋_GB2312" w:hAnsi="仿宋_GB2312" w:eastAsia="仿宋_GB2312" w:cs="仿宋_GB2312"/>
          <w:sz w:val="32"/>
          <w:szCs w:val="32"/>
        </w:rPr>
        <w:t>把武江城乡融合产业园打造成“双区”制造业创新发展重要承载地。以理念创新为先导，以规划创新为引领，统筹考虑园区定位、产业规划、空间规划、基础设施建设等，推动扩园修编工作，加快园区建成运营。依托韶关装备制造基础，积极引入智慧农林装备等相关“链主”企业，以“强链、延链、补链”为重点，引导产业向园区集中集聚集约发展，切实提高产业规模优势和配套能力，建设服务全省、全市乃至全国农业林业发展需要的智慧农林装备制造基地，积极申报创建“国家林草（韶关）智能装备示范园”。推动园区与韶关新区实现产业互补、协同发展。高标准推进园区基础设施建设，适度超前加快道路、供水、排水、污水、供电、通信、消防等设施建设。逐步完善公共服务配套设施，利用好周边连片水资源进行环境提升，打造山水相映、城乡一体、“生态、生产、生活”相统一的融合园区。到“十四五”期末，培育骨干企业5家左右，</w:t>
      </w:r>
      <w:r>
        <w:rPr>
          <w:rFonts w:hint="eastAsia" w:ascii="仿宋_GB2312" w:hAnsi="仿宋_GB2312" w:eastAsia="仿宋_GB2312" w:cs="仿宋_GB2312"/>
          <w:sz w:val="32"/>
          <w:szCs w:val="32"/>
          <w:lang w:eastAsia="zh-CN"/>
        </w:rPr>
        <w:t>园区</w:t>
      </w:r>
      <w:r>
        <w:rPr>
          <w:rFonts w:hint="eastAsia" w:ascii="仿宋_GB2312" w:hAnsi="仿宋_GB2312" w:eastAsia="仿宋_GB2312" w:cs="仿宋_GB2312"/>
          <w:sz w:val="32"/>
          <w:szCs w:val="32"/>
        </w:rPr>
        <w:t>工业增加值达10亿元以上。</w:t>
      </w:r>
    </w:p>
    <w:p>
      <w:pPr>
        <w:pageBreakBefore w:val="0"/>
        <w:widowControl w:val="0"/>
        <w:kinsoku/>
        <w:wordWrap/>
        <w:overflowPunct/>
        <w:topLinePunct w:val="0"/>
        <w:autoSpaceDE/>
        <w:autoSpaceDN/>
        <w:bidi w:val="0"/>
        <w:adjustRightInd/>
        <w:snapToGrid/>
        <w:spacing w:line="600" w:lineRule="exact"/>
        <w:ind w:firstLine="56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加快建设现代农业产业园。</w:t>
      </w:r>
      <w:r>
        <w:rPr>
          <w:rFonts w:hint="eastAsia" w:ascii="仿宋_GB2312" w:hAnsi="仿宋_GB2312" w:eastAsia="仿宋_GB2312" w:cs="仿宋_GB2312"/>
          <w:sz w:val="32"/>
          <w:szCs w:val="32"/>
        </w:rPr>
        <w:t>把武江现代农业产业园打造成“双区”绿色优质农产品最优供给地。扎实有序推进现代农业产业园建设，推进基础设施项目建设，尽快完成园区“三通一平”。按照专业化、基地化、标准化的要求，通过“政府+龙头企业+科研院所”园区建设模式，加快引进大型农产品生产加工企业，带动全区发展无公害食品、绿色食品和有机食品。发挥园区辐射带动与引领示范作用，大力发展设施农业、数字农业、休闲农业等新业态，推动百香果等农产品规模化种植，提升生态农业设施化、品牌化、数字化水平。发展农产品精深加工、仓储冷链物流、电子商务等配套产业，推动农业与制造业、服务业等二三产业融合发展，争取纳入省级现代农业产业园。</w:t>
      </w:r>
      <w:bookmarkStart w:id="69" w:name="_Toc23673"/>
    </w:p>
    <w:p>
      <w:pPr>
        <w:pStyle w:val="2"/>
        <w:ind w:left="0" w:leftChars="0" w:firstLine="0" w:firstLineChars="0"/>
      </w:pPr>
    </w:p>
    <w:p>
      <w:pPr>
        <w:pStyle w:val="4"/>
        <w:pageBreakBefore w:val="0"/>
        <w:widowControl w:val="0"/>
        <w:kinsoku/>
        <w:wordWrap/>
        <w:overflowPunct/>
        <w:topLinePunct w:val="0"/>
        <w:autoSpaceDE/>
        <w:autoSpaceDN/>
        <w:bidi w:val="0"/>
        <w:adjustRightInd/>
        <w:snapToGrid/>
        <w:spacing w:line="600" w:lineRule="exact"/>
        <w:textAlignment w:val="auto"/>
        <w:rPr>
          <w:sz w:val="32"/>
          <w:szCs w:val="32"/>
        </w:rPr>
      </w:pPr>
      <w:bookmarkStart w:id="70" w:name="_Toc9146"/>
      <w:bookmarkStart w:id="71" w:name="_Toc13999"/>
      <w:bookmarkStart w:id="72" w:name="_Toc5433"/>
      <w:bookmarkStart w:id="73" w:name="_Toc2013"/>
      <w:bookmarkStart w:id="74" w:name="_Toc11838"/>
      <w:bookmarkStart w:id="75" w:name="_Toc2357"/>
      <w:bookmarkStart w:id="76" w:name="_Toc5321"/>
      <w:r>
        <w:rPr>
          <w:sz w:val="32"/>
          <w:szCs w:val="32"/>
        </w:rPr>
        <w:t>第二节  提升招商引资效能</w:t>
      </w:r>
      <w:bookmarkEnd w:id="70"/>
      <w:bookmarkEnd w:id="71"/>
      <w:bookmarkEnd w:id="72"/>
      <w:bookmarkEnd w:id="73"/>
      <w:bookmarkEnd w:id="74"/>
      <w:bookmarkEnd w:id="75"/>
      <w:bookmarkEnd w:id="76"/>
    </w:p>
    <w:p>
      <w:pPr>
        <w:pStyle w:val="33"/>
        <w:pageBreakBefore w:val="0"/>
        <w:widowControl w:val="0"/>
        <w:kinsoku/>
        <w:wordWrap/>
        <w:overflowPunct/>
        <w:topLinePunct w:val="0"/>
        <w:autoSpaceDE/>
        <w:autoSpaceDN/>
        <w:bidi w:val="0"/>
        <w:adjustRightInd/>
        <w:snapToGrid/>
        <w:spacing w:line="600" w:lineRule="exact"/>
        <w:ind w:firstLine="480"/>
        <w:textAlignment w:val="auto"/>
        <w:rPr>
          <w:sz w:val="32"/>
          <w:szCs w:val="32"/>
        </w:rPr>
      </w:pPr>
    </w:p>
    <w:p>
      <w:pPr>
        <w:pageBreakBefore w:val="0"/>
        <w:widowControl w:val="0"/>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围绕三大园区产业定位开展精准招商，</w:t>
      </w:r>
      <w:r>
        <w:rPr>
          <w:rFonts w:hint="eastAsia" w:ascii="仿宋_GB2312" w:hAnsi="仿宋_GB2312" w:eastAsia="仿宋_GB2312" w:cs="仿宋_GB2312"/>
          <w:sz w:val="32"/>
          <w:szCs w:val="32"/>
          <w:lang w:eastAsia="zh-CN"/>
        </w:rPr>
        <w:t>坚持“大招商、招大商、招好商”，</w:t>
      </w:r>
      <w:r>
        <w:rPr>
          <w:rFonts w:hint="eastAsia" w:ascii="仿宋_GB2312" w:hAnsi="仿宋_GB2312" w:eastAsia="仿宋_GB2312" w:cs="仿宋_GB2312"/>
          <w:sz w:val="32"/>
          <w:szCs w:val="32"/>
        </w:rPr>
        <w:t>紧紧把握粤港澳大湾区和深圳中国特色社会主义先行示范区建设契机，主动承接“双区”建设带来的产业转移。</w:t>
      </w:r>
    </w:p>
    <w:p>
      <w:pPr>
        <w:pageBreakBefore w:val="0"/>
        <w:widowControl w:val="0"/>
        <w:kinsoku/>
        <w:wordWrap/>
        <w:overflowPunct/>
        <w:topLinePunct w:val="0"/>
        <w:autoSpaceDE/>
        <w:autoSpaceDN/>
        <w:bidi w:val="0"/>
        <w:adjustRightInd/>
        <w:snapToGrid/>
        <w:spacing w:line="600" w:lineRule="exact"/>
        <w:ind w:firstLine="643"/>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优化招商引资机制。</w:t>
      </w:r>
      <w:r>
        <w:rPr>
          <w:rFonts w:hint="eastAsia" w:ascii="仿宋_GB2312" w:hAnsi="仿宋_GB2312" w:eastAsia="仿宋_GB2312" w:cs="仿宋_GB2312"/>
          <w:sz w:val="32"/>
          <w:szCs w:val="32"/>
        </w:rPr>
        <w:t>把招商引资工作作为经济发展首要任务和“一把手”工程，完善招商组织架构和工作机制，选优配强招商干部队伍，完善招商引资考核激励体系。推行一个企业一个“三人组”优质服务模式，强化对签约项目的跟进落地和扶持培育，提供管家式服务，最大限度减少项目落地手续办理时间。开展经常性招商和研判，围绕经济发展平台产业定位精准招商，改变撒网式招商方式。完善招商引资优惠政策，着力构建亲清新型政商关系。在招商工作中同步对接金融机构，为企业融资提供资讯。</w:t>
      </w:r>
    </w:p>
    <w:p>
      <w:pPr>
        <w:pageBreakBefore w:val="0"/>
        <w:widowControl w:val="0"/>
        <w:kinsoku/>
        <w:wordWrap/>
        <w:overflowPunct/>
        <w:topLinePunct w:val="0"/>
        <w:autoSpaceDE/>
        <w:autoSpaceDN/>
        <w:bidi w:val="0"/>
        <w:adjustRightInd/>
        <w:snapToGrid/>
        <w:spacing w:line="600" w:lineRule="exact"/>
        <w:ind w:firstLine="643"/>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bCs/>
          <w:sz w:val="32"/>
          <w:szCs w:val="32"/>
        </w:rPr>
        <w:t>着力开展链式招商。</w:t>
      </w:r>
      <w:r>
        <w:rPr>
          <w:rFonts w:hint="eastAsia" w:ascii="仿宋_GB2312" w:hAnsi="仿宋_GB2312" w:eastAsia="仿宋_GB2312" w:cs="仿宋_GB2312"/>
          <w:b w:val="0"/>
          <w:sz w:val="32"/>
          <w:szCs w:val="32"/>
        </w:rPr>
        <w:t>加强与专业招商机构合作，引进产业平台运营商。武江科创园围绕医药健康等领域</w:t>
      </w:r>
      <w:r>
        <w:rPr>
          <w:rFonts w:hint="eastAsia" w:ascii="仿宋_GB2312" w:hAnsi="仿宋_GB2312" w:eastAsia="仿宋_GB2312" w:cs="仿宋_GB2312"/>
          <w:b w:val="0"/>
          <w:sz w:val="32"/>
          <w:szCs w:val="32"/>
          <w:lang w:eastAsia="zh-CN"/>
        </w:rPr>
        <w:t>、</w:t>
      </w:r>
      <w:r>
        <w:rPr>
          <w:rFonts w:hint="eastAsia" w:ascii="仿宋_GB2312" w:hAnsi="仿宋_GB2312" w:eastAsia="仿宋_GB2312" w:cs="仿宋_GB2312"/>
          <w:b w:val="0"/>
          <w:sz w:val="32"/>
          <w:szCs w:val="32"/>
        </w:rPr>
        <w:t>武江城乡融合产业园围绕智慧农林装备制造等领域</w:t>
      </w:r>
      <w:r>
        <w:rPr>
          <w:rFonts w:hint="eastAsia" w:ascii="仿宋_GB2312" w:hAnsi="仿宋_GB2312" w:eastAsia="仿宋_GB2312" w:cs="仿宋_GB2312"/>
          <w:b w:val="0"/>
          <w:sz w:val="32"/>
          <w:szCs w:val="32"/>
          <w:lang w:eastAsia="zh-CN"/>
        </w:rPr>
        <w:t>、</w:t>
      </w:r>
      <w:r>
        <w:rPr>
          <w:rFonts w:hint="eastAsia" w:ascii="仿宋_GB2312" w:hAnsi="仿宋_GB2312" w:eastAsia="仿宋_GB2312" w:cs="仿宋_GB2312"/>
          <w:b w:val="0"/>
          <w:sz w:val="32"/>
          <w:szCs w:val="32"/>
        </w:rPr>
        <w:t>武江现代农业产业园围绕农产品精深加工等领域，</w:t>
      </w:r>
      <w:r>
        <w:rPr>
          <w:rFonts w:hint="eastAsia" w:ascii="仿宋_GB2312" w:hAnsi="仿宋_GB2312" w:eastAsia="仿宋_GB2312" w:cs="仿宋_GB2312"/>
          <w:color w:val="auto"/>
          <w:kern w:val="32"/>
          <w:sz w:val="32"/>
          <w:szCs w:val="32"/>
        </w:rPr>
        <w:t>广泛开展“云招商”“点对点”“小分队”招商，</w:t>
      </w:r>
      <w:r>
        <w:rPr>
          <w:rFonts w:hint="eastAsia" w:ascii="仿宋_GB2312" w:hAnsi="仿宋_GB2312" w:eastAsia="仿宋_GB2312" w:cs="仿宋_GB2312"/>
          <w:b w:val="0"/>
          <w:sz w:val="32"/>
          <w:szCs w:val="32"/>
        </w:rPr>
        <w:t>招引、培育、壮大“链主”企业，加大建链、强链、补链、延链力度，提升产业链上下游、产供销配套能力，每个园区实现“招引一批项目、培育一个龙头、形成一个产业、打造一个</w:t>
      </w:r>
      <w:r>
        <w:rPr>
          <w:rFonts w:hint="eastAsia" w:ascii="仿宋_GB2312" w:hAnsi="仿宋_GB2312" w:eastAsia="仿宋_GB2312" w:cs="仿宋_GB2312"/>
          <w:b w:val="0"/>
          <w:sz w:val="32"/>
          <w:szCs w:val="32"/>
          <w:lang w:eastAsia="zh-CN"/>
        </w:rPr>
        <w:t>产业聚集区</w:t>
      </w:r>
      <w:r>
        <w:rPr>
          <w:rFonts w:hint="eastAsia" w:ascii="仿宋_GB2312" w:hAnsi="仿宋_GB2312" w:eastAsia="仿宋_GB2312" w:cs="仿宋_GB2312"/>
          <w:b w:val="0"/>
          <w:sz w:val="32"/>
          <w:szCs w:val="32"/>
        </w:rPr>
        <w:t>”的目标。充分发挥天紫路演中心作用，加大招商推介力度，以商招商加快产业集聚。重视招才引智，积极引进先进技术、管理经验和智力资源。</w:t>
      </w:r>
    </w:p>
    <w:p>
      <w:pPr>
        <w:pageBreakBefore w:val="0"/>
        <w:widowControl w:val="0"/>
        <w:kinsoku/>
        <w:wordWrap/>
        <w:overflowPunct/>
        <w:topLinePunct w:val="0"/>
        <w:autoSpaceDE/>
        <w:autoSpaceDN/>
        <w:bidi w:val="0"/>
        <w:adjustRightInd/>
        <w:snapToGrid/>
        <w:spacing w:line="600" w:lineRule="exact"/>
        <w:ind w:firstLine="560"/>
        <w:textAlignment w:val="auto"/>
        <w:rPr>
          <w:rFonts w:ascii="Times New Roman" w:hAnsi="Times New Roman" w:cs="Times New Roman"/>
          <w:sz w:val="32"/>
          <w:szCs w:val="32"/>
        </w:rPr>
      </w:pPr>
    </w:p>
    <w:p>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ascii="Times New Roman" w:hAnsi="Times New Roman" w:cs="Times New Roman"/>
          <w:sz w:val="32"/>
          <w:szCs w:val="32"/>
        </w:rPr>
      </w:pPr>
      <w:bookmarkStart w:id="77" w:name="_Toc22415"/>
      <w:bookmarkStart w:id="78" w:name="_Toc24103"/>
      <w:bookmarkStart w:id="79" w:name="_Toc20282"/>
      <w:bookmarkStart w:id="80" w:name="_Toc32155"/>
      <w:bookmarkStart w:id="81" w:name="_Toc8127"/>
      <w:bookmarkStart w:id="82" w:name="_Toc2757"/>
      <w:bookmarkStart w:id="83" w:name="_Toc10837"/>
      <w:r>
        <w:rPr>
          <w:rFonts w:hint="eastAsia" w:ascii="Times New Roman" w:hAnsi="Times New Roman" w:cs="Times New Roman"/>
          <w:sz w:val="32"/>
          <w:szCs w:val="32"/>
          <w:lang w:eastAsia="zh-CN"/>
        </w:rPr>
        <w:t>第三节</w:t>
      </w:r>
      <w:r>
        <w:rPr>
          <w:rFonts w:hint="eastAsia" w:ascii="Times New Roman" w:hAnsi="Times New Roman" w:cs="Times New Roman"/>
          <w:sz w:val="32"/>
          <w:szCs w:val="32"/>
          <w:lang w:val="en-US" w:eastAsia="zh-CN"/>
        </w:rPr>
        <w:t xml:space="preserve"> </w:t>
      </w:r>
      <w:r>
        <w:rPr>
          <w:rFonts w:ascii="Times New Roman" w:hAnsi="Times New Roman" w:cs="Times New Roman"/>
          <w:sz w:val="32"/>
          <w:szCs w:val="32"/>
        </w:rPr>
        <w:t xml:space="preserve"> 深入推进产业提质升级</w:t>
      </w:r>
      <w:bookmarkEnd w:id="77"/>
      <w:bookmarkEnd w:id="78"/>
      <w:bookmarkEnd w:id="79"/>
      <w:bookmarkEnd w:id="80"/>
      <w:bookmarkEnd w:id="81"/>
      <w:bookmarkEnd w:id="82"/>
      <w:bookmarkEnd w:id="83"/>
    </w:p>
    <w:p>
      <w:pPr>
        <w:pageBreakBefore w:val="0"/>
        <w:widowControl w:val="0"/>
        <w:kinsoku/>
        <w:wordWrap/>
        <w:overflowPunct/>
        <w:topLinePunct w:val="0"/>
        <w:autoSpaceDE/>
        <w:autoSpaceDN/>
        <w:bidi w:val="0"/>
        <w:adjustRightInd/>
        <w:snapToGrid/>
        <w:spacing w:line="600" w:lineRule="exact"/>
        <w:ind w:firstLine="640"/>
        <w:textAlignment w:val="auto"/>
        <w:rPr>
          <w:sz w:val="32"/>
          <w:szCs w:val="32"/>
        </w:rPr>
      </w:pPr>
    </w:p>
    <w:p>
      <w:pPr>
        <w:pageBreakBefore w:val="0"/>
        <w:widowControl w:val="0"/>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加快实施武江制造“提质工程”，支持传统产业开展技术迭代升级，推动互联网、大数据、人工智能等同各产业深度融合，加快形成新的经济增长点。</w:t>
      </w:r>
    </w:p>
    <w:p>
      <w:pPr>
        <w:pageBreakBefore w:val="0"/>
        <w:widowControl w:val="0"/>
        <w:kinsoku/>
        <w:wordWrap/>
        <w:overflowPunct/>
        <w:topLinePunct w:val="0"/>
        <w:autoSpaceDE/>
        <w:autoSpaceDN/>
        <w:bidi w:val="0"/>
        <w:adjustRightInd/>
        <w:snapToGrid/>
        <w:spacing w:line="600" w:lineRule="exact"/>
        <w:ind w:firstLine="56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培育发展战略性新兴产业。</w:t>
      </w:r>
      <w:r>
        <w:rPr>
          <w:rFonts w:hint="eastAsia" w:ascii="仿宋_GB2312" w:hAnsi="仿宋_GB2312" w:eastAsia="仿宋_GB2312" w:cs="仿宋_GB2312"/>
          <w:sz w:val="32"/>
          <w:szCs w:val="32"/>
        </w:rPr>
        <w:t>优化产业发展环境，鼓励和引导民营企业发展战略性新兴产业。突出抓好“大项目引进、大企业培育、大服务支撑”，引进和培育先进智能装备制造、生物医药、新一代信息技术、新材料等战略性新兴产业，加快形成新的经济增长点。积极承接大湾区生物医药制造环节产业转移，做大生物医药产业规模。引导上下游企业、人才、技术、资金等要素集聚，推动产业链集聚发展壮大。谋划重大支撑项目，实施动态管理。积极争取省、市重大新兴产业项目落户我区。</w:t>
      </w:r>
    </w:p>
    <w:p>
      <w:pPr>
        <w:pageBreakBefore w:val="0"/>
        <w:widowControl w:val="0"/>
        <w:kinsoku/>
        <w:wordWrap/>
        <w:overflowPunct/>
        <w:topLinePunct w:val="0"/>
        <w:autoSpaceDE/>
        <w:autoSpaceDN/>
        <w:bidi w:val="0"/>
        <w:adjustRightInd/>
        <w:snapToGrid/>
        <w:spacing w:line="600" w:lineRule="exact"/>
        <w:ind w:firstLine="56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提高企业科技创新能力。</w:t>
      </w:r>
      <w:r>
        <w:rPr>
          <w:rFonts w:hint="eastAsia" w:ascii="仿宋_GB2312" w:hAnsi="仿宋_GB2312" w:eastAsia="仿宋_GB2312" w:cs="仿宋_GB2312"/>
          <w:b w:val="0"/>
          <w:bCs w:val="0"/>
          <w:color w:val="000000" w:themeColor="text1"/>
          <w:sz w:val="32"/>
          <w:szCs w:val="32"/>
          <w:lang w:eastAsia="zh-CN"/>
        </w:rPr>
        <w:t>支持企业开展创新研发，鼓励产学研与成果转化，</w:t>
      </w:r>
      <w:r>
        <w:rPr>
          <w:rFonts w:hint="eastAsia" w:ascii="仿宋_GB2312" w:hAnsi="仿宋_GB2312" w:eastAsia="仿宋_GB2312" w:cs="仿宋_GB2312"/>
          <w:sz w:val="32"/>
          <w:szCs w:val="32"/>
        </w:rPr>
        <w:t>支持传统企业对产业链中的关键领域、薄弱环节和共性问题等进行整体技术改造，推广共性适用技术，促进企业增资扩产、提质增效。发挥重点企业引领作用，做优存量、做大增量，在金融、税收、产业配套等方面给予更多支持。鼓励工业企业加大科研经费、技术设备和人才等投入，支持关联企业协同创新，支持工业企业绿色化改造。政府、企业加强与科研院所、高校的沟通，利用科研院所、高校科研实力参与企业技术研发和产品开发。政府引导金融机构设计针对装备机械制造业小微优质企业的金融产品，解决其融资难、融资贵问题，助力具有技术创新能力、工匠精神的装备机械制造小微企业成长。</w:t>
      </w:r>
    </w:p>
    <w:p>
      <w:pPr>
        <w:pageBreakBefore w:val="0"/>
        <w:widowControl w:val="0"/>
        <w:kinsoku/>
        <w:wordWrap/>
        <w:overflowPunct/>
        <w:topLinePunct w:val="0"/>
        <w:autoSpaceDE/>
        <w:autoSpaceDN/>
        <w:bidi w:val="0"/>
        <w:adjustRightInd/>
        <w:snapToGrid/>
        <w:spacing w:line="600" w:lineRule="exact"/>
        <w:ind w:firstLine="56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促进民营经济健康发展。</w:t>
      </w:r>
      <w:r>
        <w:rPr>
          <w:rFonts w:hint="eastAsia" w:ascii="仿宋_GB2312" w:hAnsi="仿宋_GB2312" w:eastAsia="仿宋_GB2312" w:cs="仿宋_GB2312"/>
          <w:sz w:val="32"/>
          <w:szCs w:val="32"/>
        </w:rPr>
        <w:t>继续贯彻落实广东省“民营经济十条”，营造良好的民营企业发展环境。保障民营企业依法平等使用资源要素、公开公平公正参与竞争、同等受到法律保护。激发和保护企业家精神。鼓励中小企业加大科技投入，开发具有自主知识产权的高新技术产品，加快培育一批高新技术企业。鼓励有条件的民营企业加快建立现代化企业制度，支持民营企业参与重大科研攻关项目，鼓励民营企业转型升级优化重组。加强知识产权保护，尊重知识、尊重人才、尊重创造，鼓励企业开展所需人才定制培养，满足企业人才需求。</w:t>
      </w:r>
    </w:p>
    <w:p>
      <w:pPr>
        <w:pageBreakBefore w:val="0"/>
        <w:widowControl w:val="0"/>
        <w:kinsoku/>
        <w:wordWrap/>
        <w:overflowPunct/>
        <w:topLinePunct w:val="0"/>
        <w:autoSpaceDE/>
        <w:autoSpaceDN/>
        <w:bidi w:val="0"/>
        <w:adjustRightInd/>
        <w:snapToGrid/>
        <w:spacing w:line="600" w:lineRule="exact"/>
        <w:ind w:firstLine="56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积极培育发展数字经济。</w:t>
      </w:r>
      <w:r>
        <w:rPr>
          <w:rFonts w:hint="eastAsia" w:ascii="仿宋_GB2312" w:hAnsi="仿宋_GB2312" w:eastAsia="仿宋_GB2312" w:cs="仿宋_GB2312"/>
          <w:sz w:val="32"/>
          <w:szCs w:val="32"/>
        </w:rPr>
        <w:t>抢抓5G发展重要战略机遇，以“数字产业化和产业数字化”为主线，推进互联网、大数据、人工智能与传统制造业深度融合，推动传统制造业向高端化、智能化转变。实施制造业数字化转型升级行动计划，大力发展智能制造，推动建设智慧园区、智能工厂、数字化车间。积极引进省内外5G、大数据、人工智能、工业互联网、区块链、信息网络安全、信息技术应用创新等数字产业，培育数字经济新动能。充分发挥大数据强大的分析能力，加强大数据在商贸物流等服务业领域的应用，发展智慧服务业。</w:t>
      </w:r>
    </w:p>
    <w:p>
      <w:pPr>
        <w:pStyle w:val="4"/>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cs="Times New Roman"/>
          <w:sz w:val="32"/>
          <w:szCs w:val="32"/>
        </w:rPr>
      </w:pPr>
    </w:p>
    <w:p>
      <w:pPr>
        <w:pStyle w:val="4"/>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cs="Times New Roman"/>
          <w:sz w:val="32"/>
          <w:szCs w:val="32"/>
        </w:rPr>
      </w:pPr>
      <w:bookmarkStart w:id="84" w:name="_Toc22781"/>
      <w:bookmarkStart w:id="85" w:name="_Toc23241"/>
      <w:bookmarkStart w:id="86" w:name="_Toc25421"/>
      <w:bookmarkStart w:id="87" w:name="_Toc9460"/>
      <w:bookmarkStart w:id="88" w:name="_Toc24357"/>
      <w:bookmarkStart w:id="89" w:name="_Toc19340"/>
      <w:bookmarkStart w:id="90" w:name="_Toc16238"/>
      <w:r>
        <w:rPr>
          <w:rFonts w:ascii="Times New Roman" w:hAnsi="Times New Roman" w:cs="Times New Roman"/>
          <w:sz w:val="32"/>
          <w:szCs w:val="32"/>
        </w:rPr>
        <w:t>第四节  发展特色旅游服务业</w:t>
      </w:r>
      <w:bookmarkEnd w:id="84"/>
      <w:bookmarkEnd w:id="85"/>
      <w:bookmarkEnd w:id="86"/>
      <w:bookmarkEnd w:id="87"/>
      <w:bookmarkEnd w:id="88"/>
      <w:bookmarkEnd w:id="89"/>
      <w:bookmarkEnd w:id="90"/>
    </w:p>
    <w:p>
      <w:pPr>
        <w:pageBreakBefore w:val="0"/>
        <w:widowControl w:val="0"/>
        <w:kinsoku/>
        <w:wordWrap/>
        <w:overflowPunct/>
        <w:topLinePunct w:val="0"/>
        <w:autoSpaceDE/>
        <w:autoSpaceDN/>
        <w:bidi w:val="0"/>
        <w:adjustRightInd/>
        <w:snapToGrid/>
        <w:spacing w:line="600" w:lineRule="exact"/>
        <w:ind w:firstLine="640"/>
        <w:textAlignment w:val="auto"/>
        <w:rPr>
          <w:sz w:val="32"/>
          <w:szCs w:val="32"/>
        </w:rPr>
      </w:pPr>
    </w:p>
    <w:p>
      <w:pPr>
        <w:pageBreakBefore w:val="0"/>
        <w:widowControl w:val="0"/>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推进全域旅游发展，加强中心城区服务配套建设，重点发展乡村旅游、生态文化旅游、红色旅游等现代旅游，打造韶关全域旅游集散中心。</w:t>
      </w:r>
    </w:p>
    <w:p>
      <w:pPr>
        <w:pageBreakBefore w:val="0"/>
        <w:widowControl w:val="0"/>
        <w:kinsoku/>
        <w:wordWrap/>
        <w:overflowPunct/>
        <w:topLinePunct w:val="0"/>
        <w:autoSpaceDE/>
        <w:autoSpaceDN/>
        <w:bidi w:val="0"/>
        <w:adjustRightInd/>
        <w:snapToGrid/>
        <w:spacing w:line="600" w:lineRule="exact"/>
        <w:ind w:firstLine="56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提升特色旅游服务能力。</w:t>
      </w:r>
      <w:r>
        <w:rPr>
          <w:rFonts w:hint="eastAsia" w:ascii="仿宋_GB2312" w:hAnsi="仿宋_GB2312" w:eastAsia="仿宋_GB2312" w:cs="仿宋_GB2312"/>
          <w:color w:val="auto"/>
          <w:sz w:val="32"/>
          <w:szCs w:val="32"/>
        </w:rPr>
        <w:t>加快推进旅游服务业质量提升，在“十四五”期间，力争打造1-2个A级以上旅游景区景点，实现景区景点“零”突破。高水平规划建设一批星级酒店，提升摩尔城假日酒店、</w:t>
      </w:r>
      <w:r>
        <w:rPr>
          <w:rFonts w:hint="eastAsia" w:ascii="仿宋_GB2312" w:hAnsi="仿宋_GB2312" w:eastAsia="仿宋_GB2312" w:cs="仿宋_GB2312"/>
          <w:color w:val="auto"/>
          <w:sz w:val="32"/>
          <w:szCs w:val="32"/>
          <w:highlight w:val="none"/>
        </w:rPr>
        <w:t>汇展</w:t>
      </w:r>
      <w:r>
        <w:rPr>
          <w:rFonts w:hint="eastAsia" w:ascii="仿宋_GB2312" w:hAnsi="仿宋_GB2312" w:eastAsia="仿宋_GB2312" w:cs="仿宋_GB2312"/>
          <w:color w:val="auto"/>
          <w:sz w:val="32"/>
          <w:szCs w:val="32"/>
        </w:rPr>
        <w:t>酒店、曼哈顿酒店、倚山酒店等服务接待质量和竞争力，支持特色民宿业发展。主动引导餐饮企业有序集聚，积极开展城景通、景景通旅游客运服务、旅游汽车租赁服务，让游客</w:t>
      </w:r>
      <w:r>
        <w:rPr>
          <w:rFonts w:hint="eastAsia" w:ascii="仿宋_GB2312" w:hAnsi="仿宋_GB2312" w:eastAsia="仿宋_GB2312" w:cs="仿宋_GB2312"/>
          <w:color w:val="auto"/>
          <w:sz w:val="32"/>
          <w:szCs w:val="32"/>
          <w:highlight w:val="none"/>
        </w:rPr>
        <w:t>住的舒心</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highlight w:val="none"/>
        </w:rPr>
        <w:t>吃的放心</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highlight w:val="none"/>
        </w:rPr>
        <w:t>游的顺心</w:t>
      </w:r>
      <w:r>
        <w:rPr>
          <w:rFonts w:hint="eastAsia" w:ascii="仿宋_GB2312" w:hAnsi="仿宋_GB2312" w:eastAsia="仿宋_GB2312" w:cs="仿宋_GB2312"/>
          <w:color w:val="auto"/>
          <w:sz w:val="32"/>
          <w:szCs w:val="32"/>
        </w:rPr>
        <w:t>。促进全区特色旅游服务业转型升级、提质增效，向全域旅游发展模式转变。</w:t>
      </w:r>
    </w:p>
    <w:p>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着力</w:t>
      </w:r>
      <w:r>
        <w:rPr>
          <w:rFonts w:hint="eastAsia" w:ascii="仿宋_GB2312" w:hAnsi="仿宋_GB2312" w:eastAsia="仿宋_GB2312" w:cs="仿宋_GB2312"/>
          <w:b/>
          <w:bCs/>
          <w:sz w:val="32"/>
          <w:szCs w:val="32"/>
        </w:rPr>
        <w:t>发展乡村旅游</w:t>
      </w:r>
      <w:r>
        <w:rPr>
          <w:rFonts w:hint="eastAsia" w:ascii="仿宋_GB2312" w:hAnsi="仿宋_GB2312" w:eastAsia="仿宋_GB2312" w:cs="仿宋_GB2312"/>
          <w:b/>
          <w:bCs/>
          <w:sz w:val="32"/>
          <w:szCs w:val="32"/>
          <w:lang w:eastAsia="zh-CN"/>
        </w:rPr>
        <w:t>业</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挖掘各镇自然生态旅游资源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依托龙归—江湾、西河—重阳两条乡村精品线路，沿途打造3-5个旅游精品村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引进社会资本投资</w:t>
      </w:r>
      <w:r>
        <w:rPr>
          <w:rFonts w:hint="eastAsia" w:ascii="仿宋_GB2312" w:hAnsi="仿宋_GB2312" w:eastAsia="仿宋_GB2312" w:cs="仿宋_GB2312"/>
          <w:sz w:val="32"/>
          <w:szCs w:val="32"/>
          <w:lang w:eastAsia="zh-CN"/>
        </w:rPr>
        <w:t>乡村旅游，</w:t>
      </w:r>
      <w:r>
        <w:rPr>
          <w:rFonts w:hint="eastAsia" w:ascii="仿宋_GB2312" w:hAnsi="仿宋_GB2312" w:eastAsia="仿宋_GB2312" w:cs="仿宋_GB2312"/>
          <w:sz w:val="32"/>
          <w:szCs w:val="32"/>
        </w:rPr>
        <w:t>建设集农产品种植、采摘、加工和生态观光、休闲、体验为一体的田园综合体</w:t>
      </w:r>
      <w:r>
        <w:rPr>
          <w:rFonts w:hint="eastAsia" w:ascii="仿宋_GB2312" w:hAnsi="仿宋_GB2312" w:eastAsia="仿宋_GB2312" w:cs="仿宋_GB2312"/>
          <w:sz w:val="32"/>
          <w:szCs w:val="32"/>
          <w:lang w:eastAsia="zh-CN"/>
        </w:rPr>
        <w:t>，打造“农业</w:t>
      </w:r>
      <w:r>
        <w:rPr>
          <w:rFonts w:hint="eastAsia" w:ascii="仿宋_GB2312" w:hAnsi="仿宋_GB2312" w:eastAsia="仿宋_GB2312" w:cs="仿宋_GB2312"/>
          <w:sz w:val="32"/>
          <w:szCs w:val="32"/>
          <w:lang w:val="en-US" w:eastAsia="zh-CN"/>
        </w:rPr>
        <w:t>+旅游”项目；</w:t>
      </w:r>
      <w:r>
        <w:rPr>
          <w:rFonts w:hint="eastAsia" w:ascii="仿宋_GB2312" w:hAnsi="仿宋_GB2312" w:eastAsia="仿宋_GB2312" w:cs="仿宋_GB2312"/>
          <w:sz w:val="32"/>
          <w:szCs w:val="32"/>
        </w:rPr>
        <w:t>加强</w:t>
      </w:r>
      <w:r>
        <w:rPr>
          <w:rFonts w:hint="eastAsia" w:ascii="仿宋_GB2312" w:hAnsi="仿宋_GB2312" w:eastAsia="仿宋_GB2312" w:cs="仿宋_GB2312"/>
          <w:sz w:val="32"/>
          <w:szCs w:val="32"/>
          <w:lang w:eastAsia="zh-CN"/>
        </w:rPr>
        <w:t>历史</w:t>
      </w:r>
      <w:r>
        <w:rPr>
          <w:rFonts w:hint="eastAsia" w:ascii="仿宋_GB2312" w:hAnsi="仿宋_GB2312" w:eastAsia="仿宋_GB2312" w:cs="仿宋_GB2312"/>
          <w:sz w:val="32"/>
          <w:szCs w:val="32"/>
        </w:rPr>
        <w:t>文化和爱国主义教育基地建设，</w:t>
      </w:r>
      <w:r>
        <w:rPr>
          <w:rFonts w:hint="eastAsia" w:ascii="仿宋_GB2312" w:hAnsi="仿宋_GB2312" w:eastAsia="仿宋_GB2312" w:cs="仿宋_GB2312"/>
          <w:sz w:val="32"/>
          <w:szCs w:val="32"/>
          <w:lang w:eastAsia="zh-CN"/>
        </w:rPr>
        <w:t>依托</w:t>
      </w:r>
      <w:r>
        <w:rPr>
          <w:rFonts w:hint="eastAsia" w:ascii="仿宋_GB2312" w:hAnsi="仿宋_GB2312" w:eastAsia="仿宋_GB2312" w:cs="仿宋_GB2312"/>
          <w:sz w:val="32"/>
          <w:szCs w:val="32"/>
        </w:rPr>
        <w:t>文武阁塔、李子园炮楼、南岸交通站、九龄园等历史古迹，推动文化保护与旅游融合发展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打造</w:t>
      </w:r>
      <w:r>
        <w:rPr>
          <w:rFonts w:hint="eastAsia" w:ascii="仿宋_GB2312" w:hAnsi="仿宋_GB2312" w:eastAsia="仿宋_GB2312" w:cs="仿宋_GB2312"/>
          <w:sz w:val="32"/>
          <w:szCs w:val="32"/>
          <w:lang w:eastAsia="zh-CN"/>
        </w:rPr>
        <w:t>“历史文化</w:t>
      </w:r>
      <w:r>
        <w:rPr>
          <w:rFonts w:hint="eastAsia" w:ascii="仿宋_GB2312" w:hAnsi="仿宋_GB2312" w:eastAsia="仿宋_GB2312" w:cs="仿宋_GB2312"/>
          <w:sz w:val="32"/>
          <w:szCs w:val="32"/>
          <w:lang w:val="en-US" w:eastAsia="zh-CN"/>
        </w:rPr>
        <w:t>+旅游”项目；</w:t>
      </w:r>
      <w:r>
        <w:rPr>
          <w:rFonts w:hint="eastAsia" w:ascii="仿宋_GB2312" w:hAnsi="仿宋_GB2312" w:eastAsia="仿宋_GB2312" w:cs="仿宋_GB2312"/>
          <w:sz w:val="32"/>
          <w:szCs w:val="32"/>
        </w:rPr>
        <w:t>培育壮大文化创意产业，积极发展新型文化业态、文化消费模式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推动文创与研学融合发展，</w:t>
      </w:r>
      <w:r>
        <w:rPr>
          <w:rFonts w:hint="eastAsia" w:ascii="仿宋_GB2312" w:hAnsi="仿宋_GB2312" w:eastAsia="仿宋_GB2312" w:cs="仿宋_GB2312"/>
          <w:sz w:val="32"/>
          <w:szCs w:val="32"/>
          <w:lang w:eastAsia="zh-CN"/>
        </w:rPr>
        <w:t>打造“文创</w:t>
      </w:r>
      <w:r>
        <w:rPr>
          <w:rFonts w:hint="eastAsia" w:ascii="仿宋_GB2312" w:hAnsi="仿宋_GB2312" w:eastAsia="仿宋_GB2312" w:cs="仿宋_GB2312"/>
          <w:sz w:val="32"/>
          <w:szCs w:val="32"/>
          <w:lang w:val="en-US" w:eastAsia="zh-CN"/>
        </w:rPr>
        <w:t>+旅游”项目；开发江湾镇、重阳镇温泉资源，打造“</w:t>
      </w:r>
      <w:r>
        <w:rPr>
          <w:rFonts w:hint="eastAsia" w:ascii="仿宋_GB2312" w:hAnsi="仿宋_GB2312" w:eastAsia="仿宋_GB2312" w:cs="仿宋_GB2312"/>
          <w:sz w:val="32"/>
          <w:szCs w:val="32"/>
        </w:rPr>
        <w:t>康养</w:t>
      </w:r>
      <w:r>
        <w:rPr>
          <w:rFonts w:hint="eastAsia" w:ascii="仿宋_GB2312" w:hAnsi="仿宋_GB2312" w:eastAsia="仿宋_GB2312" w:cs="仿宋_GB2312"/>
          <w:sz w:val="32"/>
          <w:szCs w:val="32"/>
          <w:lang w:val="en-US" w:eastAsia="zh-CN"/>
        </w:rPr>
        <w:t>+旅游”项目；</w:t>
      </w:r>
      <w:r>
        <w:rPr>
          <w:rFonts w:hint="eastAsia" w:ascii="仿宋_GB2312" w:hAnsi="仿宋_GB2312" w:eastAsia="仿宋_GB2312" w:cs="仿宋_GB2312"/>
          <w:sz w:val="32"/>
          <w:szCs w:val="32"/>
        </w:rPr>
        <w:t>谋划建设重阳水口龙舟训练基地、江湾台板水库赛艇基地</w:t>
      </w:r>
      <w:r>
        <w:rPr>
          <w:rFonts w:hint="eastAsia" w:ascii="仿宋_GB2312" w:hAnsi="仿宋_GB2312" w:eastAsia="仿宋_GB2312" w:cs="仿宋_GB2312"/>
          <w:sz w:val="32"/>
          <w:szCs w:val="32"/>
          <w:lang w:eastAsia="zh-CN"/>
        </w:rPr>
        <w:t>，打造“体育</w:t>
      </w:r>
      <w:r>
        <w:rPr>
          <w:rFonts w:hint="eastAsia" w:ascii="仿宋_GB2312" w:hAnsi="仿宋_GB2312" w:eastAsia="仿宋_GB2312" w:cs="仿宋_GB2312"/>
          <w:sz w:val="32"/>
          <w:szCs w:val="32"/>
          <w:lang w:val="en-US" w:eastAsia="zh-CN"/>
        </w:rPr>
        <w:t>+旅游”项目。加大乡村旅游品牌宣传力度，</w:t>
      </w:r>
      <w:r>
        <w:rPr>
          <w:rFonts w:hint="eastAsia" w:ascii="仿宋_GB2312" w:hAnsi="仿宋_GB2312" w:eastAsia="仿宋_GB2312" w:cs="仿宋_GB2312"/>
          <w:sz w:val="32"/>
          <w:szCs w:val="32"/>
        </w:rPr>
        <w:t>实行“生态+文化+旅游+体育+特色农产品”打包宣传推介。支持江湾镇创建国家级、省级生态旅游森林特色小镇。</w:t>
      </w:r>
    </w:p>
    <w:bookmarkEnd w:id="69"/>
    <w:p>
      <w:pPr>
        <w:pStyle w:val="3"/>
        <w:pageBreakBefore w:val="0"/>
        <w:widowControl w:val="0"/>
        <w:kinsoku/>
        <w:wordWrap/>
        <w:overflowPunct/>
        <w:topLinePunct w:val="0"/>
        <w:autoSpaceDE/>
        <w:autoSpaceDN/>
        <w:bidi w:val="0"/>
        <w:adjustRightInd/>
        <w:snapToGrid/>
        <w:spacing w:line="600" w:lineRule="exact"/>
        <w:jc w:val="center"/>
        <w:textAlignment w:val="auto"/>
        <w:rPr>
          <w:sz w:val="32"/>
          <w:szCs w:val="32"/>
        </w:rPr>
      </w:pPr>
      <w:bookmarkStart w:id="91" w:name="_Toc2496"/>
      <w:bookmarkStart w:id="92" w:name="_Toc7747"/>
      <w:bookmarkStart w:id="93" w:name="_Toc3410"/>
      <w:bookmarkStart w:id="94" w:name="_Toc7763"/>
      <w:bookmarkStart w:id="95" w:name="_Toc29587"/>
      <w:bookmarkStart w:id="96" w:name="_Toc22800"/>
      <w:bookmarkStart w:id="97" w:name="_Toc15929"/>
      <w:bookmarkStart w:id="98" w:name="_Toc21311"/>
      <w:r>
        <w:rPr>
          <w:rFonts w:hint="eastAsia"/>
          <w:sz w:val="32"/>
          <w:szCs w:val="32"/>
        </w:rPr>
        <w:t>第四章  主动融入新发展格局，着力培育供需新增长点</w:t>
      </w:r>
      <w:bookmarkEnd w:id="91"/>
      <w:bookmarkEnd w:id="92"/>
      <w:bookmarkEnd w:id="93"/>
      <w:bookmarkEnd w:id="94"/>
      <w:bookmarkEnd w:id="95"/>
      <w:bookmarkEnd w:id="96"/>
      <w:bookmarkEnd w:id="97"/>
      <w:bookmarkEnd w:id="98"/>
    </w:p>
    <w:p>
      <w:pPr>
        <w:pageBreakBefore w:val="0"/>
        <w:widowControl w:val="0"/>
        <w:kinsoku/>
        <w:wordWrap/>
        <w:overflowPunct/>
        <w:topLinePunct w:val="0"/>
        <w:autoSpaceDE/>
        <w:autoSpaceDN/>
        <w:bidi w:val="0"/>
        <w:adjustRightInd/>
        <w:snapToGrid/>
        <w:spacing w:line="600" w:lineRule="exact"/>
        <w:ind w:firstLine="640"/>
        <w:textAlignment w:val="auto"/>
        <w:rPr>
          <w:sz w:val="32"/>
          <w:szCs w:val="32"/>
        </w:rPr>
      </w:pPr>
    </w:p>
    <w:p>
      <w:pPr>
        <w:pageBreakBefore w:val="0"/>
        <w:widowControl w:val="0"/>
        <w:kinsoku/>
        <w:wordWrap/>
        <w:overflowPunct/>
        <w:topLinePunct w:val="0"/>
        <w:autoSpaceDE/>
        <w:autoSpaceDN/>
        <w:bidi w:val="0"/>
        <w:adjustRightInd/>
        <w:snapToGrid/>
        <w:spacing w:line="600" w:lineRule="exact"/>
        <w:ind w:firstLine="560"/>
        <w:textAlignment w:val="auto"/>
        <w:rPr>
          <w:sz w:val="32"/>
          <w:szCs w:val="32"/>
        </w:rPr>
      </w:pPr>
      <w:r>
        <w:rPr>
          <w:rFonts w:hint="eastAsia" w:ascii="仿宋_GB2312" w:hAnsi="仿宋_GB2312" w:eastAsia="仿宋_GB2312" w:cs="仿宋_GB2312"/>
          <w:sz w:val="32"/>
          <w:szCs w:val="32"/>
        </w:rPr>
        <w:t>坚持实施扩大内需战略、对外开放战略和供给侧结构性改革，扩大有效投资，以高质量供给、现代化服务引领和创造新需求，融入国内大循环和国内国际双循环。</w:t>
      </w:r>
      <w:bookmarkStart w:id="99" w:name="_Toc19808"/>
    </w:p>
    <w:p>
      <w:pPr>
        <w:pageBreakBefore w:val="0"/>
        <w:widowControl w:val="0"/>
        <w:kinsoku/>
        <w:wordWrap/>
        <w:overflowPunct/>
        <w:topLinePunct w:val="0"/>
        <w:autoSpaceDE/>
        <w:autoSpaceDN/>
        <w:bidi w:val="0"/>
        <w:adjustRightInd/>
        <w:snapToGrid/>
        <w:spacing w:line="600" w:lineRule="exact"/>
        <w:ind w:firstLine="560"/>
        <w:textAlignment w:val="auto"/>
        <w:rPr>
          <w:rFonts w:hint="eastAsia"/>
          <w:sz w:val="32"/>
          <w:szCs w:val="32"/>
          <w:lang w:eastAsia="zh-CN"/>
        </w:rPr>
      </w:pPr>
    </w:p>
    <w:p>
      <w:pPr>
        <w:pStyle w:val="4"/>
        <w:pageBreakBefore w:val="0"/>
        <w:widowControl w:val="0"/>
        <w:kinsoku/>
        <w:wordWrap/>
        <w:overflowPunct/>
        <w:topLinePunct w:val="0"/>
        <w:autoSpaceDE/>
        <w:autoSpaceDN/>
        <w:bidi w:val="0"/>
        <w:adjustRightInd/>
        <w:snapToGrid/>
        <w:spacing w:line="600" w:lineRule="exact"/>
        <w:textAlignment w:val="auto"/>
        <w:rPr>
          <w:rFonts w:hint="eastAsia"/>
          <w:sz w:val="32"/>
          <w:szCs w:val="32"/>
        </w:rPr>
      </w:pPr>
      <w:bookmarkStart w:id="100" w:name="_Toc944"/>
      <w:bookmarkStart w:id="101" w:name="_Toc30901"/>
      <w:bookmarkStart w:id="102" w:name="_Toc4911"/>
      <w:bookmarkStart w:id="103" w:name="_Toc26991"/>
      <w:bookmarkStart w:id="104" w:name="_Toc9784"/>
      <w:bookmarkStart w:id="105" w:name="_Toc4296"/>
      <w:bookmarkStart w:id="106" w:name="_Toc16482"/>
      <w:r>
        <w:rPr>
          <w:rFonts w:hint="eastAsia"/>
          <w:sz w:val="32"/>
          <w:szCs w:val="32"/>
          <w:lang w:eastAsia="zh-CN"/>
        </w:rPr>
        <w:t>第一节</w:t>
      </w:r>
      <w:r>
        <w:rPr>
          <w:rFonts w:hint="eastAsia"/>
          <w:sz w:val="32"/>
          <w:szCs w:val="32"/>
          <w:lang w:val="en-US" w:eastAsia="zh-CN"/>
        </w:rPr>
        <w:t xml:space="preserve">  </w:t>
      </w:r>
      <w:r>
        <w:rPr>
          <w:rFonts w:hint="eastAsia"/>
          <w:sz w:val="32"/>
          <w:szCs w:val="32"/>
        </w:rPr>
        <w:t>积极扩大有效投资</w:t>
      </w:r>
      <w:bookmarkEnd w:id="99"/>
      <w:bookmarkEnd w:id="100"/>
      <w:bookmarkEnd w:id="101"/>
      <w:bookmarkEnd w:id="102"/>
      <w:bookmarkEnd w:id="103"/>
      <w:bookmarkEnd w:id="104"/>
      <w:bookmarkEnd w:id="105"/>
      <w:bookmarkEnd w:id="106"/>
    </w:p>
    <w:p>
      <w:pPr>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加大政府有效投资，激发社会投资活力，深入挖掘投资新增长点，加快培育我区新动能、新经济，发挥投资对扩大需求、形成供给的关键作用。</w:t>
      </w:r>
    </w:p>
    <w:p>
      <w:pPr>
        <w:pageBreakBefore w:val="0"/>
        <w:widowControl w:val="0"/>
        <w:kinsoku/>
        <w:wordWrap/>
        <w:overflowPunct/>
        <w:topLinePunct w:val="0"/>
        <w:autoSpaceDE/>
        <w:autoSpaceDN/>
        <w:bidi w:val="0"/>
        <w:adjustRightInd/>
        <w:snapToGrid/>
        <w:spacing w:line="600" w:lineRule="exact"/>
        <w:ind w:firstLine="56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加大政府投资力度。</w:t>
      </w:r>
      <w:r>
        <w:rPr>
          <w:rFonts w:hint="eastAsia" w:ascii="仿宋_GB2312" w:hAnsi="仿宋_GB2312" w:eastAsia="仿宋_GB2312" w:cs="仿宋_GB2312"/>
          <w:sz w:val="32"/>
          <w:szCs w:val="32"/>
        </w:rPr>
        <w:t>加快补齐基础设施、农业农村、生态环保、公共卫生、民生保障等领域短板，支持建设有利于城乡融合发展和城市经济发展的重大项目。加快推进建设第五代移动通信、工业互联网等新型基础设施建设。实施西河至重阳等旅游公路建设，加快农村公路建设提档升级。加强能源设施建设，完善城乡天然气管网建设，推进电网智能化改造升级。强化河流生态环境整治，加强农村水利基础设施建设。</w:t>
      </w:r>
    </w:p>
    <w:p>
      <w:pPr>
        <w:pageBreakBefore w:val="0"/>
        <w:widowControl w:val="0"/>
        <w:kinsoku/>
        <w:wordWrap/>
        <w:overflowPunct/>
        <w:topLinePunct w:val="0"/>
        <w:autoSpaceDE/>
        <w:autoSpaceDN/>
        <w:bidi w:val="0"/>
        <w:adjustRightInd/>
        <w:snapToGrid/>
        <w:spacing w:line="600" w:lineRule="exact"/>
        <w:ind w:firstLine="56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激发民间投资活力。</w:t>
      </w:r>
      <w:r>
        <w:rPr>
          <w:rFonts w:hint="eastAsia" w:ascii="仿宋_GB2312" w:hAnsi="仿宋_GB2312" w:eastAsia="仿宋_GB2312" w:cs="仿宋_GB2312"/>
          <w:sz w:val="32"/>
          <w:szCs w:val="32"/>
        </w:rPr>
        <w:t>通过城市片区开发，鼓励民间资本参与基础设施项目、重点产业项目、商住开发项目、新型城镇化项目等建设。通过龙归—江湾、西河—重阳两条乡村精品线路建设，带动社会投资参与农业产业、乡村旅游等项目建设。引导企业设备更新和技术改造，扩大战略性新兴产业有效投资。深化投资体制改革，持续优化民间投资环境，促进民营经济健康发展，进一步激发民间投资的主动性和积极性，引导各类资金参与扩大有效投资。支持本地企业加强与外资企业合作，鼓励外商投资实体项目。</w:t>
      </w:r>
    </w:p>
    <w:p>
      <w:pPr>
        <w:pStyle w:val="33"/>
        <w:pageBreakBefore w:val="0"/>
        <w:widowControl w:val="0"/>
        <w:kinsoku/>
        <w:wordWrap/>
        <w:overflowPunct/>
        <w:topLinePunct w:val="0"/>
        <w:autoSpaceDE/>
        <w:autoSpaceDN/>
        <w:bidi w:val="0"/>
        <w:adjustRightInd/>
        <w:snapToGrid/>
        <w:spacing w:line="600" w:lineRule="exact"/>
        <w:ind w:firstLine="560"/>
        <w:textAlignment w:val="auto"/>
        <w:rPr>
          <w:sz w:val="32"/>
          <w:szCs w:val="32"/>
        </w:rPr>
      </w:pPr>
    </w:p>
    <w:p>
      <w:pPr>
        <w:pStyle w:val="4"/>
        <w:pageBreakBefore w:val="0"/>
        <w:widowControl w:val="0"/>
        <w:kinsoku/>
        <w:wordWrap/>
        <w:overflowPunct/>
        <w:topLinePunct w:val="0"/>
        <w:autoSpaceDE/>
        <w:autoSpaceDN/>
        <w:bidi w:val="0"/>
        <w:adjustRightInd/>
        <w:snapToGrid/>
        <w:spacing w:line="600" w:lineRule="exact"/>
        <w:textAlignment w:val="auto"/>
        <w:rPr>
          <w:sz w:val="32"/>
          <w:szCs w:val="32"/>
        </w:rPr>
      </w:pPr>
      <w:bookmarkStart w:id="107" w:name="_Toc14897"/>
      <w:bookmarkStart w:id="108" w:name="_Toc11576"/>
      <w:bookmarkStart w:id="109" w:name="_Toc32682"/>
      <w:bookmarkStart w:id="110" w:name="_Toc23273"/>
      <w:bookmarkStart w:id="111" w:name="_Toc20351"/>
      <w:bookmarkStart w:id="112" w:name="_Toc16604"/>
      <w:bookmarkStart w:id="113" w:name="_Toc25961"/>
      <w:r>
        <w:rPr>
          <w:rFonts w:hint="eastAsia"/>
          <w:sz w:val="32"/>
          <w:szCs w:val="32"/>
        </w:rPr>
        <w:t xml:space="preserve">第二节  </w:t>
      </w:r>
      <w:bookmarkStart w:id="114" w:name="_Toc26846"/>
      <w:r>
        <w:rPr>
          <w:rFonts w:hint="eastAsia"/>
          <w:sz w:val="32"/>
          <w:szCs w:val="32"/>
        </w:rPr>
        <w:t>主动融入国内国际双循环</w:t>
      </w:r>
      <w:bookmarkEnd w:id="107"/>
      <w:bookmarkEnd w:id="108"/>
      <w:bookmarkEnd w:id="109"/>
      <w:bookmarkEnd w:id="110"/>
      <w:bookmarkEnd w:id="111"/>
      <w:bookmarkEnd w:id="112"/>
      <w:bookmarkEnd w:id="113"/>
      <w:bookmarkEnd w:id="114"/>
    </w:p>
    <w:p>
      <w:pPr>
        <w:pageBreakBefore w:val="0"/>
        <w:widowControl w:val="0"/>
        <w:kinsoku/>
        <w:wordWrap/>
        <w:overflowPunct/>
        <w:topLinePunct w:val="0"/>
        <w:autoSpaceDE/>
        <w:autoSpaceDN/>
        <w:bidi w:val="0"/>
        <w:adjustRightInd/>
        <w:snapToGrid/>
        <w:spacing w:line="600" w:lineRule="exact"/>
        <w:ind w:firstLine="640"/>
        <w:textAlignment w:val="auto"/>
        <w:rPr>
          <w:sz w:val="32"/>
          <w:szCs w:val="32"/>
        </w:rPr>
      </w:pPr>
    </w:p>
    <w:p>
      <w:pPr>
        <w:pageBreakBefore w:val="0"/>
        <w:widowControl w:val="0"/>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积极参与推动国内大循环，充分利用国内超大规模市场，积极拓展国内销售渠道。着力发展外贸新业态，培育贸易发展新动能。</w:t>
      </w:r>
    </w:p>
    <w:p>
      <w:pPr>
        <w:pageBreakBefore w:val="0"/>
        <w:widowControl w:val="0"/>
        <w:kinsoku/>
        <w:wordWrap/>
        <w:overflowPunct/>
        <w:topLinePunct w:val="0"/>
        <w:autoSpaceDE/>
        <w:autoSpaceDN/>
        <w:bidi w:val="0"/>
        <w:adjustRightInd/>
        <w:snapToGrid/>
        <w:spacing w:line="600" w:lineRule="exact"/>
        <w:ind w:firstLine="56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融入全国大市场。</w:t>
      </w:r>
      <w:r>
        <w:rPr>
          <w:rFonts w:hint="eastAsia" w:ascii="仿宋_GB2312" w:hAnsi="仿宋_GB2312" w:eastAsia="仿宋_GB2312" w:cs="仿宋_GB2312"/>
          <w:sz w:val="32"/>
          <w:szCs w:val="32"/>
        </w:rPr>
        <w:t>依托我区楼宇经济、商贸服务、金融服务、餐饮娱乐等都市型产业优势，推动生产、分配、流通、消费各环节更好融入和服务国内大循环。把融入国内大循环落实到产业、企业、产品的质量和品牌建设上来。围绕和服务国内新的产业链和价值链巩固传统优势产业，引进培育新产业新业态新模式。优化供给结构和改善供给质量，提升供给体系对国内需求的适配性，满足人民高品质、个性化需求，形成需求牵引供给、供给创造需求的更高水平动态平衡。</w:t>
      </w:r>
    </w:p>
    <w:p>
      <w:pPr>
        <w:pageBreakBefore w:val="0"/>
        <w:widowControl w:val="0"/>
        <w:kinsoku/>
        <w:wordWrap/>
        <w:overflowPunct/>
        <w:topLinePunct w:val="0"/>
        <w:autoSpaceDE/>
        <w:autoSpaceDN/>
        <w:bidi w:val="0"/>
        <w:adjustRightInd/>
        <w:snapToGrid/>
        <w:spacing w:line="600" w:lineRule="exact"/>
        <w:ind w:firstLine="56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培育外贸增长点。</w:t>
      </w:r>
      <w:r>
        <w:rPr>
          <w:rFonts w:hint="eastAsia" w:ascii="仿宋_GB2312" w:hAnsi="仿宋_GB2312" w:eastAsia="仿宋_GB2312" w:cs="仿宋_GB2312"/>
          <w:sz w:val="32"/>
          <w:szCs w:val="32"/>
        </w:rPr>
        <w:t>增加高品质消费品进口，满足消费升级需求。积极扩大先进技术、关键设备及零部件进口，提高消化吸收再创新水平，推动企业技术升级改造。培育发展外贸综合服务新业态。积极组织企业参加各类境内外展会，引导企业积极开拓海外市场，促进外贸市场多元化发展。坚持培育本土和引进外地相结合，为我区中小微企业开拓国际市场提供高效便捷的服务。</w:t>
      </w:r>
    </w:p>
    <w:p>
      <w:pPr>
        <w:pStyle w:val="4"/>
        <w:pageBreakBefore w:val="0"/>
        <w:widowControl w:val="0"/>
        <w:kinsoku/>
        <w:wordWrap/>
        <w:overflowPunct/>
        <w:topLinePunct w:val="0"/>
        <w:autoSpaceDE/>
        <w:autoSpaceDN/>
        <w:bidi w:val="0"/>
        <w:adjustRightInd/>
        <w:snapToGrid/>
        <w:spacing w:line="600" w:lineRule="exact"/>
        <w:jc w:val="center"/>
        <w:textAlignment w:val="auto"/>
        <w:rPr>
          <w:rFonts w:hint="eastAsia"/>
          <w:sz w:val="32"/>
          <w:szCs w:val="32"/>
        </w:rPr>
      </w:pPr>
      <w:bookmarkStart w:id="115" w:name="_Toc10457"/>
      <w:bookmarkStart w:id="116" w:name="_Toc3305"/>
      <w:bookmarkStart w:id="117" w:name="_Toc18759"/>
      <w:bookmarkStart w:id="118" w:name="_Toc20211"/>
      <w:bookmarkStart w:id="119" w:name="_Toc8045"/>
      <w:bookmarkStart w:id="120" w:name="_Toc22232"/>
    </w:p>
    <w:p>
      <w:pPr>
        <w:pStyle w:val="4"/>
        <w:pageBreakBefore w:val="0"/>
        <w:widowControl w:val="0"/>
        <w:kinsoku/>
        <w:wordWrap/>
        <w:overflowPunct/>
        <w:topLinePunct w:val="0"/>
        <w:autoSpaceDE/>
        <w:autoSpaceDN/>
        <w:bidi w:val="0"/>
        <w:adjustRightInd/>
        <w:snapToGrid/>
        <w:spacing w:line="600" w:lineRule="exact"/>
        <w:jc w:val="center"/>
        <w:textAlignment w:val="auto"/>
        <w:rPr>
          <w:sz w:val="32"/>
          <w:szCs w:val="32"/>
        </w:rPr>
      </w:pPr>
      <w:bookmarkStart w:id="121" w:name="_Toc22586"/>
      <w:bookmarkStart w:id="122" w:name="_Toc11519"/>
      <w:r>
        <w:rPr>
          <w:rFonts w:hint="eastAsia"/>
          <w:sz w:val="32"/>
          <w:szCs w:val="32"/>
        </w:rPr>
        <w:t xml:space="preserve">第三节  </w:t>
      </w:r>
      <w:bookmarkEnd w:id="115"/>
      <w:r>
        <w:rPr>
          <w:rFonts w:hint="eastAsia"/>
          <w:sz w:val="32"/>
          <w:szCs w:val="32"/>
        </w:rPr>
        <w:t>着力激活消费潜力</w:t>
      </w:r>
      <w:bookmarkEnd w:id="116"/>
      <w:bookmarkEnd w:id="117"/>
      <w:bookmarkEnd w:id="118"/>
      <w:bookmarkEnd w:id="119"/>
      <w:bookmarkEnd w:id="120"/>
      <w:bookmarkEnd w:id="121"/>
      <w:bookmarkEnd w:id="122"/>
    </w:p>
    <w:p>
      <w:pPr>
        <w:pageBreakBefore w:val="0"/>
        <w:widowControl w:val="0"/>
        <w:kinsoku/>
        <w:wordWrap/>
        <w:overflowPunct/>
        <w:topLinePunct w:val="0"/>
        <w:autoSpaceDE/>
        <w:autoSpaceDN/>
        <w:bidi w:val="0"/>
        <w:adjustRightInd/>
        <w:snapToGrid/>
        <w:spacing w:line="600" w:lineRule="exact"/>
        <w:ind w:firstLine="640"/>
        <w:textAlignment w:val="auto"/>
        <w:rPr>
          <w:sz w:val="32"/>
          <w:szCs w:val="32"/>
        </w:rPr>
      </w:pPr>
    </w:p>
    <w:p>
      <w:pPr>
        <w:pageBreakBefore w:val="0"/>
        <w:widowControl w:val="0"/>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顺应居民消费升级新趋势，着力提档次、拓空间、挖潜力，发展服务消费、新型消费，培育壮大消费新增长点，增强消费对经济发展的基础性作用。</w:t>
      </w:r>
    </w:p>
    <w:p>
      <w:pPr>
        <w:pageBreakBefore w:val="0"/>
        <w:widowControl w:val="0"/>
        <w:kinsoku/>
        <w:wordWrap/>
        <w:overflowPunct/>
        <w:topLinePunct w:val="0"/>
        <w:autoSpaceDE/>
        <w:autoSpaceDN/>
        <w:bidi w:val="0"/>
        <w:adjustRightInd/>
        <w:snapToGrid/>
        <w:spacing w:line="600" w:lineRule="exact"/>
        <w:ind w:firstLine="562"/>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促进传统消费提档升级。</w:t>
      </w:r>
      <w:r>
        <w:rPr>
          <w:rFonts w:hint="eastAsia" w:ascii="仿宋_GB2312" w:hAnsi="仿宋_GB2312" w:eastAsia="仿宋_GB2312" w:cs="仿宋_GB2312"/>
          <w:sz w:val="32"/>
          <w:szCs w:val="32"/>
        </w:rPr>
        <w:t>巩固提升传统消费，吸引高端消费。大力支持汽车消费，鼓励购买新能源汽车，继续实施汽车下乡政策。积极稳定市场预期，促进住房消费健康发展。继续做大批发零售业，鼓励发展新业态、新模式，推动线上线下销售模式互融，发展无接触交易服务，为消费者提供更多优质、个性、多元、便利、精准的商品和服务，推动消费市场蓬勃发展。积极扩大农村消费，扩大农村电子商务覆盖面，扩大农产品流通，稳定农产品价格。拓宽绿色、生态产品线上线下销售渠道，丰富城乡市场供给。改善提升乡村旅游产品和服务供给，培育特色休闲、旅游、观光等消费市场。大力发展文化健康产业，提高文化、休闲、健康、教育、体育、养老等消费占比</w:t>
      </w:r>
      <w:r>
        <w:rPr>
          <w:rFonts w:hint="eastAsia" w:ascii="仿宋_GB2312" w:hAnsi="仿宋_GB2312" w:eastAsia="仿宋_GB2312" w:cs="仿宋_GB2312"/>
          <w:sz w:val="32"/>
          <w:szCs w:val="32"/>
          <w:lang w:eastAsia="zh-CN"/>
        </w:rPr>
        <w:t>。</w:t>
      </w:r>
    </w:p>
    <w:p>
      <w:pPr>
        <w:pageBreakBefore w:val="0"/>
        <w:widowControl w:val="0"/>
        <w:kinsoku/>
        <w:wordWrap/>
        <w:overflowPunct/>
        <w:topLinePunct w:val="0"/>
        <w:autoSpaceDE/>
        <w:autoSpaceDN/>
        <w:bidi w:val="0"/>
        <w:adjustRightInd/>
        <w:snapToGrid/>
        <w:spacing w:line="600" w:lineRule="exact"/>
        <w:ind w:firstLine="56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大力培育新型消费。</w:t>
      </w:r>
      <w:r>
        <w:rPr>
          <w:rFonts w:hint="eastAsia" w:ascii="仿宋_GB2312" w:hAnsi="仿宋_GB2312" w:eastAsia="仿宋_GB2312" w:cs="仿宋_GB2312"/>
          <w:sz w:val="32"/>
          <w:szCs w:val="32"/>
        </w:rPr>
        <w:t>加快推动</w:t>
      </w:r>
      <w:r>
        <w:rPr>
          <w:rFonts w:hint="eastAsia" w:ascii="仿宋_GB2312" w:hAnsi="仿宋_GB2312" w:eastAsia="仿宋_GB2312" w:cs="仿宋_GB2312"/>
          <w:sz w:val="32"/>
          <w:szCs w:val="32"/>
          <w:lang w:eastAsia="zh-CN"/>
        </w:rPr>
        <w:t>大型商场超市</w:t>
      </w:r>
      <w:r>
        <w:rPr>
          <w:rFonts w:hint="eastAsia" w:ascii="仿宋_GB2312" w:hAnsi="仿宋_GB2312" w:eastAsia="仿宋_GB2312" w:cs="仿宋_GB2312"/>
          <w:sz w:val="32"/>
          <w:szCs w:val="32"/>
        </w:rPr>
        <w:t>线上线下消费有机融合，发展无接触交易服务，推动实体商业创新发展。支持互联网平台企业</w:t>
      </w:r>
      <w:r>
        <w:rPr>
          <w:rFonts w:hint="eastAsia" w:ascii="仿宋_GB2312" w:hAnsi="仿宋_GB2312" w:eastAsia="仿宋_GB2312" w:cs="仿宋_GB2312"/>
          <w:sz w:val="32"/>
          <w:szCs w:val="32"/>
          <w:lang w:eastAsia="zh-CN"/>
        </w:rPr>
        <w:t>落户武江，并</w:t>
      </w:r>
      <w:r>
        <w:rPr>
          <w:rFonts w:hint="eastAsia" w:ascii="仿宋_GB2312" w:hAnsi="仿宋_GB2312" w:eastAsia="仿宋_GB2312" w:cs="仿宋_GB2312"/>
          <w:sz w:val="32"/>
          <w:szCs w:val="32"/>
        </w:rPr>
        <w:t>向线下延伸拓展，引导实体企业更多开发数字化产品和服务，加快传统线下业态数字化改造和转型升级，推动线上线下融合消费双向提速。积极引进国内知名电子商务平台企业，在我区建立电商物流网点和销售平台，服务本地实体企业。推动发展以满足城市商贸配送为主的物流业。培育壮大各类消费新业态新模式，加快社会服务在线对接、线上线下深度融合，加快发展互联网健康医疗、在线教育、在线文娱、智慧旅游、智慧体育、智慧商店、智慧餐厅等，培育新的增长点。鼓励绿色商品消费，引导企业扩大绿色商品采购和销售，引导消费者选择绿色认证产品。</w:t>
      </w:r>
    </w:p>
    <w:p>
      <w:pPr>
        <w:pageBreakBefore w:val="0"/>
        <w:widowControl w:val="0"/>
        <w:kinsoku/>
        <w:wordWrap/>
        <w:overflowPunct/>
        <w:topLinePunct w:val="0"/>
        <w:autoSpaceDE/>
        <w:autoSpaceDN/>
        <w:bidi w:val="0"/>
        <w:adjustRightInd/>
        <w:snapToGrid/>
        <w:spacing w:line="600" w:lineRule="exact"/>
        <w:ind w:firstLine="56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着力营造良好消费环境。</w:t>
      </w:r>
      <w:r>
        <w:rPr>
          <w:rFonts w:hint="eastAsia" w:ascii="仿宋_GB2312" w:hAnsi="仿宋_GB2312" w:eastAsia="仿宋_GB2312" w:cs="仿宋_GB2312"/>
          <w:sz w:val="32"/>
          <w:szCs w:val="32"/>
        </w:rPr>
        <w:t>繁荣节日消费市场，制定年度重要节假日和重大活动促消费活动方案，确定活动主题，做到以节促销、以展引销。积极开展促消费系列活动，落实带薪休假制度，扩大节假日消费。完善社区服务设施，打造便民服务消费圈。通过举办各种文旅活动，提升沃尔玛购物广场、益华百货、摩尔城假日酒店、曼哈顿酒店、汇展酒店、倚山酒店等零售、住宿、餐饮企业经营活力。加快完善促进消费体制机制，健全消费领域信用体系和重要产品追溯体系，畅通消费者维权渠道。强化市场秩序监管和消费者权益保护，营造安全放心消费环境。</w:t>
      </w:r>
    </w:p>
    <w:p>
      <w:pPr>
        <w:pStyle w:val="2"/>
      </w:pPr>
    </w:p>
    <w:p>
      <w:pPr>
        <w:pStyle w:val="3"/>
        <w:pageBreakBefore w:val="0"/>
        <w:widowControl w:val="0"/>
        <w:kinsoku/>
        <w:wordWrap/>
        <w:overflowPunct/>
        <w:topLinePunct w:val="0"/>
        <w:autoSpaceDE/>
        <w:autoSpaceDN/>
        <w:bidi w:val="0"/>
        <w:adjustRightInd/>
        <w:snapToGrid/>
        <w:spacing w:line="600" w:lineRule="exact"/>
        <w:jc w:val="center"/>
        <w:textAlignment w:val="auto"/>
        <w:rPr>
          <w:sz w:val="32"/>
          <w:szCs w:val="32"/>
        </w:rPr>
      </w:pPr>
      <w:bookmarkStart w:id="123" w:name="_Toc2299"/>
      <w:bookmarkStart w:id="124" w:name="_Toc24164"/>
      <w:bookmarkStart w:id="125" w:name="_Toc29657"/>
      <w:bookmarkStart w:id="126" w:name="_Toc4421"/>
      <w:bookmarkStart w:id="127" w:name="_Toc22111"/>
      <w:bookmarkStart w:id="128" w:name="_Toc3018"/>
      <w:bookmarkStart w:id="129" w:name="_Toc23456"/>
      <w:bookmarkStart w:id="130" w:name="_Toc32371"/>
      <w:r>
        <w:rPr>
          <w:rFonts w:hint="eastAsia"/>
          <w:sz w:val="32"/>
          <w:szCs w:val="32"/>
        </w:rPr>
        <w:t>第五章  提升中心城区首位度，建设生态品质中心城区</w:t>
      </w:r>
      <w:bookmarkEnd w:id="123"/>
      <w:bookmarkEnd w:id="124"/>
      <w:bookmarkEnd w:id="125"/>
      <w:bookmarkEnd w:id="126"/>
      <w:bookmarkEnd w:id="127"/>
      <w:bookmarkEnd w:id="128"/>
      <w:bookmarkEnd w:id="129"/>
      <w:bookmarkEnd w:id="130"/>
    </w:p>
    <w:p>
      <w:pPr>
        <w:pageBreakBefore w:val="0"/>
        <w:widowControl w:val="0"/>
        <w:kinsoku/>
        <w:wordWrap/>
        <w:overflowPunct/>
        <w:topLinePunct w:val="0"/>
        <w:autoSpaceDE/>
        <w:autoSpaceDN/>
        <w:bidi w:val="0"/>
        <w:adjustRightInd/>
        <w:snapToGrid/>
        <w:spacing w:line="600" w:lineRule="exact"/>
        <w:ind w:firstLine="560"/>
        <w:textAlignment w:val="auto"/>
        <w:rPr>
          <w:sz w:val="32"/>
          <w:szCs w:val="32"/>
        </w:rPr>
      </w:pPr>
    </w:p>
    <w:p>
      <w:pPr>
        <w:pageBreakBefore w:val="0"/>
        <w:widowControl w:val="0"/>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聚焦功能完善、品质提升，优化城区结构，强化规划引领，转变城市发展方式，提高城市治理能力，推动城市文明创建，形成城乡一体化发展新格局，全面提升中心城区首位度，建设生态品质最好最优中心城区。</w:t>
      </w:r>
    </w:p>
    <w:p>
      <w:pPr>
        <w:pStyle w:val="4"/>
        <w:pageBreakBefore w:val="0"/>
        <w:widowControl w:val="0"/>
        <w:numPr>
          <w:ilvl w:val="0"/>
          <w:numId w:val="0"/>
        </w:numPr>
        <w:kinsoku/>
        <w:wordWrap/>
        <w:overflowPunct/>
        <w:topLinePunct w:val="0"/>
        <w:autoSpaceDE/>
        <w:autoSpaceDN/>
        <w:bidi w:val="0"/>
        <w:adjustRightInd/>
        <w:snapToGrid/>
        <w:spacing w:line="600" w:lineRule="exact"/>
        <w:ind w:leftChars="0"/>
        <w:jc w:val="center"/>
        <w:textAlignment w:val="auto"/>
        <w:rPr>
          <w:rFonts w:hint="eastAsia"/>
          <w:sz w:val="32"/>
          <w:szCs w:val="32"/>
          <w:lang w:eastAsia="zh-CN"/>
        </w:rPr>
      </w:pPr>
      <w:bookmarkStart w:id="131" w:name="_Toc25539"/>
      <w:bookmarkStart w:id="132" w:name="_Toc5571"/>
      <w:bookmarkStart w:id="133" w:name="_Toc2591"/>
      <w:bookmarkStart w:id="134" w:name="_Toc20083"/>
      <w:bookmarkStart w:id="135" w:name="_Toc299"/>
    </w:p>
    <w:p>
      <w:pPr>
        <w:pStyle w:val="4"/>
        <w:pageBreakBefore w:val="0"/>
        <w:widowControl w:val="0"/>
        <w:numPr>
          <w:ilvl w:val="0"/>
          <w:numId w:val="0"/>
        </w:numPr>
        <w:kinsoku/>
        <w:wordWrap/>
        <w:overflowPunct/>
        <w:topLinePunct w:val="0"/>
        <w:autoSpaceDE/>
        <w:autoSpaceDN/>
        <w:bidi w:val="0"/>
        <w:adjustRightInd/>
        <w:snapToGrid/>
        <w:spacing w:line="600" w:lineRule="exact"/>
        <w:ind w:leftChars="0"/>
        <w:jc w:val="center"/>
        <w:textAlignment w:val="auto"/>
        <w:rPr>
          <w:sz w:val="32"/>
          <w:szCs w:val="32"/>
        </w:rPr>
      </w:pPr>
      <w:bookmarkStart w:id="136" w:name="_Toc30625"/>
      <w:bookmarkStart w:id="137" w:name="_Toc12907"/>
      <w:r>
        <w:rPr>
          <w:rFonts w:hint="eastAsia"/>
          <w:sz w:val="32"/>
          <w:szCs w:val="32"/>
          <w:lang w:eastAsia="zh-CN"/>
        </w:rPr>
        <w:t>第一节</w:t>
      </w:r>
      <w:r>
        <w:rPr>
          <w:rFonts w:hint="eastAsia"/>
          <w:sz w:val="32"/>
          <w:szCs w:val="32"/>
          <w:lang w:val="en-US" w:eastAsia="zh-CN"/>
        </w:rPr>
        <w:t xml:space="preserve">  </w:t>
      </w:r>
      <w:r>
        <w:rPr>
          <w:rFonts w:hint="eastAsia"/>
          <w:sz w:val="32"/>
          <w:szCs w:val="32"/>
        </w:rPr>
        <w:t>优化城市发展布局</w:t>
      </w:r>
      <w:bookmarkEnd w:id="131"/>
      <w:bookmarkEnd w:id="132"/>
      <w:bookmarkEnd w:id="133"/>
      <w:bookmarkEnd w:id="134"/>
      <w:bookmarkEnd w:id="135"/>
      <w:bookmarkEnd w:id="136"/>
      <w:bookmarkEnd w:id="137"/>
    </w:p>
    <w:p>
      <w:pPr>
        <w:pageBreakBefore w:val="0"/>
        <w:widowControl w:val="0"/>
        <w:kinsoku/>
        <w:wordWrap/>
        <w:overflowPunct/>
        <w:topLinePunct w:val="0"/>
        <w:autoSpaceDE/>
        <w:autoSpaceDN/>
        <w:bidi w:val="0"/>
        <w:adjustRightInd/>
        <w:snapToGrid/>
        <w:spacing w:line="600" w:lineRule="exact"/>
        <w:ind w:firstLine="640"/>
        <w:textAlignment w:val="auto"/>
        <w:rPr>
          <w:sz w:val="32"/>
          <w:szCs w:val="32"/>
        </w:rPr>
      </w:pPr>
    </w:p>
    <w:p>
      <w:pPr>
        <w:pageBreakBefore w:val="0"/>
        <w:widowControl w:val="0"/>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落实韶关“东进、南拓、西融、北优”城市发展战略，立足中心城区定位，加强规划衔接融合，服务新区，双区联动，优化城区产业空间布局，形成功能互补、分工有序发展格局。</w:t>
      </w:r>
    </w:p>
    <w:p>
      <w:pPr>
        <w:pageBreakBefore w:val="0"/>
        <w:widowControl w:val="0"/>
        <w:kinsoku/>
        <w:wordWrap/>
        <w:overflowPunct/>
        <w:topLinePunct w:val="0"/>
        <w:autoSpaceDE/>
        <w:autoSpaceDN/>
        <w:bidi w:val="0"/>
        <w:adjustRightInd/>
        <w:snapToGrid/>
        <w:spacing w:line="600" w:lineRule="exact"/>
        <w:ind w:firstLine="56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完善城市功能区格局。</w:t>
      </w:r>
      <w:r>
        <w:rPr>
          <w:rFonts w:hint="eastAsia" w:ascii="仿宋_GB2312" w:hAnsi="仿宋_GB2312" w:eastAsia="仿宋_GB2312" w:cs="仿宋_GB2312"/>
          <w:sz w:val="32"/>
          <w:szCs w:val="32"/>
        </w:rPr>
        <w:t>结合武江城市定位、人口规模和资源环境承载能力和国土空间开发适宜性，优化生产、生活、生态“三生”空间。充分利用教育、医疗、文化等城市功能用地，把发展与布局、布局与管控融为一体，实现全区发展空间“一张蓝图”管理。加强生态发展区城市功能建设。适度控制建筑开发强度，增加绿地、开敞空间和公共服务设施供给，推动生态宜居品质提升。实施高铁沿线环境整治和景观规划建设，打造彰显自然山水的城市面貌。</w:t>
      </w:r>
    </w:p>
    <w:p>
      <w:pPr>
        <w:pageBreakBefore w:val="0"/>
        <w:widowControl w:val="0"/>
        <w:kinsoku/>
        <w:wordWrap/>
        <w:overflowPunct/>
        <w:topLinePunct w:val="0"/>
        <w:autoSpaceDE/>
        <w:autoSpaceDN/>
        <w:bidi w:val="0"/>
        <w:adjustRightInd/>
        <w:snapToGrid/>
        <w:spacing w:line="600" w:lineRule="exact"/>
        <w:ind w:firstLine="56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拓展中心城区发展空间。</w:t>
      </w:r>
      <w:r>
        <w:rPr>
          <w:rFonts w:hint="eastAsia" w:ascii="仿宋_GB2312" w:hAnsi="仿宋_GB2312" w:eastAsia="仿宋_GB2312" w:cs="仿宋_GB2312"/>
          <w:sz w:val="32"/>
          <w:szCs w:val="32"/>
        </w:rPr>
        <w:t>加快建设丹霞大道北、教育路等中心城区主干道路，推进中心城区向纵深发展。进一步加强芙蓉山片区道路改造提升，扩展连接韶关新区的路网脉络，加快与韶关新区的融合发展。加快实施北江航道上延工程，推进北江航道上延工程涉及的桥梁改造和新建，打通中心城区与浈江区等周边县区的水陆通道。加快开发江湾片区，通过韶州大桥加强与曲江区的互联互通。</w:t>
      </w:r>
    </w:p>
    <w:p>
      <w:pPr>
        <w:pStyle w:val="33"/>
        <w:pageBreakBefore w:val="0"/>
        <w:widowControl w:val="0"/>
        <w:kinsoku/>
        <w:wordWrap/>
        <w:overflowPunct/>
        <w:topLinePunct w:val="0"/>
        <w:autoSpaceDE/>
        <w:autoSpaceDN/>
        <w:bidi w:val="0"/>
        <w:adjustRightInd/>
        <w:snapToGrid/>
        <w:spacing w:line="600" w:lineRule="exact"/>
        <w:ind w:firstLine="480"/>
        <w:textAlignment w:val="auto"/>
        <w:rPr>
          <w:sz w:val="32"/>
          <w:szCs w:val="32"/>
        </w:rPr>
      </w:pPr>
    </w:p>
    <w:p>
      <w:pPr>
        <w:pStyle w:val="4"/>
        <w:pageBreakBefore w:val="0"/>
        <w:widowControl w:val="0"/>
        <w:kinsoku/>
        <w:wordWrap/>
        <w:overflowPunct/>
        <w:topLinePunct w:val="0"/>
        <w:autoSpaceDE/>
        <w:autoSpaceDN/>
        <w:bidi w:val="0"/>
        <w:adjustRightInd/>
        <w:snapToGrid/>
        <w:spacing w:line="600" w:lineRule="exact"/>
        <w:textAlignment w:val="auto"/>
        <w:rPr>
          <w:sz w:val="32"/>
          <w:szCs w:val="32"/>
        </w:rPr>
      </w:pPr>
      <w:bookmarkStart w:id="138" w:name="_Toc30580"/>
      <w:bookmarkStart w:id="139" w:name="_Toc15664"/>
      <w:bookmarkStart w:id="140" w:name="_Toc4965"/>
      <w:bookmarkStart w:id="141" w:name="_Toc27077"/>
      <w:bookmarkStart w:id="142" w:name="_Toc18295"/>
      <w:bookmarkStart w:id="143" w:name="_Toc17144"/>
      <w:bookmarkStart w:id="144" w:name="_Toc428"/>
      <w:r>
        <w:rPr>
          <w:rFonts w:hint="eastAsia"/>
          <w:sz w:val="32"/>
          <w:szCs w:val="32"/>
        </w:rPr>
        <w:t>第二节  加快发展都市型产业</w:t>
      </w:r>
      <w:bookmarkEnd w:id="138"/>
      <w:bookmarkEnd w:id="139"/>
      <w:bookmarkEnd w:id="140"/>
      <w:bookmarkEnd w:id="141"/>
      <w:bookmarkEnd w:id="142"/>
      <w:bookmarkEnd w:id="143"/>
      <w:bookmarkEnd w:id="144"/>
    </w:p>
    <w:p>
      <w:pPr>
        <w:pageBreakBefore w:val="0"/>
        <w:widowControl w:val="0"/>
        <w:kinsoku/>
        <w:wordWrap/>
        <w:overflowPunct/>
        <w:topLinePunct w:val="0"/>
        <w:autoSpaceDE/>
        <w:autoSpaceDN/>
        <w:bidi w:val="0"/>
        <w:adjustRightInd/>
        <w:snapToGrid/>
        <w:spacing w:line="600" w:lineRule="exact"/>
        <w:ind w:firstLine="640"/>
        <w:textAlignment w:val="auto"/>
        <w:rPr>
          <w:sz w:val="32"/>
          <w:szCs w:val="32"/>
        </w:rPr>
      </w:pPr>
    </w:p>
    <w:p>
      <w:pPr>
        <w:pageBreakBefore w:val="0"/>
        <w:widowControl w:val="0"/>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着力提高服务效率和服务品质，培育服务业新模式新业态，构建优质高效、布局集中的都市型产业集聚区，打造韶关城市经济样板。</w:t>
      </w:r>
    </w:p>
    <w:p>
      <w:pPr>
        <w:pageBreakBefore w:val="0"/>
        <w:widowControl w:val="0"/>
        <w:kinsoku/>
        <w:wordWrap/>
        <w:overflowPunct/>
        <w:topLinePunct w:val="0"/>
        <w:autoSpaceDE/>
        <w:autoSpaceDN/>
        <w:bidi w:val="0"/>
        <w:adjustRightInd/>
        <w:snapToGrid/>
        <w:spacing w:line="600" w:lineRule="exact"/>
        <w:ind w:firstLine="56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做大做优都市型产业。</w:t>
      </w:r>
      <w:r>
        <w:rPr>
          <w:rFonts w:hint="eastAsia" w:ascii="仿宋_GB2312" w:hAnsi="仿宋_GB2312" w:eastAsia="仿宋_GB2312" w:cs="仿宋_GB2312"/>
          <w:sz w:val="32"/>
          <w:szCs w:val="32"/>
        </w:rPr>
        <w:t>着力发展楼宇经济、总部经济、商贸服务、金融服务、餐饮娱乐、数字经济、文化创意和科技创新等都市型产业，推动服务业向高品质和多元化升级。围绕枫合汇、湘商大厦、摩尔城等</w:t>
      </w:r>
      <w:r>
        <w:rPr>
          <w:rFonts w:hint="eastAsia" w:ascii="仿宋_GB2312" w:hAnsi="仿宋_GB2312" w:eastAsia="仿宋_GB2312" w:cs="仿宋_GB2312"/>
          <w:sz w:val="32"/>
          <w:szCs w:val="32"/>
          <w:lang w:eastAsia="zh-CN"/>
        </w:rPr>
        <w:t>商务楼宇</w:t>
      </w:r>
      <w:r>
        <w:rPr>
          <w:rFonts w:hint="eastAsia" w:ascii="仿宋_GB2312" w:hAnsi="仿宋_GB2312" w:eastAsia="仿宋_GB2312" w:cs="仿宋_GB2312"/>
          <w:sz w:val="32"/>
          <w:szCs w:val="32"/>
        </w:rPr>
        <w:t>，加快企业导入速度，加快</w:t>
      </w:r>
      <w:r>
        <w:rPr>
          <w:rFonts w:hint="eastAsia" w:ascii="仿宋_GB2312" w:hAnsi="仿宋_GB2312" w:eastAsia="仿宋_GB2312" w:cs="仿宋_GB2312"/>
          <w:sz w:val="32"/>
          <w:szCs w:val="32"/>
          <w:lang w:eastAsia="zh-CN"/>
        </w:rPr>
        <w:t>凤武大厦</w:t>
      </w:r>
      <w:r>
        <w:rPr>
          <w:rFonts w:hint="eastAsia" w:ascii="仿宋_GB2312" w:hAnsi="仿宋_GB2312" w:eastAsia="仿宋_GB2312" w:cs="仿宋_GB2312"/>
          <w:sz w:val="32"/>
          <w:szCs w:val="32"/>
        </w:rPr>
        <w:t>、建筑大厦建设，持续做大做强楼宇经济。围绕富康广场、新天地广场、幸福世邦广场等商业综合体，将芙蓉山北片区打造成全市高品质消费集聚区。加快中骏世界城项目开发，规划布局数字化、体验式、商旅体融合发展网点，以大数据、移动互联网等新技术新模式，促进商贸、生活服务、休闲娱乐等跨界融合，将韶关大道北片区打造成城市新经济集聚区。加强武江大道南江湾片区城市业态规划招商，围绕韶州体育公园、百旺美食城等项目，发展与体育赛事、会展演艺关联度高的现代服务业及休闲娱乐业。完善城市交通、安全、环境等配套设施，大力发展夜间经济，打造夜间经济示范街区。</w:t>
      </w:r>
    </w:p>
    <w:p>
      <w:pPr>
        <w:pageBreakBefore w:val="0"/>
        <w:widowControl w:val="0"/>
        <w:kinsoku/>
        <w:wordWrap/>
        <w:overflowPunct/>
        <w:topLinePunct w:val="0"/>
        <w:autoSpaceDE/>
        <w:autoSpaceDN/>
        <w:bidi w:val="0"/>
        <w:adjustRightInd/>
        <w:snapToGrid/>
        <w:spacing w:line="600" w:lineRule="exact"/>
        <w:ind w:firstLine="56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大力发展生产性服务业。</w:t>
      </w:r>
      <w:r>
        <w:rPr>
          <w:rFonts w:hint="eastAsia" w:ascii="仿宋_GB2312" w:hAnsi="仿宋_GB2312" w:eastAsia="仿宋_GB2312" w:cs="仿宋_GB2312"/>
          <w:sz w:val="32"/>
          <w:szCs w:val="32"/>
        </w:rPr>
        <w:t>鼓励发展战略规划、营销策划、市场调查、环保咨询、管理咨询等咨询服务，积极发展法律服务、评估检测、会计审计、税务、勘察设计、工程咨询等专业咨询服务。积极发展知识产权咨询服务，培育知识产权转化、投融资等市场化企业主体。鼓励发展新型商业模式和商业业态，提升特色商业街品位，培育休闲消费聚集地，升级商业综合体功能，充分释放消费新活力，构建市民生活新空间，助力现代化高品质城市建设。</w:t>
      </w:r>
    </w:p>
    <w:p>
      <w:pPr>
        <w:pStyle w:val="33"/>
        <w:pageBreakBefore w:val="0"/>
        <w:widowControl w:val="0"/>
        <w:kinsoku/>
        <w:wordWrap/>
        <w:overflowPunct/>
        <w:topLinePunct w:val="0"/>
        <w:autoSpaceDE/>
        <w:autoSpaceDN/>
        <w:bidi w:val="0"/>
        <w:adjustRightInd/>
        <w:snapToGrid/>
        <w:spacing w:line="600" w:lineRule="exact"/>
        <w:ind w:firstLine="560"/>
        <w:textAlignment w:val="auto"/>
        <w:rPr>
          <w:sz w:val="32"/>
          <w:szCs w:val="32"/>
        </w:rPr>
      </w:pPr>
    </w:p>
    <w:p>
      <w:pPr>
        <w:pStyle w:val="4"/>
        <w:pageBreakBefore w:val="0"/>
        <w:widowControl w:val="0"/>
        <w:kinsoku/>
        <w:wordWrap/>
        <w:overflowPunct/>
        <w:topLinePunct w:val="0"/>
        <w:autoSpaceDE/>
        <w:autoSpaceDN/>
        <w:bidi w:val="0"/>
        <w:adjustRightInd/>
        <w:snapToGrid/>
        <w:spacing w:line="600" w:lineRule="exact"/>
        <w:textAlignment w:val="auto"/>
        <w:rPr>
          <w:sz w:val="32"/>
          <w:szCs w:val="32"/>
        </w:rPr>
      </w:pPr>
      <w:bookmarkStart w:id="145" w:name="_Toc31550"/>
      <w:bookmarkStart w:id="146" w:name="_Toc17856"/>
      <w:bookmarkStart w:id="147" w:name="_Toc9531"/>
      <w:bookmarkStart w:id="148" w:name="_Toc32634"/>
      <w:bookmarkStart w:id="149" w:name="_Toc31172"/>
      <w:bookmarkStart w:id="150" w:name="_Toc10699"/>
      <w:bookmarkStart w:id="151" w:name="_Toc26901"/>
      <w:r>
        <w:rPr>
          <w:rFonts w:hint="eastAsia"/>
          <w:sz w:val="32"/>
          <w:szCs w:val="32"/>
        </w:rPr>
        <w:t xml:space="preserve">第三节  </w:t>
      </w:r>
      <w:bookmarkStart w:id="152" w:name="_Toc27500"/>
      <w:r>
        <w:rPr>
          <w:rFonts w:hint="eastAsia"/>
          <w:sz w:val="32"/>
          <w:szCs w:val="32"/>
        </w:rPr>
        <w:t>提升城市精细化品质化水平</w:t>
      </w:r>
      <w:bookmarkEnd w:id="145"/>
      <w:bookmarkEnd w:id="146"/>
      <w:bookmarkEnd w:id="147"/>
      <w:bookmarkEnd w:id="148"/>
      <w:bookmarkEnd w:id="149"/>
      <w:bookmarkEnd w:id="150"/>
      <w:bookmarkEnd w:id="151"/>
      <w:bookmarkEnd w:id="152"/>
    </w:p>
    <w:p>
      <w:pPr>
        <w:pageBreakBefore w:val="0"/>
        <w:widowControl w:val="0"/>
        <w:kinsoku/>
        <w:wordWrap/>
        <w:overflowPunct/>
        <w:topLinePunct w:val="0"/>
        <w:autoSpaceDE/>
        <w:autoSpaceDN/>
        <w:bidi w:val="0"/>
        <w:adjustRightInd/>
        <w:snapToGrid/>
        <w:spacing w:line="600" w:lineRule="exact"/>
        <w:ind w:firstLine="640"/>
        <w:textAlignment w:val="auto"/>
        <w:rPr>
          <w:sz w:val="32"/>
          <w:szCs w:val="32"/>
        </w:rPr>
      </w:pPr>
    </w:p>
    <w:p>
      <w:pPr>
        <w:pageBreakBefore w:val="0"/>
        <w:widowControl w:val="0"/>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进一步做美城市环境、做细城市管理，完善城区配套服务功能，提升居民生活服务便利化水平，建立便民生活服务圈，塑造魅力武江的文明形象。</w:t>
      </w:r>
    </w:p>
    <w:p>
      <w:pPr>
        <w:pageBreakBefore w:val="0"/>
        <w:widowControl w:val="0"/>
        <w:kinsoku/>
        <w:wordWrap/>
        <w:overflowPunct/>
        <w:topLinePunct w:val="0"/>
        <w:autoSpaceDE/>
        <w:autoSpaceDN/>
        <w:bidi w:val="0"/>
        <w:adjustRightInd/>
        <w:snapToGrid/>
        <w:spacing w:line="600" w:lineRule="exact"/>
        <w:ind w:firstLine="56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实施城市更新行动。</w:t>
      </w:r>
      <w:r>
        <w:rPr>
          <w:rFonts w:hint="eastAsia" w:ascii="仿宋_GB2312" w:hAnsi="仿宋_GB2312" w:eastAsia="仿宋_GB2312" w:cs="仿宋_GB2312"/>
          <w:sz w:val="32"/>
          <w:szCs w:val="32"/>
        </w:rPr>
        <w:t>推进以人为核心的新型城镇化，科学制定老旧小区改造方案，重点改造完善小区配套和市政基础设施，提升社区养老、托育、医疗等公共服务水平，推动建设安全健康、设施完善、管理有序的居住社区。充分利用好国家、省相关资金加快改造老旧小区和背街小巷，鼓励社会资本参与城市更新。推进旧城有机更新和片区一体改造，整体提升惠民西片区、工业西片区等居民聚集区，加大保障性租赁住房建设。加快推动“三旧”项目改造进程，借鉴沙湖绿洲、万紫千红等项目经验，加快推进已明确规划建设的项目。兼顾完善功能和传承历史，在改善居住条件、提高环境品质的同时，展现城市特色，延续历史文脉。</w:t>
      </w:r>
    </w:p>
    <w:p>
      <w:pPr>
        <w:pageBreakBefore w:val="0"/>
        <w:widowControl w:val="0"/>
        <w:kinsoku/>
        <w:wordWrap/>
        <w:overflowPunct/>
        <w:topLinePunct w:val="0"/>
        <w:autoSpaceDE/>
        <w:autoSpaceDN/>
        <w:bidi w:val="0"/>
        <w:adjustRightInd/>
        <w:snapToGrid/>
        <w:spacing w:line="600" w:lineRule="exact"/>
        <w:ind w:firstLine="56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提升城市精细化管理水平。</w:t>
      </w:r>
      <w:r>
        <w:rPr>
          <w:rFonts w:hint="eastAsia" w:ascii="仿宋_GB2312" w:hAnsi="仿宋_GB2312" w:eastAsia="仿宋_GB2312" w:cs="仿宋_GB2312"/>
          <w:sz w:val="32"/>
          <w:szCs w:val="32"/>
        </w:rPr>
        <w:t>依托智慧城市指挥中心，全面落实城市全科网格化管理机制，实现小区域、模块化管理。积极推进垃圾分类处理。完善环卫保洁长效管理制度，提高环卫保洁机械化作业程度。持续开展“六乱”、“三线”、户外广告招牌等整治行动。抓好道路痛点、堵点整治，不断提升城市形象和交通畅顺水平，让市民生活更便利、更舒适。积极推进文明城市创建，开展各类群众性文明新风主题活动，提高市民文明素质，塑造亲和淳朴文明内涵。</w:t>
      </w:r>
      <w:bookmarkStart w:id="153" w:name="_Toc31510"/>
    </w:p>
    <w:p>
      <w:pPr>
        <w:pageBreakBefore w:val="0"/>
        <w:widowControl w:val="0"/>
        <w:kinsoku/>
        <w:wordWrap/>
        <w:overflowPunct/>
        <w:topLinePunct w:val="0"/>
        <w:autoSpaceDE/>
        <w:autoSpaceDN/>
        <w:bidi w:val="0"/>
        <w:adjustRightInd/>
        <w:snapToGrid/>
        <w:spacing w:line="600" w:lineRule="exact"/>
        <w:ind w:firstLine="56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提升城市生态品质。</w:t>
      </w:r>
      <w:r>
        <w:rPr>
          <w:rFonts w:hint="eastAsia" w:ascii="仿宋_GB2312" w:hAnsi="仿宋_GB2312" w:eastAsia="仿宋_GB2312" w:cs="仿宋_GB2312"/>
          <w:sz w:val="32"/>
          <w:szCs w:val="32"/>
        </w:rPr>
        <w:t>将韶州公园、</w:t>
      </w:r>
      <w:r>
        <w:rPr>
          <w:rFonts w:hint="eastAsia" w:ascii="仿宋_GB2312" w:hAnsi="仿宋_GB2312" w:eastAsia="仿宋_GB2312" w:cs="仿宋_GB2312"/>
          <w:color w:val="auto"/>
          <w:sz w:val="32"/>
          <w:szCs w:val="32"/>
          <w:highlight w:val="none"/>
          <w:lang w:eastAsia="zh-CN"/>
        </w:rPr>
        <w:t>矿山公园片区</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林桥公园</w:t>
      </w:r>
      <w:r>
        <w:rPr>
          <w:rFonts w:hint="eastAsia" w:ascii="仿宋_GB2312" w:hAnsi="仿宋_GB2312" w:eastAsia="仿宋_GB2312" w:cs="仿宋_GB2312"/>
          <w:color w:val="auto"/>
          <w:sz w:val="32"/>
          <w:szCs w:val="32"/>
        </w:rPr>
        <w:t>片区打造成为市区市民</w:t>
      </w:r>
      <w:r>
        <w:rPr>
          <w:rFonts w:hint="eastAsia" w:ascii="仿宋_GB2312" w:hAnsi="仿宋_GB2312" w:eastAsia="仿宋_GB2312" w:cs="仿宋_GB2312"/>
          <w:sz w:val="32"/>
          <w:szCs w:val="32"/>
        </w:rPr>
        <w:t>休闲健身首选，美化城市公园、社区公园、街旁绿地。规划新建一批城市居民休闲健身场所，利用城市未利用地、闲置用地、边角地等拓展城市绿地，以绣花功夫打造小公园、小绿地、小广场、小景观。推进武江大道等城市主干道整治提升，注重沿街业态培育，增添沿线文化元素，努力打造成特色鲜明、市民满意的靓丽风景线。对高速公路出入口进行“绿化、亮化、美化”改造，提升城市门户景观形象，彰显魅力武江风貌。</w:t>
      </w:r>
    </w:p>
    <w:p>
      <w:pPr>
        <w:pageBreakBefore w:val="0"/>
        <w:widowControl w:val="0"/>
        <w:kinsoku/>
        <w:wordWrap/>
        <w:overflowPunct/>
        <w:topLinePunct w:val="0"/>
        <w:autoSpaceDE/>
        <w:autoSpaceDN/>
        <w:bidi w:val="0"/>
        <w:adjustRightInd/>
        <w:snapToGrid/>
        <w:spacing w:line="600" w:lineRule="exact"/>
        <w:textAlignment w:val="auto"/>
        <w:rPr>
          <w:sz w:val="32"/>
          <w:szCs w:val="32"/>
        </w:rPr>
      </w:pPr>
    </w:p>
    <w:p>
      <w:pPr>
        <w:pStyle w:val="4"/>
        <w:pageBreakBefore w:val="0"/>
        <w:widowControl w:val="0"/>
        <w:kinsoku/>
        <w:wordWrap/>
        <w:overflowPunct/>
        <w:topLinePunct w:val="0"/>
        <w:autoSpaceDE/>
        <w:autoSpaceDN/>
        <w:bidi w:val="0"/>
        <w:adjustRightInd/>
        <w:snapToGrid/>
        <w:spacing w:line="600" w:lineRule="exact"/>
        <w:textAlignment w:val="auto"/>
        <w:rPr>
          <w:sz w:val="32"/>
          <w:szCs w:val="32"/>
        </w:rPr>
      </w:pPr>
      <w:bookmarkStart w:id="154" w:name="_Toc1864"/>
      <w:bookmarkStart w:id="155" w:name="_Toc13661"/>
      <w:bookmarkStart w:id="156" w:name="_Toc20766"/>
      <w:bookmarkStart w:id="157" w:name="_Toc30818"/>
      <w:bookmarkStart w:id="158" w:name="_Toc22259"/>
      <w:bookmarkStart w:id="159" w:name="_Toc3335"/>
      <w:bookmarkStart w:id="160" w:name="_Toc24126"/>
      <w:r>
        <w:rPr>
          <w:rFonts w:hint="eastAsia"/>
          <w:sz w:val="32"/>
          <w:szCs w:val="32"/>
        </w:rPr>
        <w:t>第四节  加强城区基础设施建设</w:t>
      </w:r>
      <w:bookmarkEnd w:id="153"/>
      <w:bookmarkEnd w:id="154"/>
      <w:bookmarkEnd w:id="155"/>
      <w:bookmarkEnd w:id="156"/>
      <w:bookmarkEnd w:id="157"/>
      <w:bookmarkEnd w:id="158"/>
      <w:bookmarkEnd w:id="159"/>
      <w:bookmarkEnd w:id="160"/>
    </w:p>
    <w:p>
      <w:pPr>
        <w:pageBreakBefore w:val="0"/>
        <w:widowControl w:val="0"/>
        <w:kinsoku/>
        <w:wordWrap/>
        <w:overflowPunct/>
        <w:topLinePunct w:val="0"/>
        <w:autoSpaceDE/>
        <w:autoSpaceDN/>
        <w:bidi w:val="0"/>
        <w:adjustRightInd/>
        <w:snapToGrid/>
        <w:spacing w:line="600" w:lineRule="exact"/>
        <w:ind w:firstLine="640"/>
        <w:textAlignment w:val="auto"/>
        <w:rPr>
          <w:sz w:val="32"/>
          <w:szCs w:val="32"/>
        </w:rPr>
      </w:pPr>
    </w:p>
    <w:p>
      <w:pPr>
        <w:pageBreakBefore w:val="0"/>
        <w:widowControl w:val="0"/>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不断加强基础设施建设，加快城市基础设施智能化改造和感知体系工程建设，实现数字技术与城市运行的深度融合，完善城市慢行交通系统，让城区更宜居、生活更便利。</w:t>
      </w:r>
    </w:p>
    <w:p>
      <w:pPr>
        <w:pageBreakBefore w:val="0"/>
        <w:widowControl w:val="0"/>
        <w:kinsoku/>
        <w:wordWrap/>
        <w:overflowPunct/>
        <w:topLinePunct w:val="0"/>
        <w:autoSpaceDE/>
        <w:autoSpaceDN/>
        <w:bidi w:val="0"/>
        <w:adjustRightInd/>
        <w:snapToGrid/>
        <w:spacing w:line="600" w:lineRule="exact"/>
        <w:ind w:firstLine="56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加强公共基础设施建设。</w:t>
      </w:r>
      <w:r>
        <w:rPr>
          <w:rFonts w:hint="eastAsia" w:ascii="仿宋_GB2312" w:hAnsi="仿宋_GB2312" w:eastAsia="仿宋_GB2312" w:cs="仿宋_GB2312"/>
          <w:sz w:val="32"/>
          <w:szCs w:val="32"/>
        </w:rPr>
        <w:t>不断优化重要交通节点组织，构建辖区快速环线，加快教育路、丹霞大道北、丹霞大桥等主干路桥建设，优化城区路网，提高城区通达水平。完善新天地广场、富康广场、奥园、外滩华府等大型商住项目周边公路、人行道等市政基础设施，改善通行条件。优化提升城市慢行系统，推动建设人行天桥，构建通畅的交通微循环体系。在重点公共区域配建停车场，探索辖区内机关、事业及国有企业错峰免费开放停车机制，加大立体停车场建设力度，解决停车难的问题。统筹推进汽车充电桩、小区充电桩等新能源基础设施建设。补齐城区医疗、教育、文化、体育等基础设施短板，实施一批新建和改扩建项目。</w:t>
      </w:r>
    </w:p>
    <w:p>
      <w:pPr>
        <w:pageBreakBefore w:val="0"/>
        <w:widowControl w:val="0"/>
        <w:kinsoku/>
        <w:wordWrap/>
        <w:overflowPunct/>
        <w:topLinePunct w:val="0"/>
        <w:autoSpaceDE/>
        <w:autoSpaceDN/>
        <w:bidi w:val="0"/>
        <w:adjustRightInd/>
        <w:snapToGrid/>
        <w:spacing w:line="600" w:lineRule="exact"/>
        <w:ind w:firstLine="56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推进智慧城市建设。</w:t>
      </w:r>
      <w:r>
        <w:rPr>
          <w:rFonts w:hint="eastAsia" w:ascii="仿宋_GB2312" w:hAnsi="仿宋_GB2312" w:eastAsia="仿宋_GB2312" w:cs="仿宋_GB2312"/>
          <w:sz w:val="32"/>
          <w:szCs w:val="32"/>
        </w:rPr>
        <w:t>推动城市基础设施智能化改造和感知体系工程建设。配合落实《韶关市5G基站站址规划》，到2025年基本实现城镇范围5G网络全覆盖。推动“5G+”应用示范，逐步扩大5G技术的物联网与智慧城市应用示范。加快推进“智慧武江”“数字城管”统一平台应用，进一步整合现有电子政务、交通、治安、教育、卫生、食品药品安全、劳动就业等信息系统资源，打造“城市大脑”，实现城市的基础信息、政务服务、公共服务等信息资源共用平台、共享资源、集中查询、统一服务。建立信息资源共享跨部门协调机制，全面汇集城市各领域数据资源，用大数据帮助城市思考、决策，推动城市运行数字化、智能化，提升城市综合治理和应急处置的快速响应能力，全面提升城市管理和公共服务水平，助推现代化高品质中心城区建设。</w:t>
      </w:r>
    </w:p>
    <w:p>
      <w:pPr>
        <w:pStyle w:val="3"/>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cs="黑体"/>
          <w:sz w:val="32"/>
          <w:szCs w:val="32"/>
        </w:rPr>
      </w:pPr>
      <w:bookmarkStart w:id="161" w:name="_Toc9252"/>
      <w:bookmarkStart w:id="162" w:name="_Toc16775"/>
      <w:bookmarkStart w:id="163" w:name="_Toc24785"/>
      <w:bookmarkStart w:id="164" w:name="_Toc17488"/>
      <w:bookmarkStart w:id="165" w:name="_Toc3040"/>
      <w:bookmarkStart w:id="166" w:name="_Toc4921"/>
    </w:p>
    <w:p>
      <w:pPr>
        <w:pStyle w:val="3"/>
        <w:pageBreakBefore w:val="0"/>
        <w:widowControl w:val="0"/>
        <w:kinsoku/>
        <w:wordWrap/>
        <w:overflowPunct/>
        <w:topLinePunct w:val="0"/>
        <w:autoSpaceDE/>
        <w:autoSpaceDN/>
        <w:bidi w:val="0"/>
        <w:adjustRightInd/>
        <w:snapToGrid/>
        <w:spacing w:line="600" w:lineRule="exact"/>
        <w:jc w:val="center"/>
        <w:textAlignment w:val="auto"/>
        <w:rPr>
          <w:rFonts w:ascii="黑体" w:hAnsi="黑体" w:cs="黑体"/>
          <w:sz w:val="32"/>
          <w:szCs w:val="32"/>
        </w:rPr>
      </w:pPr>
      <w:bookmarkStart w:id="167" w:name="_Toc304"/>
      <w:bookmarkStart w:id="168" w:name="_Toc4670"/>
      <w:r>
        <w:rPr>
          <w:rFonts w:hint="eastAsia" w:ascii="黑体" w:hAnsi="黑体" w:cs="黑体"/>
          <w:sz w:val="32"/>
          <w:szCs w:val="32"/>
        </w:rPr>
        <w:t>第六章  全面推进乡村振兴，推动城乡融合高质量发展</w:t>
      </w:r>
      <w:bookmarkEnd w:id="161"/>
      <w:bookmarkEnd w:id="162"/>
      <w:bookmarkEnd w:id="163"/>
      <w:bookmarkEnd w:id="164"/>
      <w:bookmarkEnd w:id="165"/>
      <w:bookmarkEnd w:id="166"/>
      <w:bookmarkEnd w:id="167"/>
      <w:bookmarkEnd w:id="168"/>
    </w:p>
    <w:p>
      <w:pPr>
        <w:pageBreakBefore w:val="0"/>
        <w:widowControl w:val="0"/>
        <w:kinsoku/>
        <w:wordWrap/>
        <w:overflowPunct/>
        <w:topLinePunct w:val="0"/>
        <w:autoSpaceDE/>
        <w:autoSpaceDN/>
        <w:bidi w:val="0"/>
        <w:adjustRightInd/>
        <w:snapToGrid/>
        <w:spacing w:line="600" w:lineRule="exact"/>
        <w:ind w:firstLine="640"/>
        <w:textAlignment w:val="auto"/>
        <w:rPr>
          <w:sz w:val="32"/>
          <w:szCs w:val="32"/>
        </w:rPr>
      </w:pPr>
    </w:p>
    <w:p>
      <w:pPr>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sz w:val="32"/>
          <w:szCs w:val="32"/>
        </w:rPr>
        <w:t>坚持农业农村优先发展，全面实施乡村振兴战略，强化以工补农、以城带乡，推动形成工农互促、城乡互补、协调发展、共同繁荣的新型城乡关系，发展精细农业、建设精美农村、培养精勤农民，</w:t>
      </w:r>
      <w:r>
        <w:rPr>
          <w:rFonts w:hint="eastAsia" w:ascii="仿宋_GB2312" w:hAnsi="仿宋_GB2312" w:eastAsia="仿宋_GB2312" w:cs="仿宋_GB2312"/>
          <w:sz w:val="32"/>
          <w:szCs w:val="32"/>
          <w:lang w:eastAsia="zh-CN"/>
        </w:rPr>
        <w:t>实现农业高质高效、乡村宜居宜业、农民富裕富足，</w:t>
      </w:r>
      <w:r>
        <w:rPr>
          <w:rFonts w:hint="eastAsia" w:ascii="仿宋_GB2312" w:hAnsi="仿宋_GB2312" w:eastAsia="仿宋_GB2312" w:cs="仿宋_GB2312"/>
          <w:sz w:val="32"/>
          <w:szCs w:val="32"/>
        </w:rPr>
        <w:t>高质量完成城乡融合发展省级试点任务，加快农业农村现代化</w:t>
      </w:r>
      <w:bookmarkStart w:id="169" w:name="_Toc27026"/>
      <w:r>
        <w:rPr>
          <w:rFonts w:hint="eastAsia" w:ascii="仿宋_GB2312" w:hAnsi="仿宋_GB2312" w:eastAsia="仿宋_GB2312" w:cs="仿宋_GB2312"/>
          <w:color w:val="000000" w:themeColor="text1"/>
          <w:spacing w:val="7"/>
          <w:sz w:val="32"/>
          <w:szCs w:val="32"/>
          <w:shd w:val="clear" w:color="auto" w:fill="FFFFFF"/>
        </w:rPr>
        <w:t>。</w:t>
      </w:r>
    </w:p>
    <w:p>
      <w:pPr>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ascii="黑体" w:hAnsi="黑体" w:eastAsia="黑体" w:cs="黑体"/>
          <w:sz w:val="32"/>
          <w:szCs w:val="32"/>
        </w:rPr>
      </w:pPr>
    </w:p>
    <w:p>
      <w:pPr>
        <w:pStyle w:val="4"/>
        <w:pageBreakBefore w:val="0"/>
        <w:widowControl w:val="0"/>
        <w:kinsoku/>
        <w:wordWrap/>
        <w:overflowPunct/>
        <w:topLinePunct w:val="0"/>
        <w:autoSpaceDE/>
        <w:autoSpaceDN/>
        <w:bidi w:val="0"/>
        <w:adjustRightInd/>
        <w:snapToGrid/>
        <w:spacing w:line="600" w:lineRule="exact"/>
        <w:textAlignment w:val="auto"/>
        <w:rPr>
          <w:sz w:val="32"/>
          <w:szCs w:val="32"/>
        </w:rPr>
      </w:pPr>
      <w:bookmarkStart w:id="170" w:name="_Toc30160"/>
      <w:bookmarkStart w:id="171" w:name="_Toc15828"/>
      <w:bookmarkStart w:id="172" w:name="_Toc19750"/>
      <w:bookmarkStart w:id="173" w:name="_Toc5943"/>
      <w:bookmarkStart w:id="174" w:name="_Toc15448"/>
      <w:bookmarkStart w:id="175" w:name="_Toc5508"/>
      <w:bookmarkStart w:id="176" w:name="_Toc30252"/>
      <w:r>
        <w:rPr>
          <w:rFonts w:hint="eastAsia"/>
          <w:sz w:val="32"/>
          <w:szCs w:val="32"/>
        </w:rPr>
        <w:t>第一节  大力</w:t>
      </w:r>
      <w:bookmarkEnd w:id="169"/>
      <w:r>
        <w:rPr>
          <w:rFonts w:hint="eastAsia"/>
          <w:sz w:val="32"/>
          <w:szCs w:val="32"/>
        </w:rPr>
        <w:t>提升农业发展质量</w:t>
      </w:r>
      <w:bookmarkEnd w:id="170"/>
      <w:bookmarkEnd w:id="171"/>
      <w:bookmarkEnd w:id="172"/>
      <w:bookmarkEnd w:id="173"/>
      <w:bookmarkEnd w:id="174"/>
      <w:bookmarkEnd w:id="175"/>
      <w:bookmarkEnd w:id="176"/>
    </w:p>
    <w:p>
      <w:pPr>
        <w:pageBreakBefore w:val="0"/>
        <w:widowControl w:val="0"/>
        <w:kinsoku/>
        <w:wordWrap/>
        <w:overflowPunct/>
        <w:topLinePunct w:val="0"/>
        <w:autoSpaceDE/>
        <w:autoSpaceDN/>
        <w:bidi w:val="0"/>
        <w:adjustRightInd/>
        <w:snapToGrid/>
        <w:spacing w:line="600" w:lineRule="exact"/>
        <w:ind w:firstLine="640"/>
        <w:textAlignment w:val="auto"/>
        <w:rPr>
          <w:rFonts w:ascii="仿宋" w:hAnsi="仿宋" w:cs="仿宋"/>
          <w:sz w:val="32"/>
          <w:szCs w:val="32"/>
        </w:rPr>
      </w:pPr>
    </w:p>
    <w:p>
      <w:pPr>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坚持科技兴农、质量兴农、品牌兴农，推动农业供给侧结构性改革，完善现代农业生产、经营体系，加快发展特色农业、精细农业，促进特色农业加快发展。</w:t>
      </w:r>
    </w:p>
    <w:p>
      <w:pPr>
        <w:pageBreakBefore w:val="0"/>
        <w:widowControl w:val="0"/>
        <w:kinsoku/>
        <w:wordWrap/>
        <w:overflowPunct/>
        <w:topLinePunct w:val="0"/>
        <w:autoSpaceDE/>
        <w:autoSpaceDN/>
        <w:bidi w:val="0"/>
        <w:adjustRightInd/>
        <w:snapToGrid/>
        <w:spacing w:line="600" w:lineRule="exact"/>
        <w:ind w:firstLine="643"/>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b/>
          <w:sz w:val="32"/>
          <w:szCs w:val="32"/>
        </w:rPr>
        <w:t>夯实农业生产基础</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themeColor="text1"/>
          <w:sz w:val="32"/>
          <w:szCs w:val="32"/>
        </w:rPr>
        <w:t>加快补齐农业基础设施短板，提升生态农业设施化水平。落实最严格的耕地保护制度，推广设施大棚等装备技术。整合各类高标准农田建设项目和资金，统筹推进高标准农田建设，加快建成一批高产稳产、田块平整、土壤肥沃、排灌方便、道路通畅、生态良好的高标准农田。完善农业灌溉设施，</w:t>
      </w:r>
      <w:r>
        <w:rPr>
          <w:rFonts w:hint="eastAsia" w:ascii="仿宋_GB2312" w:hAnsi="仿宋_GB2312" w:eastAsia="仿宋_GB2312" w:cs="仿宋_GB2312"/>
          <w:sz w:val="32"/>
          <w:szCs w:val="32"/>
        </w:rPr>
        <w:t>因地制宜普及推广喷灌、微灌等先进适用节水灌溉技术，推进灌区工程建设。继续推进中小河流治理，加快建设山塘水库除险及破损灌渠修复工程建设项目。</w:t>
      </w:r>
      <w:r>
        <w:rPr>
          <w:rFonts w:hint="eastAsia" w:ascii="仿宋_GB2312" w:hAnsi="仿宋_GB2312" w:eastAsia="仿宋_GB2312" w:cs="仿宋_GB2312"/>
          <w:color w:val="000000" w:themeColor="text1"/>
          <w:sz w:val="32"/>
          <w:szCs w:val="32"/>
        </w:rPr>
        <w:t>完善粮食生产体系建设，提升粮食生产设施装备水平，加快水稻生产全程机械化进程，加强粮食机械化示范基地建设。以龙归镇、重阳镇的主要产区为重点，建设集中连片、旱涝保收、高产稳产的优质稻生产基地，辐射带动江湾镇、西河镇等周边镇村。以保障粮食安全为底线，健全农业支持保护制度。</w:t>
      </w:r>
      <w:r>
        <w:rPr>
          <w:rFonts w:hint="eastAsia" w:ascii="仿宋_GB2312" w:hAnsi="仿宋_GB2312" w:eastAsia="仿宋_GB2312" w:cs="仿宋_GB2312"/>
          <w:color w:val="000000" w:themeColor="text1"/>
          <w:sz w:val="32"/>
          <w:szCs w:val="32"/>
          <w:lang w:eastAsia="zh-CN"/>
        </w:rPr>
        <w:t>提升</w:t>
      </w:r>
      <w:r>
        <w:rPr>
          <w:rFonts w:hint="eastAsia" w:ascii="仿宋_GB2312" w:hAnsi="仿宋_GB2312" w:eastAsia="仿宋_GB2312" w:cs="仿宋_GB2312"/>
          <w:color w:val="000000" w:themeColor="text1"/>
          <w:sz w:val="32"/>
          <w:szCs w:val="32"/>
        </w:rPr>
        <w:t>农产品质量安全监管能力，保障农产品供给安全。“十四五”期间，确保全区耕地保有量不低于9.2</w:t>
      </w:r>
      <w:r>
        <w:rPr>
          <w:rFonts w:hint="eastAsia" w:ascii="仿宋_GB2312" w:hAnsi="仿宋_GB2312" w:eastAsia="仿宋_GB2312" w:cs="仿宋_GB2312"/>
          <w:color w:val="000000" w:themeColor="text1"/>
          <w:sz w:val="32"/>
          <w:szCs w:val="32"/>
          <w:lang w:val="en-US" w:eastAsia="zh-CN"/>
        </w:rPr>
        <w:t>8</w:t>
      </w:r>
      <w:r>
        <w:rPr>
          <w:rFonts w:hint="eastAsia" w:ascii="仿宋_GB2312" w:hAnsi="仿宋_GB2312" w:eastAsia="仿宋_GB2312" w:cs="仿宋_GB2312"/>
          <w:color w:val="000000" w:themeColor="text1"/>
          <w:sz w:val="32"/>
          <w:szCs w:val="32"/>
        </w:rPr>
        <w:t>万亩，基本农田保有量不低于7.6</w:t>
      </w:r>
      <w:r>
        <w:rPr>
          <w:rFonts w:hint="eastAsia" w:ascii="仿宋_GB2312" w:hAnsi="仿宋_GB2312" w:eastAsia="仿宋_GB2312" w:cs="仿宋_GB2312"/>
          <w:color w:val="000000" w:themeColor="text1"/>
          <w:sz w:val="32"/>
          <w:szCs w:val="32"/>
          <w:lang w:val="en-US" w:eastAsia="zh-CN"/>
        </w:rPr>
        <w:t>2</w:t>
      </w:r>
      <w:r>
        <w:rPr>
          <w:rFonts w:hint="eastAsia" w:ascii="仿宋_GB2312" w:hAnsi="仿宋_GB2312" w:eastAsia="仿宋_GB2312" w:cs="仿宋_GB2312"/>
          <w:color w:val="000000" w:themeColor="text1"/>
          <w:sz w:val="32"/>
          <w:szCs w:val="32"/>
        </w:rPr>
        <w:t>万亩，粮食播种面积稳定在5.6万亩以上。</w:t>
      </w:r>
    </w:p>
    <w:p>
      <w:pPr>
        <w:pageBreakBefore w:val="0"/>
        <w:widowControl w:val="0"/>
        <w:kinsoku/>
        <w:wordWrap/>
        <w:overflowPunct/>
        <w:topLinePunct w:val="0"/>
        <w:autoSpaceDE/>
        <w:autoSpaceDN/>
        <w:bidi w:val="0"/>
        <w:adjustRightInd/>
        <w:snapToGrid/>
        <w:spacing w:line="600" w:lineRule="exact"/>
        <w:ind w:firstLine="643"/>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b/>
          <w:sz w:val="32"/>
          <w:szCs w:val="32"/>
        </w:rPr>
        <w:t>培育新型农业经营主体。</w:t>
      </w:r>
      <w:r>
        <w:rPr>
          <w:rFonts w:hint="eastAsia" w:ascii="仿宋_GB2312" w:hAnsi="仿宋_GB2312" w:eastAsia="仿宋_GB2312" w:cs="仿宋_GB2312"/>
          <w:sz w:val="32"/>
          <w:szCs w:val="32"/>
        </w:rPr>
        <w:t>落实扶持农业新型经营主体的政策，实施新型经营主体提升工程。实行政府引导、政策扶持、市场运作、农民自愿，</w:t>
      </w:r>
      <w:r>
        <w:rPr>
          <w:rFonts w:hint="eastAsia" w:ascii="仿宋_GB2312" w:hAnsi="仿宋_GB2312" w:eastAsia="仿宋_GB2312" w:cs="仿宋_GB2312"/>
          <w:color w:val="000000" w:themeColor="text1"/>
          <w:sz w:val="32"/>
          <w:szCs w:val="32"/>
        </w:rPr>
        <w:t>培育发展家庭农场、农民合作社、龙头企业等新型农业经营主体。支持新型农业经营主体加快发展成为现代农业的骨干力量，通过土地经营权流转、股份合作、生产托管等多种形式，提升适度规模经营水平。完善家庭农场认定制度，提升家庭农场管理服务能力，支持家庭农场联合与合作。建立起以农业龙头企业、加工企业、专业市场、大型农民专业合作社为龙头，引领家庭农场和农户积极参与的一体化、专业化的生产经营体系，推广“公司＋合作社＋农户”、“公司＋农户”的生产经营模式，实施组织化和产销一体化经营。推动龙头企业做大做强，鼓励通过收购、控股等方式，组建大型企业集团，推进集群集聚发展。</w:t>
      </w:r>
      <w:r>
        <w:rPr>
          <w:rFonts w:hint="eastAsia" w:ascii="仿宋_GB2312" w:hAnsi="仿宋_GB2312" w:eastAsia="仿宋_GB2312" w:cs="仿宋_GB2312"/>
          <w:sz w:val="32"/>
          <w:szCs w:val="32"/>
        </w:rPr>
        <w:t>优化农业人才结构，搭建农业众创平台，吸引外出人才回流。</w:t>
      </w:r>
      <w:r>
        <w:rPr>
          <w:rFonts w:hint="eastAsia" w:ascii="仿宋_GB2312" w:hAnsi="仿宋_GB2312" w:eastAsia="仿宋_GB2312" w:cs="仿宋_GB2312"/>
          <w:color w:val="000000" w:themeColor="text1"/>
          <w:sz w:val="32"/>
          <w:szCs w:val="32"/>
        </w:rPr>
        <w:t>推进示范家庭农场、示范农民合作社、示范农业龙头企业等创建，提升新型经营主体素质。</w:t>
      </w:r>
    </w:p>
    <w:p>
      <w:pPr>
        <w:pageBreakBefore w:val="0"/>
        <w:widowControl w:val="0"/>
        <w:kinsoku/>
        <w:wordWrap/>
        <w:overflowPunct/>
        <w:topLinePunct w:val="0"/>
        <w:autoSpaceDE/>
        <w:autoSpaceDN/>
        <w:bidi w:val="0"/>
        <w:adjustRightInd/>
        <w:snapToGrid/>
        <w:spacing w:line="600" w:lineRule="exact"/>
        <w:ind w:firstLine="643"/>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b/>
          <w:sz w:val="32"/>
          <w:szCs w:val="32"/>
        </w:rPr>
        <w:t>加快农业产业化发展。</w:t>
      </w:r>
      <w:r>
        <w:rPr>
          <w:rFonts w:hint="eastAsia" w:ascii="仿宋_GB2312" w:hAnsi="仿宋_GB2312" w:eastAsia="仿宋_GB2312" w:cs="仿宋_GB2312"/>
          <w:sz w:val="32"/>
          <w:szCs w:val="32"/>
        </w:rPr>
        <w:t>优化全区农业产业布局，推动资源要素集聚，调整布局种植业、畜牧业、渔业发展空间，引导形成现代农业发展格局。以高端高效、精品精致为方向，实施高端精致农业建设工程，培育发展附加值高、特色显著、功能多元的高端精致农业。</w:t>
      </w:r>
      <w:r>
        <w:rPr>
          <w:rFonts w:hint="eastAsia" w:ascii="仿宋_GB2312" w:hAnsi="仿宋_GB2312" w:eastAsia="仿宋_GB2312" w:cs="仿宋_GB2312"/>
          <w:color w:val="000000" w:themeColor="text1"/>
          <w:sz w:val="32"/>
          <w:szCs w:val="32"/>
        </w:rPr>
        <w:t>持续推动“一镇一业、一村一品”规模化种植，突出各镇特色做大产业，推动农业产业化、生态化、品牌化发展，</w:t>
      </w:r>
      <w:r>
        <w:rPr>
          <w:rFonts w:hint="eastAsia" w:ascii="仿宋_GB2312" w:hAnsi="仿宋_GB2312" w:eastAsia="仿宋_GB2312" w:cs="仿宋_GB2312"/>
          <w:sz w:val="32"/>
          <w:szCs w:val="32"/>
        </w:rPr>
        <w:t>深入实施“米袋子”“菜篮子”“果盘子”“花瓶子”等系列培育工程</w:t>
      </w:r>
      <w:r>
        <w:rPr>
          <w:rFonts w:hint="eastAsia" w:ascii="仿宋_GB2312" w:hAnsi="仿宋_GB2312" w:eastAsia="仿宋_GB2312" w:cs="仿宋_GB2312"/>
          <w:color w:val="000000" w:themeColor="text1"/>
          <w:sz w:val="32"/>
          <w:szCs w:val="32"/>
        </w:rPr>
        <w:t>。培育发展“五朵金花”等区域特色品牌，加快发展优质蔬菜、品牌水果、高值花卉、南药等主导特色产业，引进名优特新品种，提升武江农产品知名度。建设武江科创园兰花展示中心，鼓励发展以兰花为核心元素的文化创意产业，挖掘兰花产业附加值。</w:t>
      </w:r>
      <w:r>
        <w:rPr>
          <w:rFonts w:hint="eastAsia" w:ascii="仿宋_GB2312" w:hAnsi="仿宋_GB2312" w:eastAsia="仿宋_GB2312" w:cs="仿宋_GB2312"/>
          <w:sz w:val="32"/>
          <w:szCs w:val="32"/>
        </w:rPr>
        <w:t>发展农产品加工流通、电子商务、乡村旅游、文化体验等农业新产业新业态，推动一二三产融合发展。发展数字农业和智慧农业，依托互联网和现代物流打开农产品市场，促进农业产销向智能化、精准化、网络化方向转变，</w:t>
      </w:r>
      <w:r>
        <w:rPr>
          <w:rFonts w:hint="eastAsia" w:ascii="仿宋_GB2312" w:hAnsi="仿宋_GB2312" w:eastAsia="仿宋_GB2312" w:cs="仿宋_GB2312"/>
          <w:color w:val="000000" w:themeColor="text1"/>
          <w:sz w:val="32"/>
          <w:szCs w:val="32"/>
        </w:rPr>
        <w:t>支持本地农产品参加“农博会”等展销活动。推进畜禽养殖和水产养殖规模化、产业化、标准化发展。</w:t>
      </w:r>
      <w:bookmarkStart w:id="177" w:name="_Toc22139"/>
      <w:r>
        <w:rPr>
          <w:rFonts w:hint="eastAsia" w:ascii="仿宋_GB2312" w:hAnsi="仿宋_GB2312" w:eastAsia="仿宋_GB2312" w:cs="仿宋_GB2312"/>
          <w:color w:val="000000" w:themeColor="text1"/>
          <w:sz w:val="32"/>
          <w:szCs w:val="32"/>
        </w:rPr>
        <w:t xml:space="preserve">   </w:t>
      </w:r>
    </w:p>
    <w:p>
      <w:pPr>
        <w:pageBreakBefore w:val="0"/>
        <w:widowControl w:val="0"/>
        <w:kinsoku/>
        <w:wordWrap/>
        <w:overflowPunct/>
        <w:topLinePunct w:val="0"/>
        <w:autoSpaceDE/>
        <w:autoSpaceDN/>
        <w:bidi w:val="0"/>
        <w:adjustRightInd/>
        <w:snapToGrid/>
        <w:spacing w:line="600" w:lineRule="exact"/>
        <w:ind w:firstLine="643"/>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b/>
          <w:sz w:val="32"/>
          <w:szCs w:val="32"/>
        </w:rPr>
        <w:t>发展现代生态农业</w:t>
      </w:r>
      <w:bookmarkEnd w:id="177"/>
      <w:r>
        <w:rPr>
          <w:rFonts w:hint="eastAsia" w:ascii="仿宋_GB2312" w:hAnsi="仿宋_GB2312" w:eastAsia="仿宋_GB2312" w:cs="仿宋_GB2312"/>
          <w:b/>
          <w:sz w:val="32"/>
          <w:szCs w:val="32"/>
        </w:rPr>
        <w:t>。</w:t>
      </w:r>
      <w:r>
        <w:rPr>
          <w:rFonts w:hint="eastAsia" w:ascii="仿宋_GB2312" w:hAnsi="仿宋_GB2312" w:eastAsia="仿宋_GB2312" w:cs="仿宋_GB2312"/>
          <w:sz w:val="32"/>
          <w:szCs w:val="32"/>
        </w:rPr>
        <w:t>围绕大湾区高端市场需求，大力发展绿色无公害蔬菜和有机蔬菜。加快蔬菜和水果保鲜、储存、产地初加工及精深加工、运输物流等配套体系建设，提高蔬菜和水果产业市场竞争力。发挥诺普信公司等农业龙头企业综合优势，带动黄金百香果、</w:t>
      </w:r>
      <w:r>
        <w:rPr>
          <w:rFonts w:hint="eastAsia" w:ascii="仿宋_GB2312" w:hAnsi="仿宋_GB2312" w:eastAsia="仿宋_GB2312" w:cs="仿宋_GB2312"/>
          <w:sz w:val="32"/>
          <w:szCs w:val="32"/>
          <w:lang w:eastAsia="zh-CN"/>
        </w:rPr>
        <w:t>基</w:t>
      </w:r>
      <w:r>
        <w:rPr>
          <w:rFonts w:hint="eastAsia" w:ascii="仿宋_GB2312" w:hAnsi="仿宋_GB2312" w:eastAsia="仿宋_GB2312" w:cs="仿宋_GB2312"/>
          <w:sz w:val="32"/>
          <w:szCs w:val="32"/>
        </w:rPr>
        <w:t>质蓝莓、阳光玫瑰、香水柠檬等高品质农产品发展。</w:t>
      </w:r>
      <w:r>
        <w:rPr>
          <w:rFonts w:hint="eastAsia" w:ascii="仿宋_GB2312" w:hAnsi="仿宋_GB2312" w:eastAsia="仿宋_GB2312" w:cs="仿宋_GB2312"/>
          <w:color w:val="000000" w:themeColor="text1"/>
          <w:sz w:val="32"/>
          <w:szCs w:val="32"/>
        </w:rPr>
        <w:t>深度挖掘农业特色资源，</w:t>
      </w:r>
      <w:r>
        <w:rPr>
          <w:rFonts w:hint="eastAsia" w:ascii="仿宋_GB2312" w:hAnsi="仿宋_GB2312" w:eastAsia="仿宋_GB2312" w:cs="仿宋_GB2312"/>
          <w:sz w:val="32"/>
          <w:szCs w:val="32"/>
        </w:rPr>
        <w:t>发展“生态农业+生态旅游”，依托龙归镇淮山、食用桑，重阳镇黑美人西瓜、珍珠黄皮、黄金奈李，西河镇无花果、沃柑、杨梅，打造休闲采摘的都市近郊生态农旅体验区，</w:t>
      </w:r>
      <w:r>
        <w:rPr>
          <w:rFonts w:hint="eastAsia" w:ascii="仿宋_GB2312" w:hAnsi="仿宋_GB2312" w:eastAsia="仿宋_GB2312" w:cs="仿宋_GB2312"/>
          <w:color w:val="000000" w:themeColor="text1"/>
          <w:sz w:val="32"/>
          <w:szCs w:val="32"/>
        </w:rPr>
        <w:t>强化农产品设计包装与营销，延长生态休闲农业产业链条。利用西河-重阳、龙归-江湾两条乡村精品线路带动生态农业加快发展。</w:t>
      </w:r>
    </w:p>
    <w:p>
      <w:pPr>
        <w:pageBreakBefore w:val="0"/>
        <w:widowControl w:val="0"/>
        <w:kinsoku/>
        <w:wordWrap/>
        <w:overflowPunct/>
        <w:topLinePunct w:val="0"/>
        <w:autoSpaceDE/>
        <w:autoSpaceDN/>
        <w:bidi w:val="0"/>
        <w:adjustRightInd/>
        <w:snapToGrid/>
        <w:spacing w:line="600" w:lineRule="exact"/>
        <w:textAlignment w:val="auto"/>
        <w:rPr>
          <w:sz w:val="32"/>
          <w:szCs w:val="32"/>
        </w:rPr>
      </w:pPr>
      <w:bookmarkStart w:id="178" w:name="_Toc5306"/>
    </w:p>
    <w:p>
      <w:pPr>
        <w:pStyle w:val="4"/>
        <w:pageBreakBefore w:val="0"/>
        <w:widowControl w:val="0"/>
        <w:kinsoku/>
        <w:wordWrap/>
        <w:overflowPunct/>
        <w:topLinePunct w:val="0"/>
        <w:autoSpaceDE/>
        <w:autoSpaceDN/>
        <w:bidi w:val="0"/>
        <w:adjustRightInd/>
        <w:snapToGrid/>
        <w:spacing w:line="600" w:lineRule="exact"/>
        <w:textAlignment w:val="auto"/>
        <w:rPr>
          <w:sz w:val="32"/>
          <w:szCs w:val="32"/>
        </w:rPr>
      </w:pPr>
      <w:bookmarkStart w:id="179" w:name="_Toc8315"/>
      <w:bookmarkStart w:id="180" w:name="_Toc10603"/>
      <w:bookmarkStart w:id="181" w:name="_Toc6510"/>
      <w:bookmarkStart w:id="182" w:name="_Toc9142"/>
      <w:bookmarkStart w:id="183" w:name="_Toc1668"/>
      <w:bookmarkStart w:id="184" w:name="_Toc8817"/>
      <w:bookmarkStart w:id="185" w:name="_Toc10544"/>
      <w:r>
        <w:rPr>
          <w:rFonts w:hint="eastAsia"/>
          <w:sz w:val="32"/>
          <w:szCs w:val="32"/>
        </w:rPr>
        <w:t>第二节  建设生态宜居美丽乡村</w:t>
      </w:r>
      <w:bookmarkEnd w:id="179"/>
      <w:bookmarkEnd w:id="180"/>
      <w:bookmarkEnd w:id="181"/>
      <w:bookmarkEnd w:id="182"/>
      <w:bookmarkEnd w:id="183"/>
      <w:bookmarkEnd w:id="184"/>
      <w:bookmarkEnd w:id="185"/>
    </w:p>
    <w:bookmarkEnd w:id="178"/>
    <w:p>
      <w:pPr>
        <w:pageBreakBefore w:val="0"/>
        <w:widowControl w:val="0"/>
        <w:kinsoku/>
        <w:wordWrap/>
        <w:overflowPunct/>
        <w:topLinePunct w:val="0"/>
        <w:autoSpaceDE/>
        <w:autoSpaceDN/>
        <w:bidi w:val="0"/>
        <w:adjustRightInd/>
        <w:snapToGrid/>
        <w:spacing w:line="600" w:lineRule="exact"/>
        <w:ind w:firstLine="640"/>
        <w:textAlignment w:val="auto"/>
        <w:rPr>
          <w:sz w:val="32"/>
          <w:szCs w:val="32"/>
        </w:rPr>
      </w:pPr>
    </w:p>
    <w:p>
      <w:pPr>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大力实施乡村建设行动，持续改善农村人居环境，补齐农村基础设施短板，建设精美农村，提升乡村生活品质。</w:t>
      </w:r>
    </w:p>
    <w:p>
      <w:pPr>
        <w:pageBreakBefore w:val="0"/>
        <w:widowControl w:val="0"/>
        <w:kinsoku/>
        <w:wordWrap/>
        <w:overflowPunct/>
        <w:topLinePunct w:val="0"/>
        <w:autoSpaceDE/>
        <w:autoSpaceDN/>
        <w:bidi w:val="0"/>
        <w:adjustRightInd/>
        <w:snapToGrid/>
        <w:spacing w:line="600" w:lineRule="exact"/>
        <w:ind w:firstLine="643"/>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持续改善农村人居环境。</w:t>
      </w:r>
      <w:r>
        <w:rPr>
          <w:rFonts w:hint="eastAsia" w:ascii="仿宋_GB2312" w:hAnsi="仿宋_GB2312" w:eastAsia="仿宋_GB2312" w:cs="仿宋_GB2312"/>
          <w:sz w:val="32"/>
          <w:szCs w:val="32"/>
        </w:rPr>
        <w:t>统筹镇村规划建设，严格管控农村建房和建筑风貌，保护特色传统村落和乡村风貌。</w:t>
      </w:r>
      <w:r>
        <w:rPr>
          <w:rFonts w:hint="eastAsia" w:ascii="仿宋_GB2312" w:hAnsi="仿宋_GB2312" w:eastAsia="仿宋_GB2312" w:cs="仿宋_GB2312"/>
          <w:color w:val="auto"/>
          <w:sz w:val="32"/>
          <w:szCs w:val="32"/>
        </w:rPr>
        <w:t>深入推进美丽乡村“打擂比武”行动，重点加快龙归</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rPr>
        <w:t>江湾、西河</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rPr>
        <w:t>重阳两条乡村旅游精品线沿线、武广高铁沿线及中心城镇周边村庄的连片集中整治，再拓展延伸到其他村庄，到2025年，80%以上村庄达到美丽宜居</w:t>
      </w:r>
      <w:r>
        <w:rPr>
          <w:rFonts w:hint="eastAsia" w:ascii="仿宋_GB2312" w:hAnsi="仿宋_GB2312" w:eastAsia="仿宋_GB2312" w:cs="仿宋_GB2312"/>
          <w:color w:val="auto"/>
          <w:sz w:val="32"/>
          <w:szCs w:val="32"/>
          <w:highlight w:val="none"/>
        </w:rPr>
        <w:t>村</w:t>
      </w:r>
      <w:r>
        <w:rPr>
          <w:rFonts w:hint="eastAsia" w:ascii="仿宋_GB2312" w:hAnsi="仿宋_GB2312" w:eastAsia="仿宋_GB2312" w:cs="仿宋_GB2312"/>
          <w:color w:val="auto"/>
          <w:sz w:val="32"/>
          <w:szCs w:val="32"/>
        </w:rPr>
        <w:t>标准，支持有条件的村庄率先创建一批特色精品村。高质量完成乡镇（镇街）整治提升“139”工程，全域推进农村改厕，保持农村无害化卫生户厕普及率达100%，做好农村“三线”整治，推动农村面貌全面提升。推进治理“空心村”，促进乡村民宿建设，发展乡村美丽经济。到2025年，全区基本建成生活垃圾分类处理系统，基本实现村庄污水处理全覆盖。完善建后管护体系，采用市场化方式开展经营性设施建后管护。</w:t>
      </w:r>
    </w:p>
    <w:p>
      <w:pPr>
        <w:pageBreakBefore w:val="0"/>
        <w:widowControl w:val="0"/>
        <w:kinsoku/>
        <w:wordWrap/>
        <w:overflowPunct/>
        <w:topLinePunct w:val="0"/>
        <w:autoSpaceDE/>
        <w:autoSpaceDN/>
        <w:bidi w:val="0"/>
        <w:adjustRightInd/>
        <w:snapToGrid/>
        <w:spacing w:line="600" w:lineRule="exact"/>
        <w:ind w:firstLine="643"/>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加强农村公共服务供给。</w:t>
      </w:r>
      <w:r>
        <w:rPr>
          <w:rFonts w:hint="eastAsia" w:ascii="仿宋_GB2312" w:hAnsi="仿宋_GB2312" w:eastAsia="仿宋_GB2312" w:cs="仿宋_GB2312"/>
          <w:sz w:val="32"/>
          <w:szCs w:val="32"/>
        </w:rPr>
        <w:t>推动农村基础设施提档升级，完善升级农村路网，</w:t>
      </w:r>
      <w:r>
        <w:rPr>
          <w:rFonts w:hint="eastAsia" w:ascii="仿宋_GB2312" w:hAnsi="仿宋_GB2312" w:eastAsia="仿宋_GB2312" w:cs="仿宋_GB2312"/>
          <w:sz w:val="32"/>
          <w:szCs w:val="32"/>
          <w:lang w:eastAsia="zh-CN"/>
        </w:rPr>
        <w:t>加快</w:t>
      </w:r>
      <w:r>
        <w:rPr>
          <w:rFonts w:hint="eastAsia" w:ascii="仿宋_GB2312" w:hAnsi="仿宋_GB2312" w:eastAsia="仿宋_GB2312" w:cs="仿宋_GB2312"/>
          <w:sz w:val="32"/>
          <w:szCs w:val="32"/>
        </w:rPr>
        <w:t>“四好农村路”建设，</w:t>
      </w:r>
      <w:r>
        <w:rPr>
          <w:rFonts w:hint="eastAsia" w:ascii="仿宋_GB2312" w:hAnsi="仿宋_GB2312" w:eastAsia="仿宋_GB2312" w:cs="仿宋_GB2312"/>
          <w:sz w:val="32"/>
          <w:szCs w:val="32"/>
          <w:lang w:eastAsia="zh-CN"/>
        </w:rPr>
        <w:t>推动通建制村单车道改双车道等工程、农村公路危桥改造工程、农村公路养护工程，推动农村公路向村组延伸、向园区延伸，</w:t>
      </w:r>
      <w:r>
        <w:rPr>
          <w:rFonts w:hint="eastAsia" w:ascii="仿宋_GB2312" w:hAnsi="仿宋_GB2312" w:eastAsia="仿宋_GB2312" w:cs="仿宋_GB2312"/>
          <w:sz w:val="32"/>
          <w:szCs w:val="32"/>
        </w:rPr>
        <w:t>畅通镇村交通微循环，加快实现“由线成网、由窄变宽、由通到畅”。</w:t>
      </w:r>
      <w:r>
        <w:rPr>
          <w:rFonts w:hint="eastAsia" w:ascii="仿宋_GB2312" w:hAnsi="仿宋_GB2312" w:eastAsia="仿宋_GB2312" w:cs="仿宋_GB2312"/>
          <w:color w:val="auto"/>
          <w:sz w:val="32"/>
          <w:szCs w:val="32"/>
        </w:rPr>
        <w:t>到2025年，等级公路比率实现100%，路面铺装率提升至85%以上，100人以上自然</w:t>
      </w:r>
      <w:r>
        <w:rPr>
          <w:rFonts w:hint="eastAsia" w:ascii="仿宋_GB2312" w:hAnsi="仿宋_GB2312" w:eastAsia="仿宋_GB2312" w:cs="仿宋_GB2312"/>
          <w:color w:val="auto"/>
          <w:sz w:val="32"/>
          <w:szCs w:val="32"/>
          <w:highlight w:val="none"/>
        </w:rPr>
        <w:t>村村</w:t>
      </w:r>
      <w:r>
        <w:rPr>
          <w:rFonts w:hint="eastAsia" w:ascii="仿宋_GB2312" w:hAnsi="仿宋_GB2312" w:eastAsia="仿宋_GB2312" w:cs="仿宋_GB2312"/>
          <w:color w:val="auto"/>
          <w:sz w:val="32"/>
          <w:szCs w:val="32"/>
        </w:rPr>
        <w:t>道路硬底化。推进农村全域集中供水工程，在村村通自来水基础上，稳步提升农村安全饮用水保障</w:t>
      </w:r>
      <w:r>
        <w:rPr>
          <w:rFonts w:hint="eastAsia" w:ascii="仿宋_GB2312" w:hAnsi="仿宋_GB2312" w:eastAsia="仿宋_GB2312" w:cs="仿宋_GB2312"/>
          <w:color w:val="auto"/>
          <w:sz w:val="32"/>
          <w:szCs w:val="32"/>
          <w:lang w:eastAsia="zh-CN"/>
        </w:rPr>
        <w:t>能力</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rPr>
        <w:t>实施新一轮农村电网升级改造。</w:t>
      </w:r>
      <w:r>
        <w:rPr>
          <w:rFonts w:hint="eastAsia" w:ascii="仿宋_GB2312" w:hAnsi="仿宋_GB2312" w:eastAsia="仿宋_GB2312" w:cs="仿宋_GB2312"/>
          <w:color w:val="000000" w:themeColor="text1"/>
          <w:sz w:val="32"/>
          <w:szCs w:val="32"/>
        </w:rPr>
        <w:t>加快农村5G网络建设，推动智慧乡村发展。</w:t>
      </w:r>
      <w:r>
        <w:rPr>
          <w:rFonts w:hint="eastAsia" w:ascii="仿宋_GB2312" w:hAnsi="仿宋_GB2312" w:eastAsia="仿宋_GB2312" w:cs="仿宋_GB2312"/>
          <w:sz w:val="32"/>
          <w:szCs w:val="32"/>
        </w:rPr>
        <w:t>把乡镇建成服务农民的区域中心，推进城乡基本公共服务标准统一、制度并轨。</w:t>
      </w:r>
    </w:p>
    <w:p>
      <w:pPr>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ascii="黑体" w:hAnsi="黑体" w:eastAsia="黑体"/>
          <w:sz w:val="32"/>
          <w:szCs w:val="32"/>
        </w:rPr>
      </w:pPr>
    </w:p>
    <w:p>
      <w:pPr>
        <w:pStyle w:val="4"/>
        <w:pageBreakBefore w:val="0"/>
        <w:widowControl w:val="0"/>
        <w:kinsoku/>
        <w:wordWrap/>
        <w:overflowPunct/>
        <w:topLinePunct w:val="0"/>
        <w:autoSpaceDE/>
        <w:autoSpaceDN/>
        <w:bidi w:val="0"/>
        <w:adjustRightInd/>
        <w:snapToGrid/>
        <w:spacing w:line="600" w:lineRule="exact"/>
        <w:jc w:val="both"/>
        <w:textAlignment w:val="auto"/>
        <w:rPr>
          <w:rFonts w:hint="eastAsia"/>
          <w:sz w:val="32"/>
          <w:szCs w:val="32"/>
        </w:rPr>
      </w:pPr>
      <w:bookmarkStart w:id="186" w:name="_Toc5467"/>
      <w:bookmarkStart w:id="187" w:name="_Toc3641"/>
      <w:bookmarkStart w:id="188" w:name="_Toc28403"/>
      <w:bookmarkStart w:id="189" w:name="_Toc18195"/>
      <w:bookmarkStart w:id="190" w:name="_Toc31487"/>
      <w:bookmarkStart w:id="191" w:name="_Toc18024"/>
      <w:bookmarkStart w:id="192" w:name="_Toc15603"/>
    </w:p>
    <w:p>
      <w:pPr>
        <w:pStyle w:val="4"/>
        <w:pageBreakBefore w:val="0"/>
        <w:widowControl w:val="0"/>
        <w:kinsoku/>
        <w:wordWrap/>
        <w:overflowPunct/>
        <w:topLinePunct w:val="0"/>
        <w:autoSpaceDE/>
        <w:autoSpaceDN/>
        <w:bidi w:val="0"/>
        <w:adjustRightInd/>
        <w:snapToGrid/>
        <w:spacing w:line="600" w:lineRule="exact"/>
        <w:jc w:val="center"/>
        <w:textAlignment w:val="auto"/>
        <w:rPr>
          <w:sz w:val="32"/>
          <w:szCs w:val="32"/>
        </w:rPr>
      </w:pPr>
      <w:r>
        <w:rPr>
          <w:rFonts w:hint="eastAsia"/>
          <w:sz w:val="32"/>
          <w:szCs w:val="32"/>
        </w:rPr>
        <w:t>第三节  全面深化农村改革</w:t>
      </w:r>
      <w:bookmarkEnd w:id="186"/>
      <w:bookmarkEnd w:id="187"/>
      <w:bookmarkEnd w:id="188"/>
      <w:bookmarkEnd w:id="189"/>
      <w:bookmarkEnd w:id="190"/>
      <w:bookmarkEnd w:id="191"/>
      <w:bookmarkEnd w:id="192"/>
    </w:p>
    <w:p>
      <w:pPr>
        <w:pageBreakBefore w:val="0"/>
        <w:widowControl w:val="0"/>
        <w:kinsoku/>
        <w:wordWrap/>
        <w:overflowPunct/>
        <w:topLinePunct w:val="0"/>
        <w:autoSpaceDE/>
        <w:autoSpaceDN/>
        <w:bidi w:val="0"/>
        <w:adjustRightInd/>
        <w:snapToGrid/>
        <w:spacing w:line="600" w:lineRule="exact"/>
        <w:ind w:firstLine="640"/>
        <w:textAlignment w:val="auto"/>
        <w:rPr>
          <w:sz w:val="32"/>
          <w:szCs w:val="32"/>
        </w:rPr>
      </w:pPr>
    </w:p>
    <w:p>
      <w:pPr>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稳步推动农村各项改革，多措并举巩固脱贫成果，不断激发乡村振兴活力。</w:t>
      </w:r>
    </w:p>
    <w:p>
      <w:pPr>
        <w:pageBreakBefore w:val="0"/>
        <w:widowControl w:val="0"/>
        <w:kinsoku/>
        <w:wordWrap/>
        <w:overflowPunct/>
        <w:topLinePunct w:val="0"/>
        <w:autoSpaceDE/>
        <w:autoSpaceDN/>
        <w:bidi w:val="0"/>
        <w:adjustRightInd/>
        <w:snapToGrid/>
        <w:spacing w:line="600" w:lineRule="exact"/>
        <w:ind w:firstLine="643"/>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eastAsia="zh-CN"/>
        </w:rPr>
        <w:t>深化</w:t>
      </w:r>
      <w:r>
        <w:rPr>
          <w:rFonts w:hint="eastAsia" w:ascii="仿宋_GB2312" w:hAnsi="仿宋_GB2312" w:eastAsia="仿宋_GB2312" w:cs="仿宋_GB2312"/>
          <w:b/>
          <w:sz w:val="32"/>
          <w:szCs w:val="32"/>
        </w:rPr>
        <w:t>农村各项改革。</w:t>
      </w:r>
      <w:r>
        <w:rPr>
          <w:rFonts w:hint="eastAsia" w:ascii="仿宋_GB2312" w:hAnsi="仿宋_GB2312" w:eastAsia="仿宋_GB2312" w:cs="仿宋_GB2312"/>
          <w:sz w:val="32"/>
          <w:szCs w:val="32"/>
        </w:rPr>
        <w:t>深入推进农村集体产权制度改革，推动农村“资源变资产、资金变股金、村民变股民”，增加村集体和农民收入。落实第二轮土地承包到期后再延长三十年政策。探索农村土地所有权、承包权、经营权分置有效实现形式，推动农村土地承包经营权有序流转。深化宅基地、农村集体产权等制度改革，发展新型农村集体经济。建立健全区级农村综合产权交易体系，积极探索实施农村集体经营性建设用地入市制度，强化土地出让收入优先支持乡村振兴政策。加大农村土地流转力度，建立土地连片预流转机制，促进农业适度规模化经营，提高土地生产效益。构建新型助农服务体系，培育壮大农业龙头企业、农民合作社、家庭农场等新型农业经营主体。健全农村金融服务体系，发展农业保险。</w:t>
      </w:r>
    </w:p>
    <w:p>
      <w:pPr>
        <w:pageBreakBefore w:val="0"/>
        <w:widowControl w:val="0"/>
        <w:kinsoku/>
        <w:wordWrap/>
        <w:overflowPunct/>
        <w:topLinePunct w:val="0"/>
        <w:autoSpaceDE/>
        <w:autoSpaceDN/>
        <w:bidi w:val="0"/>
        <w:adjustRightInd/>
        <w:snapToGrid/>
        <w:spacing w:line="600" w:lineRule="exact"/>
        <w:ind w:firstLine="643"/>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巩固拓展脱贫攻坚成果</w:t>
      </w:r>
      <w:bookmarkStart w:id="193" w:name="_Toc16166"/>
      <w:r>
        <w:rPr>
          <w:rFonts w:hint="eastAsia" w:ascii="仿宋_GB2312" w:hAnsi="仿宋_GB2312" w:eastAsia="仿宋_GB2312" w:cs="仿宋_GB2312"/>
          <w:b/>
          <w:bCs/>
          <w:sz w:val="32"/>
          <w:szCs w:val="32"/>
        </w:rPr>
        <w:t>。</w:t>
      </w:r>
      <w:r>
        <w:rPr>
          <w:rFonts w:hint="eastAsia" w:ascii="仿宋_GB2312" w:hAnsi="仿宋_GB2312" w:eastAsia="仿宋_GB2312" w:cs="仿宋_GB2312"/>
          <w:bCs/>
          <w:sz w:val="32"/>
          <w:szCs w:val="32"/>
        </w:rPr>
        <w:t>实现巩固拓展脱贫攻坚成果与乡村振兴有效衔接，</w:t>
      </w:r>
      <w:r>
        <w:rPr>
          <w:rFonts w:hint="eastAsia" w:ascii="仿宋_GB2312" w:hAnsi="仿宋_GB2312" w:eastAsia="仿宋_GB2312" w:cs="仿宋_GB2312"/>
          <w:color w:val="000000" w:themeColor="text1"/>
          <w:sz w:val="32"/>
          <w:szCs w:val="32"/>
        </w:rPr>
        <w:t>严格落实“四个不摘”要求，健全脱贫长效机制，加强对农村“三留守”人员和特殊困难群体的帮扶，保障特定贫困群众学有所教、病有所医、住有所居、残有所助、生活有保障。围绕教育、医疗等主要返贫因素，建立返贫监测预警机制，健全动态管理制度，对脱贫不稳定人口和边缘人口进行监测预警，重点监测收入水平变化和“两不愁三保障”巩固情况，及时发现、及时帮扶、动态清零。持续做好脱贫人口稳岗就业工作，支持脱贫人口就近就业、公益性岗位就业。</w:t>
      </w:r>
      <w:r>
        <w:rPr>
          <w:rFonts w:hint="eastAsia" w:ascii="仿宋_GB2312" w:hAnsi="仿宋_GB2312" w:eastAsia="仿宋_GB2312" w:cs="仿宋_GB2312"/>
          <w:sz w:val="32"/>
          <w:szCs w:val="32"/>
        </w:rPr>
        <w:t>用好用活产业扶贫、金融扶持、资产收益、消费扶贫等帮扶手段，全力巩固提升已出列贫困村和已脱贫人口的质量成色。</w:t>
      </w:r>
    </w:p>
    <w:p>
      <w:pPr>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ascii="黑体" w:hAnsi="黑体" w:eastAsia="黑体" w:cs="黑体"/>
          <w:sz w:val="32"/>
          <w:szCs w:val="32"/>
        </w:rPr>
      </w:pPr>
    </w:p>
    <w:p>
      <w:pPr>
        <w:pStyle w:val="4"/>
        <w:pageBreakBefore w:val="0"/>
        <w:widowControl w:val="0"/>
        <w:kinsoku/>
        <w:wordWrap/>
        <w:overflowPunct/>
        <w:topLinePunct w:val="0"/>
        <w:autoSpaceDE/>
        <w:autoSpaceDN/>
        <w:bidi w:val="0"/>
        <w:adjustRightInd/>
        <w:snapToGrid/>
        <w:spacing w:line="600" w:lineRule="exact"/>
        <w:textAlignment w:val="auto"/>
        <w:rPr>
          <w:sz w:val="32"/>
          <w:szCs w:val="32"/>
        </w:rPr>
      </w:pPr>
      <w:bookmarkStart w:id="194" w:name="_Toc11535"/>
      <w:bookmarkStart w:id="195" w:name="_Toc8950"/>
      <w:bookmarkStart w:id="196" w:name="_Toc1448"/>
      <w:bookmarkStart w:id="197" w:name="_Toc32479"/>
      <w:bookmarkStart w:id="198" w:name="_Toc29890"/>
      <w:bookmarkStart w:id="199" w:name="_Toc1921"/>
      <w:bookmarkStart w:id="200" w:name="_Toc2291"/>
      <w:r>
        <w:rPr>
          <w:rFonts w:hint="eastAsia"/>
          <w:sz w:val="32"/>
          <w:szCs w:val="32"/>
        </w:rPr>
        <w:t>第四节  大力推动城乡融合发展</w:t>
      </w:r>
      <w:bookmarkEnd w:id="193"/>
      <w:bookmarkEnd w:id="194"/>
      <w:bookmarkEnd w:id="195"/>
      <w:bookmarkEnd w:id="196"/>
      <w:bookmarkEnd w:id="197"/>
      <w:bookmarkEnd w:id="198"/>
      <w:bookmarkEnd w:id="199"/>
      <w:bookmarkEnd w:id="200"/>
    </w:p>
    <w:p>
      <w:pPr>
        <w:pageBreakBefore w:val="0"/>
        <w:widowControl w:val="0"/>
        <w:kinsoku/>
        <w:wordWrap/>
        <w:overflowPunct/>
        <w:topLinePunct w:val="0"/>
        <w:autoSpaceDE/>
        <w:autoSpaceDN/>
        <w:bidi w:val="0"/>
        <w:adjustRightInd/>
        <w:snapToGrid/>
        <w:spacing w:line="600" w:lineRule="exact"/>
        <w:ind w:firstLine="640"/>
        <w:textAlignment w:val="auto"/>
        <w:rPr>
          <w:sz w:val="32"/>
          <w:szCs w:val="32"/>
        </w:rPr>
      </w:pPr>
    </w:p>
    <w:p>
      <w:pPr>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sz w:val="32"/>
          <w:szCs w:val="32"/>
        </w:rPr>
        <w:t>以城乡融合发展省级试点建设为契机，构建“一核一中心两区两廊道”城乡融合发展新格局，大力破解城乡二元结构，</w:t>
      </w:r>
      <w:r>
        <w:rPr>
          <w:rFonts w:hint="eastAsia" w:ascii="仿宋_GB2312" w:hAnsi="仿宋_GB2312" w:eastAsia="仿宋_GB2312" w:cs="仿宋_GB2312"/>
          <w:color w:val="000000" w:themeColor="text1"/>
          <w:sz w:val="32"/>
          <w:szCs w:val="32"/>
        </w:rPr>
        <w:t>把农村发展短板变成“潜力板”</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sz w:val="32"/>
          <w:szCs w:val="32"/>
          <w:lang w:eastAsia="zh-CN"/>
        </w:rPr>
        <w:t>带动新型城镇化建设。</w:t>
      </w:r>
    </w:p>
    <w:p>
      <w:pPr>
        <w:pageBreakBefore w:val="0"/>
        <w:widowControl w:val="0"/>
        <w:kinsoku/>
        <w:wordWrap/>
        <w:overflowPunct/>
        <w:topLinePunct w:val="0"/>
        <w:autoSpaceDE/>
        <w:autoSpaceDN/>
        <w:bidi w:val="0"/>
        <w:adjustRightInd/>
        <w:snapToGrid/>
        <w:spacing w:line="600" w:lineRule="exact"/>
        <w:ind w:firstLine="640"/>
        <w:textAlignment w:val="auto"/>
        <w:rPr>
          <w:rStyle w:val="34"/>
          <w:rFonts w:hint="eastAsia" w:ascii="仿宋_GB2312" w:hAnsi="仿宋_GB2312" w:eastAsia="仿宋_GB2312" w:cs="仿宋_GB2312"/>
          <w:b/>
          <w:bCs/>
          <w:color w:val="000000" w:themeColor="text1"/>
          <w:sz w:val="32"/>
          <w:szCs w:val="32"/>
          <w:highlight w:val="yellow"/>
        </w:rPr>
      </w:pPr>
      <w:r>
        <w:rPr>
          <w:rFonts w:hint="eastAsia" w:ascii="仿宋_GB2312" w:hAnsi="仿宋_GB2312" w:eastAsia="仿宋_GB2312" w:cs="仿宋_GB2312"/>
          <w:b/>
          <w:bCs/>
          <w:color w:val="000000" w:themeColor="text1"/>
          <w:sz w:val="32"/>
          <w:szCs w:val="32"/>
          <w:highlight w:val="none"/>
        </w:rPr>
        <w:t>建立美丽小城镇发展机制。</w:t>
      </w:r>
      <w:r>
        <w:rPr>
          <w:rFonts w:hint="eastAsia" w:ascii="仿宋_GB2312" w:hAnsi="仿宋_GB2312" w:eastAsia="仿宋_GB2312" w:cs="仿宋_GB2312"/>
          <w:color w:val="000000" w:themeColor="text1"/>
          <w:sz w:val="32"/>
          <w:szCs w:val="32"/>
          <w:highlight w:val="none"/>
        </w:rPr>
        <w:t>以</w:t>
      </w:r>
      <w:r>
        <w:rPr>
          <w:rFonts w:hint="eastAsia" w:ascii="仿宋_GB2312" w:hAnsi="仿宋_GB2312" w:eastAsia="仿宋_GB2312" w:cs="仿宋_GB2312"/>
          <w:sz w:val="32"/>
          <w:szCs w:val="32"/>
          <w:highlight w:val="none"/>
        </w:rPr>
        <w:t>“龙归片区”</w:t>
      </w:r>
      <w:r>
        <w:rPr>
          <w:rFonts w:hint="eastAsia" w:ascii="仿宋_GB2312" w:hAnsi="仿宋_GB2312" w:eastAsia="仿宋_GB2312" w:cs="仿宋_GB2312"/>
          <w:color w:val="000000" w:themeColor="text1"/>
          <w:sz w:val="32"/>
          <w:szCs w:val="32"/>
          <w:highlight w:val="none"/>
        </w:rPr>
        <w:t>和“河阳片区”为区先行试点，打造具有较强城乡联结功能的美丽小城镇，并逐步向其他镇域范围推广。</w:t>
      </w:r>
      <w:r>
        <w:rPr>
          <w:rStyle w:val="22"/>
          <w:rFonts w:hint="eastAsia" w:ascii="仿宋_GB2312" w:hAnsi="仿宋_GB2312" w:eastAsia="仿宋_GB2312" w:cs="仿宋_GB2312"/>
          <w:b w:val="0"/>
          <w:bCs/>
          <w:color w:val="000000" w:themeColor="text1"/>
          <w:sz w:val="32"/>
          <w:szCs w:val="32"/>
          <w:highlight w:val="none"/>
          <w:shd w:val="clear" w:color="auto" w:fill="FFFFFF"/>
        </w:rPr>
        <w:t>建立美丽经济发展体制机制，</w:t>
      </w:r>
      <w:r>
        <w:rPr>
          <w:rFonts w:hint="eastAsia" w:ascii="仿宋_GB2312" w:hAnsi="仿宋_GB2312" w:eastAsia="仿宋_GB2312" w:cs="仿宋_GB2312"/>
          <w:color w:val="000000" w:themeColor="text1"/>
          <w:sz w:val="32"/>
          <w:szCs w:val="32"/>
          <w:highlight w:val="none"/>
        </w:rPr>
        <w:t>谋划构建以精致农业、绿色工业、生态旅游为主的小城镇美丽经济产业体系</w:t>
      </w:r>
      <w:r>
        <w:rPr>
          <w:rStyle w:val="22"/>
          <w:rFonts w:hint="eastAsia" w:ascii="仿宋_GB2312" w:hAnsi="仿宋_GB2312" w:eastAsia="仿宋_GB2312" w:cs="仿宋_GB2312"/>
          <w:bCs/>
          <w:color w:val="000000" w:themeColor="text1"/>
          <w:sz w:val="32"/>
          <w:szCs w:val="32"/>
          <w:highlight w:val="none"/>
          <w:shd w:val="clear" w:color="auto" w:fill="FFFFFF"/>
        </w:rPr>
        <w:t>。</w:t>
      </w:r>
      <w:r>
        <w:rPr>
          <w:rFonts w:hint="eastAsia" w:ascii="仿宋_GB2312" w:hAnsi="仿宋_GB2312" w:eastAsia="仿宋_GB2312" w:cs="仿宋_GB2312"/>
          <w:color w:val="000000" w:themeColor="text1"/>
          <w:sz w:val="32"/>
          <w:szCs w:val="32"/>
          <w:highlight w:val="none"/>
        </w:rPr>
        <w:t>建立美丽宜居环境打造机制，</w:t>
      </w:r>
      <w:r>
        <w:rPr>
          <w:rFonts w:hint="eastAsia" w:ascii="仿宋_GB2312" w:hAnsi="仿宋_GB2312" w:eastAsia="仿宋_GB2312" w:cs="仿宋_GB2312"/>
          <w:sz w:val="32"/>
          <w:szCs w:val="32"/>
          <w:highlight w:val="none"/>
        </w:rPr>
        <w:t>推进城乡基础设施规划、建设、管护一体化，促进城乡教育、医疗、社会保障等公共服务资源均衡配置。</w:t>
      </w:r>
      <w:r>
        <w:rPr>
          <w:rFonts w:hint="eastAsia" w:ascii="仿宋_GB2312" w:hAnsi="仿宋_GB2312" w:eastAsia="仿宋_GB2312" w:cs="仿宋_GB2312"/>
          <w:bCs/>
          <w:sz w:val="32"/>
          <w:szCs w:val="32"/>
          <w:highlight w:val="none"/>
        </w:rPr>
        <w:t>建立共建共治共享社会治理体系，</w:t>
      </w:r>
      <w:r>
        <w:rPr>
          <w:rStyle w:val="34"/>
          <w:rFonts w:hint="eastAsia" w:ascii="仿宋_GB2312" w:hAnsi="仿宋_GB2312" w:eastAsia="仿宋_GB2312" w:cs="仿宋_GB2312"/>
          <w:sz w:val="32"/>
          <w:szCs w:val="32"/>
          <w:highlight w:val="none"/>
        </w:rPr>
        <w:t>推进城乡社会治理网格化管理，打通应急与常规状态的治理全周期。</w:t>
      </w:r>
      <w:r>
        <w:rPr>
          <w:rFonts w:hint="eastAsia" w:ascii="仿宋_GB2312" w:hAnsi="仿宋_GB2312" w:eastAsia="仿宋_GB2312" w:cs="仿宋_GB2312"/>
          <w:sz w:val="32"/>
          <w:szCs w:val="32"/>
          <w:highlight w:val="none"/>
        </w:rPr>
        <w:t>探索校地合作模式，发挥高校优势参与推动城乡融合发展。</w:t>
      </w:r>
    </w:p>
    <w:p>
      <w:pPr>
        <w:pStyle w:val="18"/>
        <w:pageBreakBefore w:val="0"/>
        <w:widowControl w:val="0"/>
        <w:kinsoku/>
        <w:wordWrap/>
        <w:overflowPunct/>
        <w:topLinePunct w:val="0"/>
        <w:autoSpaceDE/>
        <w:autoSpaceDN/>
        <w:bidi w:val="0"/>
        <w:adjustRightInd/>
        <w:snapToGrid/>
        <w:spacing w:line="600" w:lineRule="exact"/>
        <w:ind w:firstLine="643"/>
        <w:textAlignment w:val="auto"/>
        <w:rPr>
          <w:rFonts w:hint="eastAsia" w:ascii="仿宋_GB2312" w:hAnsi="仿宋_GB2312" w:eastAsia="仿宋_GB2312" w:cs="仿宋_GB2312"/>
          <w:bCs/>
          <w:color w:val="000000" w:themeColor="text1"/>
          <w:sz w:val="32"/>
          <w:szCs w:val="32"/>
        </w:rPr>
      </w:pPr>
      <w:r>
        <w:rPr>
          <w:rFonts w:hint="eastAsia" w:ascii="仿宋_GB2312" w:hAnsi="仿宋_GB2312" w:eastAsia="仿宋_GB2312" w:cs="仿宋_GB2312"/>
          <w:b/>
          <w:bCs/>
          <w:color w:val="000000" w:themeColor="text1"/>
          <w:sz w:val="32"/>
          <w:szCs w:val="32"/>
        </w:rPr>
        <w:t>搭建城乡产业协同发展平台。</w:t>
      </w:r>
      <w:r>
        <w:rPr>
          <w:rFonts w:hint="eastAsia" w:ascii="仿宋_GB2312" w:hAnsi="仿宋_GB2312" w:eastAsia="仿宋_GB2312" w:cs="仿宋_GB2312"/>
          <w:sz w:val="32"/>
          <w:szCs w:val="32"/>
        </w:rPr>
        <w:t>将“一芯两园”打造成城乡产业协同发展平台</w:t>
      </w:r>
      <w:r>
        <w:rPr>
          <w:rFonts w:hint="eastAsia" w:ascii="仿宋_GB2312" w:hAnsi="仿宋_GB2312" w:eastAsia="仿宋_GB2312" w:cs="仿宋_GB2312"/>
          <w:color w:val="000000" w:themeColor="text1"/>
          <w:kern w:val="32"/>
          <w:sz w:val="32"/>
          <w:szCs w:val="32"/>
        </w:rPr>
        <w:t>。以</w:t>
      </w:r>
      <w:r>
        <w:rPr>
          <w:rFonts w:hint="eastAsia" w:ascii="仿宋_GB2312" w:hAnsi="仿宋_GB2312" w:eastAsia="仿宋_GB2312" w:cs="仿宋_GB2312"/>
          <w:color w:val="000000" w:themeColor="text1"/>
          <w:sz w:val="32"/>
          <w:szCs w:val="32"/>
        </w:rPr>
        <w:t>武江科创园、武江城乡融合产业园、武江现代农业产业园等</w:t>
      </w:r>
      <w:r>
        <w:rPr>
          <w:rFonts w:hint="eastAsia" w:ascii="仿宋_GB2312" w:hAnsi="仿宋_GB2312" w:eastAsia="仿宋_GB2312" w:cs="仿宋_GB2312"/>
          <w:color w:val="000000" w:themeColor="text1"/>
          <w:kern w:val="32"/>
          <w:sz w:val="32"/>
          <w:szCs w:val="32"/>
        </w:rPr>
        <w:t>产业平台为载体，</w:t>
      </w:r>
      <w:r>
        <w:rPr>
          <w:rFonts w:hint="eastAsia" w:ascii="仿宋_GB2312" w:hAnsi="仿宋_GB2312" w:eastAsia="仿宋_GB2312" w:cs="仿宋_GB2312"/>
          <w:bCs/>
          <w:color w:val="auto"/>
          <w:sz w:val="32"/>
          <w:szCs w:val="32"/>
        </w:rPr>
        <w:t>构建一二三</w:t>
      </w:r>
      <w:r>
        <w:rPr>
          <w:rFonts w:hint="eastAsia" w:ascii="仿宋_GB2312" w:hAnsi="仿宋_GB2312" w:eastAsia="仿宋_GB2312" w:cs="仿宋_GB2312"/>
          <w:bCs/>
          <w:color w:val="auto"/>
          <w:sz w:val="32"/>
          <w:szCs w:val="32"/>
          <w:highlight w:val="none"/>
        </w:rPr>
        <w:t>产</w:t>
      </w:r>
      <w:r>
        <w:rPr>
          <w:rFonts w:hint="eastAsia" w:ascii="仿宋_GB2312" w:hAnsi="仿宋_GB2312" w:eastAsia="仿宋_GB2312" w:cs="仿宋_GB2312"/>
          <w:bCs/>
          <w:color w:val="auto"/>
          <w:sz w:val="32"/>
          <w:szCs w:val="32"/>
        </w:rPr>
        <w:t>协同发展</w:t>
      </w:r>
      <w:r>
        <w:rPr>
          <w:rFonts w:hint="eastAsia" w:ascii="仿宋_GB2312" w:hAnsi="仿宋_GB2312" w:eastAsia="仿宋_GB2312" w:cs="仿宋_GB2312"/>
          <w:bCs/>
          <w:color w:val="000000" w:themeColor="text1"/>
          <w:sz w:val="32"/>
          <w:szCs w:val="32"/>
        </w:rPr>
        <w:t>体系。</w:t>
      </w:r>
      <w:r>
        <w:rPr>
          <w:rFonts w:hint="eastAsia" w:ascii="仿宋_GB2312" w:hAnsi="仿宋_GB2312" w:eastAsia="仿宋_GB2312" w:cs="仿宋_GB2312"/>
          <w:color w:val="000000" w:themeColor="text1"/>
          <w:sz w:val="32"/>
          <w:szCs w:val="32"/>
        </w:rPr>
        <w:t>打造“乡村+”产业化发展机制，</w:t>
      </w:r>
      <w:r>
        <w:rPr>
          <w:rFonts w:hint="eastAsia" w:ascii="仿宋_GB2312" w:hAnsi="仿宋_GB2312" w:eastAsia="仿宋_GB2312" w:cs="仿宋_GB2312"/>
          <w:bCs/>
          <w:color w:val="000000" w:themeColor="text1"/>
          <w:sz w:val="32"/>
          <w:szCs w:val="32"/>
        </w:rPr>
        <w:t>探索“科研+”“加工+”产业发展模式。建立城乡产业要素跨界流动机制，</w:t>
      </w:r>
      <w:r>
        <w:rPr>
          <w:rFonts w:hint="eastAsia" w:ascii="仿宋_GB2312" w:hAnsi="仿宋_GB2312" w:eastAsia="仿宋_GB2312" w:cs="仿宋_GB2312"/>
          <w:color w:val="000000" w:themeColor="text1"/>
          <w:sz w:val="32"/>
          <w:szCs w:val="32"/>
        </w:rPr>
        <w:t>依托武江区乡村振兴培训实践中心，搭建人才培训交流、农产品研发与展销、乡村潜在优质项目孵化的综合平台。加快建设广东股权交易中心韶关分中心、广东林产品交易中心，为武江城乡发展提供创新要素支撑。</w:t>
      </w:r>
    </w:p>
    <w:p>
      <w:pPr>
        <w:pageBreakBefore w:val="0"/>
        <w:widowControl w:val="0"/>
        <w:kinsoku/>
        <w:wordWrap/>
        <w:overflowPunct/>
        <w:topLinePunct w:val="0"/>
        <w:autoSpaceDE/>
        <w:autoSpaceDN/>
        <w:bidi w:val="0"/>
        <w:adjustRightInd/>
        <w:snapToGrid/>
        <w:spacing w:line="600" w:lineRule="exact"/>
        <w:ind w:firstLine="643"/>
        <w:textAlignment w:val="auto"/>
        <w:rPr>
          <w:rFonts w:hint="eastAsia" w:ascii="仿宋_GB2312" w:hAnsi="仿宋_GB2312" w:eastAsia="仿宋_GB2312" w:cs="仿宋_GB2312"/>
          <w:bCs/>
          <w:color w:val="000000" w:themeColor="text1"/>
          <w:sz w:val="32"/>
          <w:szCs w:val="32"/>
        </w:rPr>
      </w:pPr>
      <w:r>
        <w:rPr>
          <w:rFonts w:hint="eastAsia" w:ascii="仿宋_GB2312" w:hAnsi="仿宋_GB2312" w:eastAsia="仿宋_GB2312" w:cs="仿宋_GB2312"/>
          <w:b/>
          <w:bCs/>
          <w:color w:val="000000" w:themeColor="text1"/>
          <w:sz w:val="32"/>
          <w:szCs w:val="32"/>
        </w:rPr>
        <w:t>健全村改社区管理机制。</w:t>
      </w:r>
      <w:r>
        <w:rPr>
          <w:rFonts w:hint="eastAsia" w:ascii="仿宋_GB2312" w:hAnsi="仿宋_GB2312" w:eastAsia="仿宋_GB2312" w:cs="仿宋_GB2312"/>
          <w:bCs/>
          <w:color w:val="000000" w:themeColor="text1"/>
          <w:sz w:val="32"/>
          <w:szCs w:val="32"/>
        </w:rPr>
        <w:t>健全党建引领社区治理机制，</w:t>
      </w:r>
      <w:r>
        <w:rPr>
          <w:rFonts w:hint="eastAsia" w:ascii="仿宋_GB2312" w:hAnsi="仿宋_GB2312" w:eastAsia="仿宋_GB2312" w:cs="仿宋_GB2312"/>
          <w:color w:val="000000" w:themeColor="text1"/>
          <w:sz w:val="32"/>
          <w:szCs w:val="32"/>
        </w:rPr>
        <w:t>推广“党建+志愿服务”、“党建+小区”等社区治理模式，</w:t>
      </w:r>
      <w:r>
        <w:rPr>
          <w:rFonts w:hint="eastAsia" w:ascii="仿宋_GB2312" w:hAnsi="仿宋_GB2312" w:eastAsia="仿宋_GB2312" w:cs="仿宋_GB2312"/>
          <w:color w:val="000000" w:themeColor="text1"/>
          <w:sz w:val="32"/>
          <w:szCs w:val="32"/>
          <w:shd w:val="clear" w:color="auto" w:fill="FFFFFF"/>
        </w:rPr>
        <w:t>推进党建引领村改社区社会治理创新。</w:t>
      </w:r>
      <w:r>
        <w:rPr>
          <w:rFonts w:hint="eastAsia" w:ascii="仿宋_GB2312" w:hAnsi="仿宋_GB2312" w:eastAsia="仿宋_GB2312" w:cs="仿宋_GB2312"/>
          <w:bCs/>
          <w:color w:val="000000" w:themeColor="text1"/>
          <w:sz w:val="32"/>
          <w:szCs w:val="32"/>
        </w:rPr>
        <w:t>完善集体产权管理运行机制，</w:t>
      </w:r>
      <w:r>
        <w:rPr>
          <w:rFonts w:hint="eastAsia" w:ascii="仿宋_GB2312" w:hAnsi="仿宋_GB2312" w:eastAsia="仿宋_GB2312" w:cs="仿宋_GB2312"/>
          <w:color w:val="000000" w:themeColor="text1"/>
          <w:sz w:val="32"/>
          <w:szCs w:val="32"/>
        </w:rPr>
        <w:t>规范村改社区的资产运行管理。</w:t>
      </w:r>
      <w:r>
        <w:rPr>
          <w:rFonts w:hint="eastAsia" w:ascii="仿宋_GB2312" w:hAnsi="仿宋_GB2312" w:eastAsia="仿宋_GB2312" w:cs="仿宋_GB2312"/>
          <w:bCs/>
          <w:color w:val="000000" w:themeColor="text1"/>
          <w:sz w:val="32"/>
          <w:szCs w:val="32"/>
        </w:rPr>
        <w:t>建立村改社区服务保障机制，</w:t>
      </w:r>
      <w:r>
        <w:rPr>
          <w:rFonts w:hint="eastAsia" w:ascii="仿宋_GB2312" w:hAnsi="仿宋_GB2312" w:eastAsia="仿宋_GB2312" w:cs="仿宋_GB2312"/>
          <w:color w:val="000000" w:themeColor="text1"/>
          <w:sz w:val="32"/>
          <w:szCs w:val="32"/>
        </w:rPr>
        <w:t>按照</w:t>
      </w:r>
      <w:r>
        <w:rPr>
          <w:rFonts w:hint="eastAsia" w:ascii="仿宋_GB2312" w:hAnsi="仿宋_GB2312" w:eastAsia="仿宋_GB2312" w:cs="仿宋_GB2312"/>
          <w:color w:val="000000" w:themeColor="text1"/>
          <w:sz w:val="32"/>
          <w:szCs w:val="32"/>
          <w:shd w:val="clear" w:color="auto" w:fill="FFFFFF"/>
        </w:rPr>
        <w:t>“建设一张规划、服务一个标准、发展同等机会”原则，</w:t>
      </w:r>
      <w:r>
        <w:rPr>
          <w:rFonts w:hint="eastAsia" w:ascii="仿宋_GB2312" w:hAnsi="仿宋_GB2312" w:eastAsia="仿宋_GB2312" w:cs="仿宋_GB2312"/>
          <w:color w:val="000000" w:themeColor="text1"/>
          <w:sz w:val="32"/>
          <w:szCs w:val="32"/>
        </w:rPr>
        <w:t>把村改社区纳入城市社区管理范畴，加大财政投入，推动村改社区在市政规划、基础设施、公共服务等方面与城市社区相衔接。</w:t>
      </w:r>
    </w:p>
    <w:p>
      <w:pPr>
        <w:pStyle w:val="18"/>
        <w:pageBreakBefore w:val="0"/>
        <w:widowControl w:val="0"/>
        <w:kinsoku/>
        <w:wordWrap/>
        <w:overflowPunct/>
        <w:topLinePunct w:val="0"/>
        <w:autoSpaceDE/>
        <w:autoSpaceDN/>
        <w:bidi w:val="0"/>
        <w:adjustRightInd/>
        <w:snapToGrid/>
        <w:spacing w:line="600" w:lineRule="exact"/>
        <w:ind w:firstLine="581" w:firstLineChars="181"/>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b/>
          <w:color w:val="000000" w:themeColor="text1"/>
          <w:sz w:val="32"/>
          <w:szCs w:val="32"/>
        </w:rPr>
        <w:t>健全完善农村集体经济运行机制。</w:t>
      </w:r>
      <w:r>
        <w:rPr>
          <w:rFonts w:hint="eastAsia" w:ascii="仿宋_GB2312" w:hAnsi="仿宋_GB2312" w:eastAsia="仿宋_GB2312" w:cs="仿宋_GB2312"/>
          <w:bCs/>
          <w:spacing w:val="-4"/>
          <w:sz w:val="32"/>
          <w:szCs w:val="32"/>
        </w:rPr>
        <w:t>建立健全集体资产资源管理机制</w:t>
      </w:r>
      <w:r>
        <w:rPr>
          <w:rFonts w:hint="eastAsia" w:ascii="仿宋_GB2312" w:hAnsi="仿宋_GB2312" w:eastAsia="仿宋_GB2312" w:cs="仿宋_GB2312"/>
          <w:spacing w:val="-4"/>
          <w:sz w:val="32"/>
          <w:szCs w:val="32"/>
        </w:rPr>
        <w:t>，建立集体资源、资产股权量化登记制度，出台农村集体产权交易管理制度。</w:t>
      </w:r>
      <w:r>
        <w:rPr>
          <w:rFonts w:hint="eastAsia" w:ascii="仿宋_GB2312" w:hAnsi="仿宋_GB2312" w:eastAsia="仿宋_GB2312" w:cs="仿宋_GB2312"/>
          <w:bCs/>
          <w:color w:val="000000" w:themeColor="text1"/>
          <w:sz w:val="32"/>
          <w:szCs w:val="32"/>
        </w:rPr>
        <w:t>建立盘活农村内生性资源的机制</w:t>
      </w:r>
      <w:r>
        <w:rPr>
          <w:rFonts w:hint="eastAsia" w:ascii="仿宋_GB2312" w:hAnsi="仿宋_GB2312" w:eastAsia="仿宋_GB2312" w:cs="仿宋_GB2312"/>
          <w:color w:val="000000" w:themeColor="text1"/>
          <w:sz w:val="32"/>
          <w:szCs w:val="32"/>
        </w:rPr>
        <w:t>，推广土地股份合作与社会化服务相结合的模式，实现土地租金、园区务工和股份分红多种收益。创新闲置资产市场运作机制，依托龙头企业，鼓励农户将闲置房屋及附属设施，通过出租、入股等方式参与乡村旅游开发等市场经营。</w:t>
      </w:r>
      <w:r>
        <w:rPr>
          <w:rFonts w:hint="eastAsia" w:ascii="仿宋_GB2312" w:hAnsi="仿宋_GB2312" w:eastAsia="仿宋_GB2312" w:cs="仿宋_GB2312"/>
          <w:sz w:val="32"/>
          <w:szCs w:val="32"/>
        </w:rPr>
        <w:t>构建新增资源区级农村三资平台交易机制，构建农村资源交易指导价格体系。</w:t>
      </w:r>
    </w:p>
    <w:p>
      <w:pPr>
        <w:pageBreakBefore w:val="0"/>
        <w:widowControl w:val="0"/>
        <w:kinsoku/>
        <w:wordWrap/>
        <w:overflowPunct/>
        <w:topLinePunct w:val="0"/>
        <w:autoSpaceDE/>
        <w:autoSpaceDN/>
        <w:bidi w:val="0"/>
        <w:adjustRightInd/>
        <w:snapToGrid/>
        <w:spacing w:line="600" w:lineRule="exact"/>
        <w:textAlignment w:val="auto"/>
        <w:rPr>
          <w:sz w:val="32"/>
          <w:szCs w:val="32"/>
        </w:rPr>
      </w:pPr>
      <w:bookmarkStart w:id="201" w:name="_Toc16118"/>
    </w:p>
    <w:p>
      <w:pPr>
        <w:pStyle w:val="3"/>
        <w:pageBreakBefore w:val="0"/>
        <w:widowControl w:val="0"/>
        <w:kinsoku/>
        <w:wordWrap/>
        <w:overflowPunct/>
        <w:topLinePunct w:val="0"/>
        <w:autoSpaceDE/>
        <w:autoSpaceDN/>
        <w:bidi w:val="0"/>
        <w:adjustRightInd/>
        <w:snapToGrid/>
        <w:spacing w:line="600" w:lineRule="exact"/>
        <w:textAlignment w:val="auto"/>
        <w:rPr>
          <w:sz w:val="32"/>
          <w:szCs w:val="32"/>
        </w:rPr>
      </w:pPr>
      <w:bookmarkStart w:id="202" w:name="_Toc18475"/>
      <w:bookmarkStart w:id="203" w:name="_Toc15176"/>
      <w:bookmarkStart w:id="204" w:name="_Toc24445"/>
      <w:bookmarkStart w:id="205" w:name="_Toc17969"/>
      <w:bookmarkStart w:id="206" w:name="_Toc324"/>
      <w:bookmarkStart w:id="207" w:name="_Toc32180"/>
      <w:bookmarkStart w:id="208" w:name="_Toc27565"/>
      <w:r>
        <w:rPr>
          <w:rFonts w:hint="eastAsia"/>
          <w:sz w:val="32"/>
          <w:szCs w:val="32"/>
        </w:rPr>
        <w:t>第七章  突出生态优先主旋律，建设更高水平的美丽武江</w:t>
      </w:r>
      <w:bookmarkEnd w:id="201"/>
      <w:bookmarkEnd w:id="202"/>
      <w:bookmarkEnd w:id="203"/>
      <w:bookmarkEnd w:id="204"/>
      <w:bookmarkEnd w:id="205"/>
      <w:bookmarkEnd w:id="206"/>
      <w:bookmarkEnd w:id="207"/>
      <w:bookmarkEnd w:id="208"/>
    </w:p>
    <w:p>
      <w:pPr>
        <w:pageBreakBefore w:val="0"/>
        <w:widowControl w:val="0"/>
        <w:kinsoku/>
        <w:wordWrap/>
        <w:overflowPunct/>
        <w:topLinePunct w:val="0"/>
        <w:autoSpaceDE/>
        <w:autoSpaceDN/>
        <w:bidi w:val="0"/>
        <w:adjustRightInd/>
        <w:snapToGrid/>
        <w:spacing w:line="600" w:lineRule="exact"/>
        <w:ind w:firstLine="640"/>
        <w:textAlignment w:val="auto"/>
        <w:rPr>
          <w:sz w:val="32"/>
          <w:szCs w:val="32"/>
        </w:rPr>
      </w:pPr>
    </w:p>
    <w:p>
      <w:pPr>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入践行习近平生态文明思想，牢固树立绿水青山就是金山银山理念，坚持生态优先，严守生态保护红线、环境质量底线、资源利用上线，抓好自然资源资产管理及保护，创新绿色低碳发展模式，完善生态基础设施，坚持以生态为特色优势推动高质量发展，打造生态新经济。</w:t>
      </w:r>
    </w:p>
    <w:p>
      <w:pPr>
        <w:pageBreakBefore w:val="0"/>
        <w:widowControl w:val="0"/>
        <w:kinsoku/>
        <w:wordWrap/>
        <w:overflowPunct/>
        <w:topLinePunct w:val="0"/>
        <w:autoSpaceDE/>
        <w:autoSpaceDN/>
        <w:bidi w:val="0"/>
        <w:adjustRightInd/>
        <w:snapToGrid/>
        <w:spacing w:line="600" w:lineRule="exact"/>
        <w:textAlignment w:val="auto"/>
        <w:rPr>
          <w:sz w:val="32"/>
          <w:szCs w:val="32"/>
        </w:rPr>
      </w:pPr>
      <w:bookmarkStart w:id="209" w:name="_Toc10387"/>
    </w:p>
    <w:p>
      <w:pPr>
        <w:pStyle w:val="4"/>
        <w:pageBreakBefore w:val="0"/>
        <w:widowControl w:val="0"/>
        <w:kinsoku/>
        <w:wordWrap/>
        <w:overflowPunct/>
        <w:topLinePunct w:val="0"/>
        <w:autoSpaceDE/>
        <w:autoSpaceDN/>
        <w:bidi w:val="0"/>
        <w:adjustRightInd/>
        <w:snapToGrid/>
        <w:spacing w:line="600" w:lineRule="exact"/>
        <w:textAlignment w:val="auto"/>
        <w:rPr>
          <w:sz w:val="32"/>
          <w:szCs w:val="32"/>
        </w:rPr>
      </w:pPr>
      <w:bookmarkStart w:id="210" w:name="_Toc3390"/>
      <w:bookmarkStart w:id="211" w:name="_Toc5545"/>
      <w:bookmarkStart w:id="212" w:name="_Toc11449"/>
      <w:bookmarkStart w:id="213" w:name="_Toc7861"/>
      <w:bookmarkStart w:id="214" w:name="_Toc14657"/>
      <w:bookmarkStart w:id="215" w:name="_Toc31591"/>
      <w:bookmarkStart w:id="216" w:name="_Toc15137"/>
      <w:r>
        <w:rPr>
          <w:rFonts w:hint="eastAsia"/>
          <w:sz w:val="32"/>
          <w:szCs w:val="32"/>
        </w:rPr>
        <w:t>第一节  加强生态建设与保护</w:t>
      </w:r>
      <w:bookmarkEnd w:id="209"/>
      <w:bookmarkEnd w:id="210"/>
      <w:bookmarkEnd w:id="211"/>
      <w:bookmarkEnd w:id="212"/>
      <w:bookmarkEnd w:id="213"/>
      <w:bookmarkEnd w:id="214"/>
      <w:bookmarkEnd w:id="215"/>
      <w:bookmarkEnd w:id="216"/>
    </w:p>
    <w:p>
      <w:pPr>
        <w:pageBreakBefore w:val="0"/>
        <w:widowControl w:val="0"/>
        <w:kinsoku/>
        <w:wordWrap/>
        <w:overflowPunct/>
        <w:topLinePunct w:val="0"/>
        <w:autoSpaceDE/>
        <w:autoSpaceDN/>
        <w:bidi w:val="0"/>
        <w:adjustRightInd/>
        <w:snapToGrid/>
        <w:spacing w:line="600" w:lineRule="exact"/>
        <w:ind w:firstLine="640"/>
        <w:textAlignment w:val="auto"/>
        <w:rPr>
          <w:rFonts w:ascii="仿宋" w:hAnsi="仿宋" w:cs="仿宋"/>
          <w:sz w:val="32"/>
          <w:szCs w:val="32"/>
        </w:rPr>
      </w:pPr>
    </w:p>
    <w:p>
      <w:pPr>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深入开展生态文明建设，统筹推进山水林田湖草系统治理，维护自然生态的完整性、连续性和多样性，提升生态系统质量。</w:t>
      </w:r>
    </w:p>
    <w:p>
      <w:pPr>
        <w:pageBreakBefore w:val="0"/>
        <w:widowControl w:val="0"/>
        <w:kinsoku/>
        <w:wordWrap/>
        <w:overflowPunct/>
        <w:topLinePunct w:val="0"/>
        <w:autoSpaceDE/>
        <w:autoSpaceDN/>
        <w:bidi w:val="0"/>
        <w:adjustRightInd/>
        <w:snapToGrid/>
        <w:spacing w:line="600" w:lineRule="exact"/>
        <w:ind w:firstLine="643"/>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加强自然资源管理及利用。</w:t>
      </w:r>
      <w:r>
        <w:rPr>
          <w:rFonts w:hint="eastAsia" w:ascii="仿宋_GB2312" w:hAnsi="仿宋_GB2312" w:eastAsia="仿宋_GB2312" w:cs="仿宋_GB2312"/>
          <w:sz w:val="32"/>
          <w:szCs w:val="32"/>
        </w:rPr>
        <w:t>加强永久基本农田保护和管理，牢牢守住耕地红线，压实耕地目标管理、属地管理责任，坚决制止耕地“非农化”，防止耕地“非粮化”，抓好农村乱占耕地建房的分类处理。积极做好用地保障服务，重点保障社会民生工程、乡村振兴、产业发展用地。不断优化林业产业结构，推进林下经济和国家储备林项目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抓好高质量水源林营造、松材线虫除治更新造林、采伐迹地更新造林、封山育林、森林抚育、林木种苗检疫检查、林业有害生物防治等林业生态重点工程项目建设。加强矿产资源管理，规范矿产资源利用。</w:t>
      </w:r>
    </w:p>
    <w:p>
      <w:pPr>
        <w:pageBreakBefore w:val="0"/>
        <w:widowControl w:val="0"/>
        <w:kinsoku/>
        <w:wordWrap/>
        <w:overflowPunct/>
        <w:topLinePunct w:val="0"/>
        <w:autoSpaceDE/>
        <w:autoSpaceDN/>
        <w:bidi w:val="0"/>
        <w:adjustRightInd/>
        <w:snapToGrid/>
        <w:spacing w:line="600" w:lineRule="exact"/>
        <w:ind w:firstLine="643"/>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统筹推进生态保护</w:t>
      </w:r>
      <w:r>
        <w:rPr>
          <w:rFonts w:hint="eastAsia" w:ascii="仿宋_GB2312" w:hAnsi="仿宋_GB2312" w:eastAsia="仿宋_GB2312" w:cs="仿宋_GB2312"/>
          <w:b/>
          <w:sz w:val="32"/>
          <w:szCs w:val="32"/>
        </w:rPr>
        <w:t>与</w:t>
      </w:r>
      <w:r>
        <w:rPr>
          <w:rFonts w:hint="eastAsia" w:ascii="仿宋_GB2312" w:hAnsi="仿宋_GB2312" w:eastAsia="仿宋_GB2312" w:cs="仿宋_GB2312"/>
          <w:b/>
          <w:bCs/>
          <w:sz w:val="32"/>
          <w:szCs w:val="32"/>
        </w:rPr>
        <w:t>修复。</w:t>
      </w:r>
      <w:r>
        <w:rPr>
          <w:rFonts w:hint="eastAsia" w:ascii="仿宋_GB2312" w:hAnsi="仿宋_GB2312" w:eastAsia="仿宋_GB2312" w:cs="仿宋_GB2312"/>
          <w:sz w:val="32"/>
          <w:szCs w:val="32"/>
        </w:rPr>
        <w:t>严格贯彻“山水林田湖草是一个生命共同体”的生态保护理念，</w:t>
      </w:r>
      <w:r>
        <w:rPr>
          <w:rFonts w:hint="eastAsia" w:ascii="仿宋_GB2312" w:hAnsi="仿宋_GB2312" w:eastAsia="仿宋_GB2312" w:cs="仿宋_GB2312"/>
          <w:sz w:val="32"/>
          <w:szCs w:val="32"/>
          <w:lang w:eastAsia="zh-CN"/>
        </w:rPr>
        <w:t>实施生态整体保护与系统修复，筑牢生态保护屏障。</w:t>
      </w:r>
      <w:r>
        <w:rPr>
          <w:rFonts w:hint="eastAsia" w:ascii="仿宋_GB2312" w:hAnsi="仿宋_GB2312" w:eastAsia="仿宋_GB2312" w:cs="仿宋_GB2312"/>
          <w:sz w:val="32"/>
          <w:szCs w:val="32"/>
        </w:rPr>
        <w:t>积极开展矿山治理及土壤修复、生态系统与生物多样性保护、流域水环境保护</w:t>
      </w:r>
      <w:r>
        <w:rPr>
          <w:rFonts w:hint="eastAsia" w:ascii="仿宋_GB2312" w:hAnsi="仿宋_GB2312" w:eastAsia="仿宋_GB2312" w:cs="仿宋_GB2312"/>
          <w:sz w:val="32"/>
          <w:szCs w:val="32"/>
          <w:lang w:eastAsia="zh-CN"/>
        </w:rPr>
        <w:t>修复</w:t>
      </w:r>
      <w:r>
        <w:rPr>
          <w:rFonts w:hint="eastAsia" w:ascii="仿宋_GB2312" w:hAnsi="仿宋_GB2312" w:eastAsia="仿宋_GB2312" w:cs="仿宋_GB2312"/>
          <w:sz w:val="32"/>
          <w:szCs w:val="32"/>
        </w:rPr>
        <w:t>和提升管理能力等，全面推进山水林田湖草生态保护修复工作。努力实现“山清水秀、林草环绕、碧湖青田、城美人和”的生态保护修复目标。积极配合省、市创建南岭国家公园，保护南岭山地森林及生物多样性、水源涵养地，确保生态空间面积不减少、生态功能不降低，实现南岭国家公园自然体验可持续发展。</w:t>
      </w:r>
      <w:r>
        <w:rPr>
          <w:rFonts w:hint="eastAsia" w:ascii="仿宋_GB2312" w:hAnsi="仿宋_GB2312" w:eastAsia="仿宋_GB2312" w:cs="仿宋_GB2312"/>
          <w:color w:val="000000" w:themeColor="text1"/>
          <w:sz w:val="32"/>
          <w:szCs w:val="32"/>
        </w:rPr>
        <w:t>全面配合韶关市开展国家森林城市创建工作。</w:t>
      </w:r>
      <w:r>
        <w:rPr>
          <w:rFonts w:hint="eastAsia" w:ascii="仿宋_GB2312" w:hAnsi="仿宋_GB2312" w:eastAsia="仿宋_GB2312" w:cs="仿宋_GB2312"/>
          <w:sz w:val="32"/>
          <w:szCs w:val="32"/>
        </w:rPr>
        <w:t>全面推进林长制，抓好森林资源管护及科学利用，推动</w:t>
      </w:r>
      <w:r>
        <w:rPr>
          <w:rFonts w:hint="eastAsia" w:ascii="仿宋_GB2312" w:hAnsi="仿宋_GB2312" w:eastAsia="仿宋_GB2312" w:cs="仿宋_GB2312"/>
          <w:color w:val="auto"/>
          <w:sz w:val="32"/>
          <w:szCs w:val="32"/>
        </w:rPr>
        <w:t>重点区域</w:t>
      </w:r>
      <w:r>
        <w:rPr>
          <w:rFonts w:hint="eastAsia" w:ascii="仿宋_GB2312" w:hAnsi="仿宋_GB2312" w:eastAsia="仿宋_GB2312" w:cs="仿宋_GB2312"/>
          <w:sz w:val="32"/>
          <w:szCs w:val="32"/>
        </w:rPr>
        <w:t>林桉树退出工作。</w:t>
      </w:r>
      <w:r>
        <w:rPr>
          <w:rFonts w:hint="eastAsia" w:ascii="仿宋_GB2312" w:hAnsi="仿宋_GB2312" w:eastAsia="仿宋_GB2312" w:cs="仿宋_GB2312"/>
          <w:color w:val="auto"/>
          <w:sz w:val="32"/>
          <w:szCs w:val="32"/>
        </w:rPr>
        <w:t>编制出台武江区森林</w:t>
      </w:r>
      <w:r>
        <w:rPr>
          <w:rFonts w:hint="eastAsia" w:ascii="仿宋_GB2312" w:hAnsi="仿宋_GB2312" w:eastAsia="仿宋_GB2312" w:cs="仿宋_GB2312"/>
          <w:color w:val="auto"/>
          <w:sz w:val="32"/>
          <w:szCs w:val="32"/>
          <w:highlight w:val="none"/>
        </w:rPr>
        <w:t>防</w:t>
      </w:r>
      <w:r>
        <w:rPr>
          <w:rFonts w:hint="eastAsia" w:ascii="仿宋_GB2312" w:hAnsi="仿宋_GB2312" w:eastAsia="仿宋_GB2312" w:cs="仿宋_GB2312"/>
          <w:color w:val="auto"/>
          <w:sz w:val="32"/>
          <w:szCs w:val="32"/>
        </w:rPr>
        <w:t>灭火中长期发展规划，谋划建设一批森林</w:t>
      </w:r>
      <w:r>
        <w:rPr>
          <w:rFonts w:hint="eastAsia" w:ascii="仿宋_GB2312" w:hAnsi="仿宋_GB2312" w:eastAsia="仿宋_GB2312" w:cs="仿宋_GB2312"/>
          <w:color w:val="auto"/>
          <w:sz w:val="32"/>
          <w:szCs w:val="32"/>
          <w:highlight w:val="none"/>
        </w:rPr>
        <w:t>防</w:t>
      </w:r>
      <w:r>
        <w:rPr>
          <w:rFonts w:hint="eastAsia" w:ascii="仿宋_GB2312" w:hAnsi="仿宋_GB2312" w:eastAsia="仿宋_GB2312" w:cs="仿宋_GB2312"/>
          <w:color w:val="auto"/>
          <w:sz w:val="32"/>
          <w:szCs w:val="32"/>
        </w:rPr>
        <w:t>灭火基础设施。</w:t>
      </w:r>
    </w:p>
    <w:p>
      <w:pPr>
        <w:pageBreakBefore w:val="0"/>
        <w:widowControl w:val="0"/>
        <w:kinsoku/>
        <w:wordWrap/>
        <w:overflowPunct/>
        <w:topLinePunct w:val="0"/>
        <w:autoSpaceDE/>
        <w:autoSpaceDN/>
        <w:bidi w:val="0"/>
        <w:adjustRightInd/>
        <w:snapToGrid/>
        <w:spacing w:line="600" w:lineRule="exact"/>
        <w:textAlignment w:val="auto"/>
        <w:rPr>
          <w:sz w:val="32"/>
          <w:szCs w:val="32"/>
        </w:rPr>
      </w:pPr>
    </w:p>
    <w:p>
      <w:pPr>
        <w:pStyle w:val="4"/>
        <w:pageBreakBefore w:val="0"/>
        <w:widowControl w:val="0"/>
        <w:kinsoku/>
        <w:wordWrap/>
        <w:overflowPunct/>
        <w:topLinePunct w:val="0"/>
        <w:autoSpaceDE/>
        <w:autoSpaceDN/>
        <w:bidi w:val="0"/>
        <w:adjustRightInd/>
        <w:snapToGrid/>
        <w:spacing w:line="600" w:lineRule="exact"/>
        <w:textAlignment w:val="auto"/>
        <w:rPr>
          <w:rFonts w:ascii="黑体" w:hAnsi="黑体"/>
          <w:sz w:val="32"/>
          <w:szCs w:val="32"/>
        </w:rPr>
      </w:pPr>
      <w:bookmarkStart w:id="217" w:name="_Toc5469"/>
      <w:bookmarkStart w:id="218" w:name="_Toc5120"/>
      <w:bookmarkStart w:id="219" w:name="_Toc11530"/>
      <w:bookmarkStart w:id="220" w:name="_Toc31967"/>
      <w:bookmarkStart w:id="221" w:name="_Toc12560"/>
      <w:bookmarkStart w:id="222" w:name="_Toc5776"/>
      <w:bookmarkStart w:id="223" w:name="_Toc25458"/>
      <w:r>
        <w:rPr>
          <w:rFonts w:hint="eastAsia" w:ascii="黑体" w:hAnsi="黑体"/>
          <w:sz w:val="32"/>
          <w:szCs w:val="32"/>
        </w:rPr>
        <w:t xml:space="preserve">第二节  </w:t>
      </w:r>
      <w:r>
        <w:rPr>
          <w:rFonts w:hint="eastAsia" w:ascii="黑体" w:hAnsi="黑体" w:cs="楷体"/>
          <w:sz w:val="32"/>
          <w:szCs w:val="32"/>
        </w:rPr>
        <w:t>全域推进生态环境治理</w:t>
      </w:r>
      <w:bookmarkEnd w:id="217"/>
      <w:bookmarkEnd w:id="218"/>
      <w:bookmarkEnd w:id="219"/>
      <w:bookmarkEnd w:id="220"/>
      <w:bookmarkEnd w:id="221"/>
      <w:bookmarkEnd w:id="222"/>
      <w:bookmarkEnd w:id="223"/>
    </w:p>
    <w:p>
      <w:pPr>
        <w:pageBreakBefore w:val="0"/>
        <w:widowControl w:val="0"/>
        <w:kinsoku/>
        <w:wordWrap/>
        <w:overflowPunct/>
        <w:topLinePunct w:val="0"/>
        <w:autoSpaceDE/>
        <w:autoSpaceDN/>
        <w:bidi w:val="0"/>
        <w:adjustRightInd/>
        <w:snapToGrid/>
        <w:spacing w:line="600" w:lineRule="exact"/>
        <w:ind w:firstLine="640"/>
        <w:textAlignment w:val="auto"/>
        <w:rPr>
          <w:sz w:val="32"/>
          <w:szCs w:val="32"/>
        </w:rPr>
      </w:pPr>
    </w:p>
    <w:p>
      <w:pPr>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坚持精准治污、科学治污、依法治污，推进生态保护精细化管理，强化国土空间环境管控，落实“三线一单”，深入打好污染防治攻坚战，巩固提升蓝天、碧水、净土</w:t>
      </w:r>
      <w:r>
        <w:rPr>
          <w:rFonts w:hint="eastAsia" w:ascii="仿宋_GB2312" w:hAnsi="仿宋_GB2312" w:eastAsia="仿宋_GB2312" w:cs="仿宋_GB2312"/>
          <w:sz w:val="32"/>
          <w:szCs w:val="32"/>
          <w:lang w:val="en-US" w:eastAsia="zh-CN"/>
        </w:rPr>
        <w:t>污染防治</w:t>
      </w:r>
      <w:r>
        <w:rPr>
          <w:rFonts w:hint="eastAsia" w:ascii="仿宋_GB2312" w:hAnsi="仿宋_GB2312" w:eastAsia="仿宋_GB2312" w:cs="仿宋_GB2312"/>
          <w:sz w:val="32"/>
          <w:szCs w:val="32"/>
        </w:rPr>
        <w:t>成果，全面改善环境质量。</w:t>
      </w:r>
    </w:p>
    <w:p>
      <w:pPr>
        <w:pageBreakBefore w:val="0"/>
        <w:widowControl w:val="0"/>
        <w:kinsoku/>
        <w:wordWrap/>
        <w:overflowPunct/>
        <w:topLinePunct w:val="0"/>
        <w:autoSpaceDE/>
        <w:autoSpaceDN/>
        <w:bidi w:val="0"/>
        <w:adjustRightInd/>
        <w:snapToGrid/>
        <w:spacing w:line="600" w:lineRule="exact"/>
        <w:ind w:firstLine="643"/>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持续推进大气污染防治。</w:t>
      </w:r>
      <w:r>
        <w:rPr>
          <w:rFonts w:hint="eastAsia" w:ascii="仿宋_GB2312" w:hAnsi="仿宋_GB2312" w:eastAsia="仿宋_GB2312" w:cs="仿宋_GB2312"/>
          <w:sz w:val="32"/>
          <w:szCs w:val="32"/>
          <w:lang w:val="en-US" w:eastAsia="zh-CN"/>
        </w:rPr>
        <w:t>着重做好工业源、移动源、扬尘、挥发性有机物、餐饮业油烟及露天焚烧禁燃等污染防治工作，实施氮氧化物（NOx）与挥发性有机物（VOCs）协同减排。常态化、精细化开展扬尘整治工作，巩固提升扬尘整治成效，重点加强国道323线、240线龙归段等路段综合整治，继续做好施工扬尘监管，在建工地达到“6个100%”标准。实行网格化管理，坚决遏制秸秆焚烧现象发生。大力发展利用清洁能源，积极发展可再生能源，推广利用太阳能、光伏发电项目，加快建设完善天然气管网。到2025年，空气质量稳步提升，AQI优良率稳定达标，空气综合指数降低</w:t>
      </w:r>
      <w:r>
        <w:rPr>
          <w:rFonts w:hint="eastAsia" w:ascii="仿宋_GB2312" w:hAnsi="仿宋_GB2312" w:eastAsia="仿宋_GB2312" w:cs="仿宋_GB2312"/>
          <w:sz w:val="32"/>
          <w:szCs w:val="32"/>
        </w:rPr>
        <w:t>。</w:t>
      </w:r>
    </w:p>
    <w:p>
      <w:pPr>
        <w:pageBreakBefore w:val="0"/>
        <w:widowControl w:val="0"/>
        <w:kinsoku/>
        <w:wordWrap/>
        <w:overflowPunct/>
        <w:topLinePunct w:val="0"/>
        <w:autoSpaceDE/>
        <w:autoSpaceDN/>
        <w:bidi w:val="0"/>
        <w:adjustRightInd/>
        <w:snapToGrid/>
        <w:spacing w:line="600" w:lineRule="exact"/>
        <w:ind w:firstLine="643"/>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持续推进水污染防治。</w:t>
      </w:r>
      <w:r>
        <w:rPr>
          <w:rFonts w:hint="eastAsia" w:ascii="仿宋_GB2312" w:hAnsi="仿宋_GB2312" w:eastAsia="仿宋_GB2312" w:cs="仿宋_GB2312"/>
          <w:sz w:val="32"/>
          <w:szCs w:val="32"/>
        </w:rPr>
        <w:t>完善河长制与网格化治水机制，细化明确各级河长治水责任。推动碧道建设，实施“五水共治”，强化“水上岸上”系统治理。全面清理禁养区畜禽养殖场，加强畜禽养殖污染治理，推动现有养殖场采用异位发酵床技术进行改造。调整优化禁养区，引导畜牧业从城镇周边、水源地区向适养区转移。推行现代化高效规模养殖场，引导小散养殖户向标准化规模养殖转型。推进畜禽粪污资源化利用，确保规模化养殖场粪污处理设施装备配套率达到100%。继续加强水源地环境保护和水质监测，持续改善域内水体水质。加快推进城乡污水收集处理设施建设，逐步扩大管网覆盖面，加快建设连通入河排污口污水管网，杜绝出现黑臭水体。</w:t>
      </w:r>
    </w:p>
    <w:p>
      <w:pPr>
        <w:pageBreakBefore w:val="0"/>
        <w:widowControl w:val="0"/>
        <w:kinsoku/>
        <w:wordWrap/>
        <w:overflowPunct/>
        <w:topLinePunct w:val="0"/>
        <w:autoSpaceDE/>
        <w:autoSpaceDN/>
        <w:bidi w:val="0"/>
        <w:adjustRightInd/>
        <w:snapToGrid/>
        <w:spacing w:line="600" w:lineRule="exact"/>
        <w:ind w:firstLine="643"/>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b/>
          <w:bCs/>
          <w:sz w:val="32"/>
          <w:szCs w:val="32"/>
        </w:rPr>
        <w:t>持续推进土壤污染防治。</w:t>
      </w:r>
      <w:r>
        <w:rPr>
          <w:rFonts w:hint="eastAsia" w:ascii="仿宋_GB2312" w:hAnsi="仿宋_GB2312" w:eastAsia="仿宋_GB2312" w:cs="仿宋_GB2312"/>
          <w:sz w:val="32"/>
          <w:szCs w:val="32"/>
        </w:rPr>
        <w:t>加强污染源头监管，做好土壤污染预防工作，全面保障土壤环境安全。严防工矿企业污染，减少生活污染。建立土壤环境监管机制，做好土壤污染重点监管点污染防治，加强涉重金属行业、工业废物、医疗废物、塑料污染等污染防治工作，推进垃圾分类和减量化、资源化、无害化。全面推进地质灾害治理，基本完成辖区绿色矿山建设及重大地质灾害隐患消除工作。推进清洁生产、资源综合利用、循环经济等工作，提高工业固体废物综合利用水平。加强农业面源污染防治，推进农药化肥减量化，对遗弃、过期、失效农药及农药废弃包装物回收和集中处置，完善回收和集中处置体系。</w:t>
      </w:r>
    </w:p>
    <w:p>
      <w:pPr>
        <w:pageBreakBefore w:val="0"/>
        <w:widowControl w:val="0"/>
        <w:kinsoku/>
        <w:wordWrap/>
        <w:overflowPunct/>
        <w:topLinePunct w:val="0"/>
        <w:autoSpaceDE/>
        <w:autoSpaceDN/>
        <w:bidi w:val="0"/>
        <w:adjustRightInd/>
        <w:snapToGrid/>
        <w:spacing w:line="600" w:lineRule="exact"/>
        <w:ind w:firstLine="0" w:firstLineChars="0"/>
        <w:textAlignment w:val="auto"/>
        <w:rPr>
          <w:rFonts w:ascii="仿宋_GB2312" w:hAnsi="仿宋_GB2312" w:eastAsia="仿宋_GB2312" w:cs="仿宋_GB2312"/>
          <w:color w:val="000000" w:themeColor="text1"/>
          <w:sz w:val="32"/>
          <w:szCs w:val="32"/>
        </w:rPr>
      </w:pPr>
    </w:p>
    <w:p>
      <w:pPr>
        <w:pStyle w:val="4"/>
        <w:pageBreakBefore w:val="0"/>
        <w:widowControl w:val="0"/>
        <w:kinsoku/>
        <w:wordWrap/>
        <w:overflowPunct/>
        <w:topLinePunct w:val="0"/>
        <w:autoSpaceDE/>
        <w:autoSpaceDN/>
        <w:bidi w:val="0"/>
        <w:adjustRightInd/>
        <w:snapToGrid/>
        <w:spacing w:line="600" w:lineRule="exact"/>
        <w:textAlignment w:val="auto"/>
        <w:rPr>
          <w:sz w:val="32"/>
          <w:szCs w:val="32"/>
        </w:rPr>
      </w:pPr>
      <w:bookmarkStart w:id="224" w:name="_Toc31472"/>
      <w:bookmarkStart w:id="225" w:name="_Toc14670"/>
      <w:bookmarkStart w:id="226" w:name="_Toc21269"/>
      <w:bookmarkStart w:id="227" w:name="_Toc14135"/>
      <w:bookmarkStart w:id="228" w:name="_Toc20046"/>
      <w:bookmarkStart w:id="229" w:name="_Toc4864"/>
      <w:bookmarkStart w:id="230" w:name="_Toc13535"/>
      <w:r>
        <w:rPr>
          <w:rFonts w:hint="eastAsia"/>
          <w:sz w:val="32"/>
          <w:szCs w:val="32"/>
        </w:rPr>
        <w:t xml:space="preserve">第三节  </w:t>
      </w:r>
      <w:bookmarkEnd w:id="224"/>
      <w:bookmarkEnd w:id="225"/>
      <w:bookmarkEnd w:id="226"/>
      <w:bookmarkEnd w:id="227"/>
      <w:bookmarkEnd w:id="228"/>
      <w:bookmarkEnd w:id="229"/>
      <w:bookmarkEnd w:id="230"/>
      <w:r>
        <w:rPr>
          <w:rFonts w:hint="eastAsia"/>
          <w:color w:val="auto"/>
          <w:sz w:val="32"/>
          <w:szCs w:val="32"/>
          <w:highlight w:val="none"/>
          <w:lang w:val="en-US" w:eastAsia="zh-CN"/>
        </w:rPr>
        <w:t>倡导绿色低碳生活</w:t>
      </w:r>
    </w:p>
    <w:p>
      <w:pPr>
        <w:pageBreakBefore w:val="0"/>
        <w:widowControl w:val="0"/>
        <w:kinsoku/>
        <w:wordWrap/>
        <w:overflowPunct/>
        <w:topLinePunct w:val="0"/>
        <w:autoSpaceDE/>
        <w:autoSpaceDN/>
        <w:bidi w:val="0"/>
        <w:adjustRightInd/>
        <w:snapToGrid/>
        <w:spacing w:line="600" w:lineRule="exact"/>
        <w:ind w:firstLine="640"/>
        <w:textAlignment w:val="auto"/>
        <w:rPr>
          <w:sz w:val="32"/>
          <w:szCs w:val="32"/>
        </w:rPr>
      </w:pPr>
    </w:p>
    <w:p>
      <w:pPr>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推动清洁生产、节能降碳、节约用水，促进资源循环利用，推动绿色低碳文明新生活，促进经济社会发展绿色转型。</w:t>
      </w:r>
    </w:p>
    <w:p>
      <w:pPr>
        <w:pageBreakBefore w:val="0"/>
        <w:widowControl w:val="0"/>
        <w:kinsoku/>
        <w:wordWrap/>
        <w:overflowPunct/>
        <w:topLinePunct w:val="0"/>
        <w:autoSpaceDE/>
        <w:autoSpaceDN/>
        <w:bidi w:val="0"/>
        <w:adjustRightInd/>
        <w:snapToGrid/>
        <w:spacing w:line="600" w:lineRule="exact"/>
        <w:ind w:firstLine="643"/>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推动绿色低碳循环发展。</w:t>
      </w:r>
      <w:r>
        <w:rPr>
          <w:rFonts w:hint="eastAsia" w:ascii="仿宋_GB2312" w:hAnsi="仿宋_GB2312" w:eastAsia="仿宋_GB2312" w:cs="仿宋_GB2312"/>
          <w:sz w:val="32"/>
          <w:szCs w:val="32"/>
        </w:rPr>
        <w:t>推进全社会节能降耗，落实能源消费强度与消费总量“双控”任务。做好碳达峰、碳中和工作。加强资源节约集约利用，推动能源结构优化调整，加快推广应用天然气。统筹推进汽车充电桩、小区充电桩等新能源基础设施建设。严控高能耗、高污染、高排放企业进入。依法淘汰落后产能，全面完成“散乱污”企业清理整治。推动企业开展清洁生产审核，推进产业园区开展循环化改造。鼓励企业创建绿色工厂，开发推广绿色产品，发展循环经济。开展国土绿化行动，提升生态系统碳汇能力。全面开展绿色建筑行动，提高新建绿色建筑比例，加快既有建筑节能改造。</w:t>
      </w:r>
    </w:p>
    <w:p>
      <w:pPr>
        <w:pageBreakBefore w:val="0"/>
        <w:widowControl w:val="0"/>
        <w:kinsoku/>
        <w:wordWrap/>
        <w:overflowPunct/>
        <w:topLinePunct w:val="0"/>
        <w:autoSpaceDE/>
        <w:autoSpaceDN/>
        <w:bidi w:val="0"/>
        <w:adjustRightInd/>
        <w:snapToGrid/>
        <w:spacing w:line="600" w:lineRule="exact"/>
        <w:ind w:firstLine="643"/>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推行绿色低碳生活方式。</w:t>
      </w:r>
      <w:r>
        <w:rPr>
          <w:rFonts w:hint="eastAsia" w:ascii="仿宋_GB2312" w:hAnsi="仿宋_GB2312" w:eastAsia="仿宋_GB2312" w:cs="仿宋_GB2312"/>
          <w:sz w:val="32"/>
          <w:szCs w:val="32"/>
        </w:rPr>
        <w:t>推动个人和家庭践行绿色低碳生活理念，倡导适度消费，引导消费者转变消费观念，节约能源资源，形成“资源有价、污染付费”的绿色消费预期。落实最严格水资源管理制度，强化节水标准定额体系与节水评价机制，积极推进再生水回用、高效节水灌溉项目，加强工业节水、农业节水和生活节水，建设节水型社会。开展节约型机关创建行动，倡导绿色环保生活方式。鼓励绿色出行，提高公共交通出行比例，推广新能源汽车，探索发展共乘交通。鼓励家庭闲置和废旧物品的循环利用，减少使用一次性用品，推动居民消费结构向低碳、节能、可再回收的方向发展。</w:t>
      </w:r>
      <w:r>
        <w:rPr>
          <w:rFonts w:hint="eastAsia" w:ascii="仿宋_GB2312" w:hAnsi="仿宋_GB2312" w:eastAsia="仿宋_GB2312" w:cs="仿宋_GB2312"/>
          <w:sz w:val="32"/>
          <w:szCs w:val="32"/>
          <w:lang w:eastAsia="zh-CN"/>
        </w:rPr>
        <w:t>管控禁止类塑料制品的生产、销售和减少限制类塑料制品的使用。</w:t>
      </w:r>
      <w:r>
        <w:rPr>
          <w:rFonts w:hint="eastAsia" w:ascii="仿宋_GB2312" w:hAnsi="仿宋_GB2312" w:eastAsia="仿宋_GB2312" w:cs="仿宋_GB2312"/>
          <w:sz w:val="32"/>
          <w:szCs w:val="32"/>
        </w:rPr>
        <w:t>反对过度包装，坚决制止餐饮浪费行为，大力倡导“光盘行动”。</w:t>
      </w:r>
    </w:p>
    <w:p>
      <w:pPr>
        <w:pageBreakBefore w:val="0"/>
        <w:widowControl w:val="0"/>
        <w:kinsoku/>
        <w:wordWrap/>
        <w:overflowPunct/>
        <w:topLinePunct w:val="0"/>
        <w:autoSpaceDE/>
        <w:autoSpaceDN/>
        <w:bidi w:val="0"/>
        <w:adjustRightInd/>
        <w:snapToGrid/>
        <w:spacing w:line="600" w:lineRule="exact"/>
        <w:ind w:firstLine="643"/>
        <w:textAlignment w:val="auto"/>
        <w:rPr>
          <w:sz w:val="32"/>
          <w:szCs w:val="32"/>
        </w:rPr>
      </w:pPr>
      <w:r>
        <w:rPr>
          <w:rFonts w:hint="eastAsia" w:ascii="仿宋_GB2312" w:hAnsi="仿宋_GB2312" w:eastAsia="仿宋_GB2312" w:cs="仿宋_GB2312"/>
          <w:b/>
          <w:bCs/>
          <w:sz w:val="32"/>
          <w:szCs w:val="32"/>
        </w:rPr>
        <w:t>有序推动生活垃圾分类。</w:t>
      </w:r>
      <w:r>
        <w:rPr>
          <w:rFonts w:hint="eastAsia" w:ascii="仿宋_GB2312" w:hAnsi="仿宋_GB2312" w:eastAsia="仿宋_GB2312" w:cs="仿宋_GB2312"/>
          <w:sz w:val="32"/>
          <w:szCs w:val="32"/>
        </w:rPr>
        <w:t>加快建立分类投放、分类收集、分类运输、分类处理的垃圾处理系统，形成以法治为基础、政府推动、全民参与、城乡统筹、因地制宜的垃圾分类制度。建立健全生活垃圾分类宣传发动体系，充分利用各种媒体平台，发挥网络、微博、微信公众号等新媒体作用，鼓励建设宣传科普基地,广泛开展舆论宣传引导，切实提高群众认识水平。到2025年，基本建成生活垃圾分类处理系统。</w:t>
      </w:r>
    </w:p>
    <w:p>
      <w:pPr>
        <w:pStyle w:val="3"/>
        <w:pageBreakBefore w:val="0"/>
        <w:widowControl w:val="0"/>
        <w:kinsoku/>
        <w:wordWrap/>
        <w:overflowPunct/>
        <w:topLinePunct w:val="0"/>
        <w:autoSpaceDE/>
        <w:autoSpaceDN/>
        <w:bidi w:val="0"/>
        <w:adjustRightInd/>
        <w:snapToGrid/>
        <w:spacing w:line="600" w:lineRule="exact"/>
        <w:jc w:val="center"/>
        <w:textAlignment w:val="auto"/>
        <w:rPr>
          <w:sz w:val="32"/>
          <w:szCs w:val="32"/>
        </w:rPr>
      </w:pPr>
      <w:bookmarkStart w:id="231" w:name="_Toc30247"/>
      <w:bookmarkStart w:id="232" w:name="_Toc20479"/>
      <w:bookmarkStart w:id="233" w:name="_Toc17892"/>
      <w:bookmarkStart w:id="234" w:name="_Toc8044"/>
      <w:bookmarkStart w:id="235" w:name="_Toc2435"/>
      <w:bookmarkStart w:id="236" w:name="_Toc10305"/>
      <w:bookmarkStart w:id="237" w:name="_Toc28542"/>
      <w:bookmarkStart w:id="238" w:name="_Toc22101"/>
      <w:r>
        <w:rPr>
          <w:rFonts w:hint="eastAsia"/>
          <w:sz w:val="32"/>
          <w:szCs w:val="32"/>
        </w:rPr>
        <w:t>第八章  深化改革扩大开放，激发市场潜力发展活力</w:t>
      </w:r>
      <w:bookmarkEnd w:id="231"/>
      <w:bookmarkEnd w:id="232"/>
      <w:bookmarkEnd w:id="233"/>
      <w:bookmarkEnd w:id="234"/>
      <w:bookmarkEnd w:id="235"/>
      <w:bookmarkEnd w:id="236"/>
      <w:bookmarkEnd w:id="237"/>
      <w:bookmarkEnd w:id="238"/>
    </w:p>
    <w:p>
      <w:pPr>
        <w:pageBreakBefore w:val="0"/>
        <w:widowControl w:val="0"/>
        <w:kinsoku/>
        <w:wordWrap/>
        <w:overflowPunct/>
        <w:topLinePunct w:val="0"/>
        <w:autoSpaceDE/>
        <w:autoSpaceDN/>
        <w:bidi w:val="0"/>
        <w:adjustRightInd/>
        <w:snapToGrid/>
        <w:spacing w:line="600" w:lineRule="exact"/>
        <w:ind w:firstLine="640"/>
        <w:textAlignment w:val="auto"/>
        <w:rPr>
          <w:sz w:val="32"/>
          <w:szCs w:val="32"/>
        </w:rPr>
      </w:pPr>
    </w:p>
    <w:p>
      <w:pPr>
        <w:pageBreakBefore w:val="0"/>
        <w:widowControl w:val="0"/>
        <w:kinsoku/>
        <w:wordWrap/>
        <w:overflowPunct/>
        <w:topLinePunct w:val="0"/>
        <w:autoSpaceDE/>
        <w:autoSpaceDN/>
        <w:bidi w:val="0"/>
        <w:adjustRightInd/>
        <w:snapToGrid/>
        <w:spacing w:line="600" w:lineRule="exact"/>
        <w:ind w:firstLine="640"/>
        <w:jc w:val="left"/>
        <w:textAlignment w:val="auto"/>
        <w:rPr>
          <w:sz w:val="32"/>
          <w:szCs w:val="32"/>
        </w:rPr>
      </w:pPr>
      <w:r>
        <w:rPr>
          <w:rFonts w:hint="eastAsia" w:ascii="仿宋_GB2312" w:hAnsi="仿宋_GB2312" w:eastAsia="仿宋_GB2312" w:cs="仿宋_GB2312"/>
          <w:sz w:val="32"/>
          <w:szCs w:val="32"/>
        </w:rPr>
        <w:t>坚持解放思想不动摇，持续推进改革开放，实行更大范围、更宽领域、更深层次的对外交流合作，全面对接融入“双区”建设，促进各类生产要素自由便利流动，不断激发市场新活力、发展新动能，助推武江开启“二次创业”新征程。</w:t>
      </w:r>
      <w:bookmarkStart w:id="239" w:name="_Toc29464"/>
      <w:bookmarkStart w:id="240" w:name="_Toc22521"/>
      <w:bookmarkStart w:id="241" w:name="_Toc18959"/>
      <w:bookmarkStart w:id="242" w:name="_Toc25356"/>
      <w:bookmarkStart w:id="243" w:name="_Toc22177"/>
      <w:bookmarkStart w:id="244" w:name="_Toc31123"/>
    </w:p>
    <w:p>
      <w:pPr>
        <w:pageBreakBefore w:val="0"/>
        <w:widowControl w:val="0"/>
        <w:kinsoku/>
        <w:wordWrap/>
        <w:overflowPunct/>
        <w:topLinePunct w:val="0"/>
        <w:autoSpaceDE/>
        <w:autoSpaceDN/>
        <w:bidi w:val="0"/>
        <w:adjustRightInd/>
        <w:snapToGrid/>
        <w:spacing w:line="600" w:lineRule="exact"/>
        <w:ind w:firstLine="640"/>
        <w:jc w:val="center"/>
        <w:textAlignment w:val="auto"/>
        <w:rPr>
          <w:sz w:val="32"/>
          <w:szCs w:val="32"/>
        </w:rPr>
      </w:pPr>
    </w:p>
    <w:p>
      <w:pPr>
        <w:pStyle w:val="4"/>
        <w:pageBreakBefore w:val="0"/>
        <w:widowControl w:val="0"/>
        <w:kinsoku/>
        <w:wordWrap/>
        <w:overflowPunct/>
        <w:topLinePunct w:val="0"/>
        <w:autoSpaceDE/>
        <w:autoSpaceDN/>
        <w:bidi w:val="0"/>
        <w:adjustRightInd/>
        <w:snapToGrid/>
        <w:spacing w:line="600" w:lineRule="exact"/>
        <w:textAlignment w:val="auto"/>
        <w:rPr>
          <w:sz w:val="32"/>
          <w:szCs w:val="32"/>
        </w:rPr>
      </w:pPr>
      <w:bookmarkStart w:id="245" w:name="_Toc27992"/>
      <w:bookmarkStart w:id="246" w:name="_Toc14596"/>
      <w:bookmarkStart w:id="247" w:name="_Toc11030"/>
      <w:bookmarkStart w:id="248" w:name="_Toc1235"/>
      <w:bookmarkStart w:id="249" w:name="_Toc10614"/>
      <w:bookmarkStart w:id="250" w:name="_Toc5829"/>
      <w:bookmarkStart w:id="251" w:name="_Toc7938"/>
      <w:r>
        <w:rPr>
          <w:rFonts w:hint="eastAsia"/>
          <w:sz w:val="32"/>
          <w:szCs w:val="32"/>
        </w:rPr>
        <w:t>第一节  深化要素市场化配置改革</w:t>
      </w:r>
      <w:bookmarkEnd w:id="245"/>
      <w:bookmarkEnd w:id="246"/>
      <w:bookmarkEnd w:id="247"/>
      <w:bookmarkEnd w:id="248"/>
      <w:bookmarkEnd w:id="249"/>
      <w:bookmarkEnd w:id="250"/>
      <w:bookmarkEnd w:id="251"/>
    </w:p>
    <w:p>
      <w:pPr>
        <w:pageBreakBefore w:val="0"/>
        <w:widowControl w:val="0"/>
        <w:kinsoku/>
        <w:wordWrap/>
        <w:overflowPunct/>
        <w:topLinePunct w:val="0"/>
        <w:autoSpaceDE/>
        <w:autoSpaceDN/>
        <w:bidi w:val="0"/>
        <w:adjustRightInd/>
        <w:snapToGrid/>
        <w:spacing w:line="600" w:lineRule="exact"/>
        <w:ind w:firstLine="0" w:firstLineChars="0"/>
        <w:textAlignment w:val="auto"/>
        <w:rPr>
          <w:rFonts w:ascii="Calibri" w:hAnsi="Calibri" w:eastAsia="楷体_GB2312" w:cs="Times New Roman"/>
          <w:sz w:val="32"/>
          <w:szCs w:val="32"/>
        </w:rPr>
      </w:pPr>
    </w:p>
    <w:p>
      <w:pPr>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i w:val="0"/>
          <w:iCs w:val="0"/>
          <w:sz w:val="32"/>
          <w:szCs w:val="32"/>
        </w:rPr>
      </w:pPr>
      <w:r>
        <w:rPr>
          <w:rFonts w:hint="eastAsia" w:ascii="仿宋_GB2312" w:hAnsi="仿宋_GB2312" w:eastAsia="仿宋_GB2312" w:cs="仿宋_GB2312"/>
          <w:i w:val="0"/>
          <w:iCs w:val="0"/>
          <w:sz w:val="32"/>
          <w:szCs w:val="32"/>
        </w:rPr>
        <w:t>破除阻碍要素自由流动的体制机制障碍，扩大要素市场化配置范围，健全要素市场体系，推进要素市场制度建设，实现要素价格市场决定、流动自主有序、配置高效公平。</w:t>
      </w:r>
    </w:p>
    <w:p>
      <w:pPr>
        <w:pageBreakBefore w:val="0"/>
        <w:widowControl w:val="0"/>
        <w:kinsoku/>
        <w:wordWrap/>
        <w:overflowPunct/>
        <w:topLinePunct w:val="0"/>
        <w:autoSpaceDE/>
        <w:autoSpaceDN/>
        <w:bidi w:val="0"/>
        <w:adjustRightInd/>
        <w:snapToGrid/>
        <w:spacing w:line="600" w:lineRule="exact"/>
        <w:ind w:firstLine="643"/>
        <w:textAlignment w:val="auto"/>
        <w:rPr>
          <w:rFonts w:hint="eastAsia" w:ascii="仿宋_GB2312" w:hAnsi="仿宋_GB2312" w:eastAsia="仿宋_GB2312" w:cs="仿宋_GB2312"/>
          <w:i w:val="0"/>
          <w:iCs w:val="0"/>
          <w:color w:val="000000" w:themeColor="text1"/>
          <w:kern w:val="32"/>
          <w:sz w:val="32"/>
          <w:szCs w:val="32"/>
        </w:rPr>
      </w:pPr>
      <w:r>
        <w:rPr>
          <w:rFonts w:hint="eastAsia" w:ascii="仿宋_GB2312" w:hAnsi="仿宋_GB2312" w:eastAsia="仿宋_GB2312" w:cs="仿宋_GB2312"/>
          <w:b/>
          <w:i w:val="0"/>
          <w:iCs w:val="0"/>
          <w:kern w:val="32"/>
          <w:sz w:val="32"/>
          <w:szCs w:val="32"/>
        </w:rPr>
        <w:t>探索推进资源资产价值化。</w:t>
      </w:r>
      <w:r>
        <w:rPr>
          <w:rFonts w:hint="eastAsia" w:ascii="仿宋_GB2312" w:hAnsi="仿宋_GB2312" w:eastAsia="仿宋_GB2312" w:cs="仿宋_GB2312"/>
          <w:i w:val="0"/>
          <w:iCs w:val="0"/>
          <w:color w:val="000000" w:themeColor="text1"/>
          <w:sz w:val="32"/>
          <w:szCs w:val="32"/>
          <w:shd w:val="clear" w:color="090000" w:fill="FFFFFF"/>
        </w:rPr>
        <w:t>依托武江自然资源优势，加快</w:t>
      </w:r>
      <w:r>
        <w:rPr>
          <w:rFonts w:hint="eastAsia" w:ascii="仿宋_GB2312" w:hAnsi="仿宋_GB2312" w:eastAsia="仿宋_GB2312" w:cs="仿宋_GB2312"/>
          <w:i w:val="0"/>
          <w:iCs w:val="0"/>
          <w:color w:val="000000" w:themeColor="text1"/>
          <w:sz w:val="32"/>
          <w:szCs w:val="32"/>
        </w:rPr>
        <w:t>山林资源、河流资源、空气资源、温泉资源等</w:t>
      </w:r>
      <w:r>
        <w:rPr>
          <w:rFonts w:hint="eastAsia" w:ascii="仿宋_GB2312" w:hAnsi="仿宋_GB2312" w:eastAsia="仿宋_GB2312" w:cs="仿宋_GB2312"/>
          <w:i w:val="0"/>
          <w:iCs w:val="0"/>
          <w:color w:val="000000" w:themeColor="text1"/>
          <w:sz w:val="32"/>
          <w:szCs w:val="32"/>
          <w:shd w:val="clear" w:color="090000" w:fill="FFFFFF"/>
        </w:rPr>
        <w:t>资源开发利用，做活林下经济产业、做精特色农业产业、做强生态旅游产业，</w:t>
      </w:r>
      <w:r>
        <w:rPr>
          <w:rFonts w:hint="eastAsia" w:ascii="仿宋_GB2312" w:hAnsi="仿宋_GB2312" w:eastAsia="仿宋_GB2312" w:cs="仿宋_GB2312"/>
          <w:i w:val="0"/>
          <w:iCs w:val="0"/>
          <w:color w:val="000000" w:themeColor="text1"/>
          <w:sz w:val="32"/>
          <w:szCs w:val="32"/>
        </w:rPr>
        <w:t>把生态优势转化为经济优势</w:t>
      </w:r>
      <w:r>
        <w:rPr>
          <w:rFonts w:hint="eastAsia" w:ascii="仿宋_GB2312" w:hAnsi="仿宋_GB2312" w:eastAsia="仿宋_GB2312" w:cs="仿宋_GB2312"/>
          <w:i w:val="0"/>
          <w:iCs w:val="0"/>
          <w:color w:val="000000" w:themeColor="text1"/>
          <w:sz w:val="32"/>
          <w:szCs w:val="32"/>
          <w:shd w:val="clear" w:color="090000" w:fill="FFFFFF"/>
        </w:rPr>
        <w:t>，</w:t>
      </w:r>
      <w:r>
        <w:rPr>
          <w:rFonts w:hint="eastAsia" w:ascii="仿宋_GB2312" w:hAnsi="仿宋_GB2312" w:eastAsia="仿宋_GB2312" w:cs="仿宋_GB2312"/>
          <w:i w:val="0"/>
          <w:iCs w:val="0"/>
          <w:color w:val="000000" w:themeColor="text1"/>
          <w:kern w:val="32"/>
          <w:sz w:val="32"/>
          <w:szCs w:val="32"/>
        </w:rPr>
        <w:t>推动“绿水青山”变成“金山银山”。推进土地、水、矿产、森林等全民所有自然资源资产有偿使用制度改革，适度扩大使用权的出让、转让、出租、担保、入股等权能，切实维护所有者和使用者权益，实现自然资源开发利用的生态、经济、社会效益相统一。整合利用好稀缺资源和不可再生资源，不断拓宽山水林田湖草等资源资产价值化实现路径。</w:t>
      </w:r>
    </w:p>
    <w:p>
      <w:pPr>
        <w:pageBreakBefore w:val="0"/>
        <w:widowControl w:val="0"/>
        <w:kinsoku/>
        <w:wordWrap/>
        <w:overflowPunct/>
        <w:topLinePunct w:val="0"/>
        <w:autoSpaceDE/>
        <w:autoSpaceDN/>
        <w:bidi w:val="0"/>
        <w:adjustRightInd/>
        <w:snapToGrid/>
        <w:spacing w:line="600" w:lineRule="exact"/>
        <w:ind w:firstLine="643"/>
        <w:textAlignment w:val="auto"/>
        <w:rPr>
          <w:rFonts w:ascii="仿宋" w:hAnsi="仿宋" w:cs="仿宋"/>
          <w:kern w:val="32"/>
          <w:sz w:val="32"/>
          <w:szCs w:val="32"/>
        </w:rPr>
      </w:pPr>
      <w:r>
        <w:rPr>
          <w:rFonts w:hint="eastAsia" w:ascii="仿宋_GB2312" w:hAnsi="仿宋_GB2312" w:eastAsia="仿宋_GB2312" w:cs="仿宋_GB2312"/>
          <w:b/>
          <w:i w:val="0"/>
          <w:iCs w:val="0"/>
          <w:kern w:val="32"/>
          <w:sz w:val="32"/>
          <w:szCs w:val="32"/>
        </w:rPr>
        <w:t>完善要素市场化配置体制机制。</w:t>
      </w:r>
      <w:r>
        <w:rPr>
          <w:rFonts w:hint="eastAsia" w:ascii="仿宋_GB2312" w:hAnsi="仿宋_GB2312" w:eastAsia="仿宋_GB2312" w:cs="仿宋_GB2312"/>
          <w:i w:val="0"/>
          <w:iCs w:val="0"/>
          <w:kern w:val="32"/>
          <w:sz w:val="32"/>
          <w:szCs w:val="32"/>
        </w:rPr>
        <w:t>推动工业用地“标准地”供应制度</w:t>
      </w:r>
      <w:r>
        <w:rPr>
          <w:rFonts w:hint="eastAsia" w:ascii="仿宋_GB2312" w:hAnsi="仿宋_GB2312" w:eastAsia="仿宋_GB2312" w:cs="仿宋_GB2312"/>
          <w:i w:val="0"/>
          <w:iCs w:val="0"/>
          <w:color w:val="auto"/>
          <w:kern w:val="32"/>
          <w:sz w:val="32"/>
          <w:szCs w:val="32"/>
        </w:rPr>
        <w:t>，</w:t>
      </w:r>
      <w:r>
        <w:rPr>
          <w:rFonts w:hint="eastAsia" w:ascii="仿宋_GB2312" w:hAnsi="仿宋_GB2312" w:eastAsia="仿宋_GB2312" w:cs="仿宋_GB2312"/>
          <w:color w:val="auto"/>
          <w:kern w:val="0"/>
        </w:rPr>
        <w:t>健全工业用地市场供应体系，盘活处置闲置用地和低效用地。</w:t>
      </w:r>
      <w:r>
        <w:rPr>
          <w:rFonts w:hint="eastAsia" w:ascii="仿宋_GB2312" w:hAnsi="仿宋_GB2312" w:eastAsia="仿宋_GB2312" w:cs="仿宋_GB2312"/>
          <w:i w:val="0"/>
          <w:iCs w:val="0"/>
          <w:kern w:val="32"/>
          <w:sz w:val="32"/>
          <w:szCs w:val="32"/>
        </w:rPr>
        <w:t>推行全域旅游、乡村振兴“点状供地”机制，以“三旧”改造推进低效用地再开发。</w:t>
      </w:r>
      <w:r>
        <w:rPr>
          <w:rFonts w:hint="eastAsia" w:ascii="仿宋_GB2312" w:hAnsi="仿宋_GB2312" w:eastAsia="仿宋_GB2312" w:cs="仿宋_GB2312"/>
          <w:i w:val="0"/>
          <w:iCs w:val="0"/>
          <w:color w:val="000000" w:themeColor="text1"/>
          <w:sz w:val="32"/>
          <w:szCs w:val="32"/>
          <w:shd w:val="clear" w:color="auto" w:fill="FFFFFF"/>
        </w:rPr>
        <w:t>规范政府投资行为，充分</w:t>
      </w:r>
      <w:r>
        <w:rPr>
          <w:rStyle w:val="23"/>
          <w:rFonts w:hint="eastAsia" w:ascii="仿宋_GB2312" w:hAnsi="仿宋_GB2312" w:eastAsia="仿宋_GB2312" w:cs="仿宋_GB2312"/>
          <w:i w:val="0"/>
          <w:iCs w:val="0"/>
          <w:color w:val="000000" w:themeColor="text1"/>
          <w:sz w:val="32"/>
          <w:szCs w:val="32"/>
          <w:shd w:val="clear" w:color="auto" w:fill="FFFFFF"/>
        </w:rPr>
        <w:t>发挥政府投资作用</w:t>
      </w:r>
      <w:r>
        <w:rPr>
          <w:rFonts w:hint="eastAsia" w:ascii="仿宋_GB2312" w:hAnsi="仿宋_GB2312" w:eastAsia="仿宋_GB2312" w:cs="仿宋_GB2312"/>
          <w:i w:val="0"/>
          <w:iCs w:val="0"/>
          <w:color w:val="000000" w:themeColor="text1"/>
          <w:sz w:val="32"/>
          <w:szCs w:val="32"/>
          <w:shd w:val="clear" w:color="auto" w:fill="FFFFFF"/>
        </w:rPr>
        <w:t>，提高政府投资效益，激发</w:t>
      </w:r>
      <w:r>
        <w:rPr>
          <w:rStyle w:val="23"/>
          <w:rFonts w:hint="eastAsia" w:ascii="仿宋_GB2312" w:hAnsi="仿宋_GB2312" w:eastAsia="仿宋_GB2312" w:cs="仿宋_GB2312"/>
          <w:i w:val="0"/>
          <w:iCs w:val="0"/>
          <w:color w:val="000000" w:themeColor="text1"/>
          <w:sz w:val="32"/>
          <w:szCs w:val="32"/>
          <w:shd w:val="clear" w:color="auto" w:fill="FFFFFF"/>
        </w:rPr>
        <w:t>社会投资</w:t>
      </w:r>
      <w:r>
        <w:rPr>
          <w:rFonts w:hint="eastAsia" w:ascii="仿宋_GB2312" w:hAnsi="仿宋_GB2312" w:eastAsia="仿宋_GB2312" w:cs="仿宋_GB2312"/>
          <w:i w:val="0"/>
          <w:iCs w:val="0"/>
          <w:color w:val="000000" w:themeColor="text1"/>
          <w:sz w:val="32"/>
          <w:szCs w:val="32"/>
          <w:shd w:val="clear" w:color="auto" w:fill="FFFFFF"/>
        </w:rPr>
        <w:t>活力</w:t>
      </w:r>
      <w:r>
        <w:rPr>
          <w:rFonts w:hint="eastAsia" w:ascii="仿宋_GB2312" w:hAnsi="仿宋_GB2312" w:eastAsia="仿宋_GB2312" w:cs="仿宋_GB2312"/>
          <w:i w:val="0"/>
          <w:iCs w:val="0"/>
          <w:kern w:val="32"/>
          <w:sz w:val="32"/>
          <w:szCs w:val="32"/>
        </w:rPr>
        <w:t>。加快发展技术要素市场，探索科技成果使用权、处置权和收益权改革</w:t>
      </w:r>
      <w:r>
        <w:rPr>
          <w:rFonts w:hint="eastAsia" w:ascii="仿宋_GB2312" w:hAnsi="仿宋_GB2312" w:eastAsia="仿宋_GB2312" w:cs="仿宋_GB2312"/>
          <w:i w:val="0"/>
          <w:iCs w:val="0"/>
          <w:color w:val="auto"/>
          <w:kern w:val="32"/>
          <w:sz w:val="32"/>
          <w:szCs w:val="32"/>
          <w:lang w:eastAsia="zh-CN"/>
        </w:rPr>
        <w:t>，</w:t>
      </w:r>
      <w:r>
        <w:rPr>
          <w:rFonts w:hint="eastAsia" w:ascii="仿宋_GB2312" w:hAnsi="仿宋_GB2312" w:eastAsia="仿宋_GB2312" w:cs="仿宋_GB2312"/>
          <w:color w:val="auto"/>
          <w:kern w:val="0"/>
        </w:rPr>
        <w:t>建立健全科技成果、知识产权归属和利益分享机制</w:t>
      </w:r>
      <w:r>
        <w:rPr>
          <w:rFonts w:hint="eastAsia" w:ascii="仿宋_GB2312" w:hAnsi="仿宋_GB2312" w:eastAsia="仿宋_GB2312" w:cs="仿宋_GB2312"/>
          <w:color w:val="auto"/>
          <w:kern w:val="0"/>
          <w:lang w:eastAsia="zh-CN"/>
        </w:rPr>
        <w:t>。</w:t>
      </w:r>
      <w:r>
        <w:rPr>
          <w:rFonts w:hint="eastAsia" w:ascii="仿宋_GB2312" w:hAnsi="仿宋_GB2312" w:eastAsia="仿宋_GB2312" w:cs="仿宋_GB2312"/>
          <w:i w:val="0"/>
          <w:iCs w:val="0"/>
          <w:kern w:val="32"/>
          <w:sz w:val="32"/>
          <w:szCs w:val="32"/>
        </w:rPr>
        <w:t>稳妥有序推进事业单位分类改革，</w:t>
      </w:r>
      <w:r>
        <w:rPr>
          <w:rFonts w:hint="eastAsia" w:ascii="仿宋_GB2312" w:hAnsi="仿宋_GB2312" w:eastAsia="仿宋_GB2312" w:cs="仿宋_GB2312"/>
          <w:i w:val="0"/>
          <w:iCs w:val="0"/>
          <w:color w:val="000000" w:themeColor="text1"/>
          <w:sz w:val="32"/>
          <w:szCs w:val="32"/>
          <w:shd w:val="clear" w:color="auto" w:fill="FFFFFF"/>
        </w:rPr>
        <w:t>厘清行政、事业机构</w:t>
      </w:r>
      <w:r>
        <w:rPr>
          <w:rStyle w:val="23"/>
          <w:rFonts w:hint="eastAsia" w:ascii="仿宋_GB2312" w:hAnsi="仿宋_GB2312" w:eastAsia="仿宋_GB2312" w:cs="仿宋_GB2312"/>
          <w:i w:val="0"/>
          <w:iCs w:val="0"/>
          <w:color w:val="000000" w:themeColor="text1"/>
          <w:sz w:val="32"/>
          <w:szCs w:val="32"/>
          <w:shd w:val="clear" w:color="auto" w:fill="FFFFFF"/>
        </w:rPr>
        <w:t>职责边界</w:t>
      </w:r>
      <w:r>
        <w:rPr>
          <w:rFonts w:hint="eastAsia" w:ascii="仿宋_GB2312" w:hAnsi="仿宋_GB2312" w:eastAsia="仿宋_GB2312" w:cs="仿宋_GB2312"/>
          <w:i w:val="0"/>
          <w:iCs w:val="0"/>
          <w:color w:val="000000" w:themeColor="text1"/>
          <w:kern w:val="32"/>
          <w:sz w:val="32"/>
          <w:szCs w:val="32"/>
        </w:rPr>
        <w:t>。建立美丽乡村建设市场配置机制，</w:t>
      </w:r>
      <w:r>
        <w:rPr>
          <w:rStyle w:val="23"/>
          <w:rFonts w:hint="eastAsia" w:ascii="仿宋_GB2312" w:hAnsi="仿宋_GB2312" w:eastAsia="仿宋_GB2312" w:cs="仿宋_GB2312"/>
          <w:i w:val="0"/>
          <w:iCs w:val="0"/>
          <w:color w:val="000000" w:themeColor="text1"/>
          <w:sz w:val="32"/>
          <w:szCs w:val="32"/>
          <w:shd w:val="clear" w:color="auto" w:fill="FFFFFF"/>
        </w:rPr>
        <w:t>健全</w:t>
      </w:r>
      <w:r>
        <w:rPr>
          <w:rFonts w:hint="eastAsia" w:ascii="仿宋_GB2312" w:hAnsi="仿宋_GB2312" w:eastAsia="仿宋_GB2312" w:cs="仿宋_GB2312"/>
          <w:i w:val="0"/>
          <w:iCs w:val="0"/>
          <w:color w:val="000000" w:themeColor="text1"/>
          <w:sz w:val="32"/>
          <w:szCs w:val="32"/>
          <w:shd w:val="clear" w:color="auto" w:fill="FFFFFF"/>
        </w:rPr>
        <w:t>有利于城乡要素合理</w:t>
      </w:r>
      <w:r>
        <w:rPr>
          <w:rStyle w:val="23"/>
          <w:rFonts w:hint="eastAsia" w:ascii="仿宋_GB2312" w:hAnsi="仿宋_GB2312" w:eastAsia="仿宋_GB2312" w:cs="仿宋_GB2312"/>
          <w:i w:val="0"/>
          <w:iCs w:val="0"/>
          <w:color w:val="000000" w:themeColor="text1"/>
          <w:sz w:val="32"/>
          <w:szCs w:val="32"/>
          <w:shd w:val="clear" w:color="auto" w:fill="FFFFFF"/>
        </w:rPr>
        <w:t>配置</w:t>
      </w:r>
      <w:r>
        <w:rPr>
          <w:rFonts w:hint="eastAsia" w:ascii="仿宋_GB2312" w:hAnsi="仿宋_GB2312" w:eastAsia="仿宋_GB2312" w:cs="仿宋_GB2312"/>
          <w:i w:val="0"/>
          <w:iCs w:val="0"/>
          <w:color w:val="000000" w:themeColor="text1"/>
          <w:sz w:val="32"/>
          <w:szCs w:val="32"/>
          <w:shd w:val="clear" w:color="auto" w:fill="FFFFFF"/>
        </w:rPr>
        <w:t>的体制</w:t>
      </w:r>
      <w:r>
        <w:rPr>
          <w:rStyle w:val="23"/>
          <w:rFonts w:hint="eastAsia" w:ascii="仿宋_GB2312" w:hAnsi="仿宋_GB2312" w:eastAsia="仿宋_GB2312" w:cs="仿宋_GB2312"/>
          <w:i w:val="0"/>
          <w:iCs w:val="0"/>
          <w:color w:val="000000" w:themeColor="text1"/>
          <w:sz w:val="32"/>
          <w:szCs w:val="32"/>
          <w:shd w:val="clear" w:color="auto" w:fill="FFFFFF"/>
        </w:rPr>
        <w:t>机制</w:t>
      </w:r>
      <w:r>
        <w:rPr>
          <w:rFonts w:hint="eastAsia" w:ascii="仿宋_GB2312" w:hAnsi="仿宋_GB2312" w:eastAsia="仿宋_GB2312" w:cs="仿宋_GB2312"/>
          <w:i w:val="0"/>
          <w:iCs w:val="0"/>
          <w:color w:val="000000" w:themeColor="text1"/>
          <w:sz w:val="32"/>
          <w:szCs w:val="32"/>
          <w:shd w:val="clear" w:color="auto" w:fill="FFFFFF"/>
        </w:rPr>
        <w:t>，破除城乡要素自由流动和平等交换的体制</w:t>
      </w:r>
      <w:r>
        <w:rPr>
          <w:rStyle w:val="23"/>
          <w:rFonts w:hint="eastAsia" w:ascii="仿宋_GB2312" w:hAnsi="仿宋_GB2312" w:eastAsia="仿宋_GB2312" w:cs="仿宋_GB2312"/>
          <w:i w:val="0"/>
          <w:iCs w:val="0"/>
          <w:color w:val="000000" w:themeColor="text1"/>
          <w:sz w:val="32"/>
          <w:szCs w:val="32"/>
          <w:shd w:val="clear" w:color="auto" w:fill="FFFFFF"/>
        </w:rPr>
        <w:t>机制</w:t>
      </w:r>
      <w:r>
        <w:rPr>
          <w:rFonts w:hint="eastAsia" w:ascii="仿宋_GB2312" w:hAnsi="仿宋_GB2312" w:eastAsia="仿宋_GB2312" w:cs="仿宋_GB2312"/>
          <w:i w:val="0"/>
          <w:iCs w:val="0"/>
          <w:color w:val="000000" w:themeColor="text1"/>
          <w:sz w:val="32"/>
          <w:szCs w:val="32"/>
          <w:shd w:val="clear" w:color="auto" w:fill="FFFFFF"/>
        </w:rPr>
        <w:t>壁垒</w:t>
      </w:r>
      <w:r>
        <w:rPr>
          <w:rFonts w:hint="eastAsia" w:ascii="仿宋_GB2312" w:hAnsi="仿宋_GB2312" w:eastAsia="仿宋_GB2312" w:cs="仿宋_GB2312"/>
          <w:i w:val="0"/>
          <w:iCs w:val="0"/>
          <w:kern w:val="32"/>
          <w:sz w:val="32"/>
          <w:szCs w:val="32"/>
        </w:rPr>
        <w:t>。</w:t>
      </w:r>
    </w:p>
    <w:p>
      <w:pPr>
        <w:pageBreakBefore w:val="0"/>
        <w:widowControl w:val="0"/>
        <w:kinsoku/>
        <w:wordWrap/>
        <w:overflowPunct/>
        <w:topLinePunct w:val="0"/>
        <w:autoSpaceDE/>
        <w:autoSpaceDN/>
        <w:bidi w:val="0"/>
        <w:adjustRightInd/>
        <w:snapToGrid/>
        <w:spacing w:line="600" w:lineRule="exact"/>
        <w:ind w:firstLine="640"/>
        <w:textAlignment w:val="auto"/>
        <w:rPr>
          <w:rFonts w:ascii="仿宋" w:hAnsi="仿宋" w:cs="仿宋"/>
          <w:kern w:val="32"/>
          <w:sz w:val="32"/>
          <w:szCs w:val="32"/>
        </w:rPr>
      </w:pPr>
    </w:p>
    <w:p>
      <w:pPr>
        <w:pStyle w:val="4"/>
        <w:pageBreakBefore w:val="0"/>
        <w:widowControl w:val="0"/>
        <w:kinsoku/>
        <w:wordWrap/>
        <w:overflowPunct/>
        <w:topLinePunct w:val="0"/>
        <w:autoSpaceDE/>
        <w:autoSpaceDN/>
        <w:bidi w:val="0"/>
        <w:adjustRightInd/>
        <w:snapToGrid/>
        <w:spacing w:line="600" w:lineRule="exact"/>
        <w:textAlignment w:val="auto"/>
        <w:rPr>
          <w:sz w:val="32"/>
          <w:szCs w:val="32"/>
        </w:rPr>
      </w:pPr>
      <w:bookmarkStart w:id="252" w:name="_Toc3444"/>
      <w:bookmarkStart w:id="253" w:name="_Toc25620"/>
      <w:bookmarkStart w:id="254" w:name="_Toc13677"/>
      <w:bookmarkStart w:id="255" w:name="_Toc26647"/>
      <w:bookmarkStart w:id="256" w:name="_Toc28665"/>
      <w:bookmarkStart w:id="257" w:name="_Toc25881"/>
      <w:bookmarkStart w:id="258" w:name="_Toc23270"/>
      <w:r>
        <w:rPr>
          <w:rFonts w:hint="eastAsia"/>
          <w:sz w:val="32"/>
          <w:szCs w:val="32"/>
        </w:rPr>
        <w:t>第二节  持续推动重点领域改革</w:t>
      </w:r>
      <w:bookmarkEnd w:id="252"/>
      <w:bookmarkEnd w:id="253"/>
      <w:bookmarkEnd w:id="254"/>
      <w:bookmarkEnd w:id="255"/>
      <w:bookmarkEnd w:id="256"/>
      <w:bookmarkEnd w:id="257"/>
      <w:bookmarkEnd w:id="258"/>
    </w:p>
    <w:p>
      <w:pPr>
        <w:pageBreakBefore w:val="0"/>
        <w:widowControl w:val="0"/>
        <w:kinsoku/>
        <w:wordWrap/>
        <w:overflowPunct/>
        <w:topLinePunct w:val="0"/>
        <w:autoSpaceDE/>
        <w:autoSpaceDN/>
        <w:bidi w:val="0"/>
        <w:adjustRightInd/>
        <w:snapToGrid/>
        <w:spacing w:line="600" w:lineRule="exact"/>
        <w:textAlignment w:val="auto"/>
        <w:rPr>
          <w:sz w:val="32"/>
          <w:szCs w:val="32"/>
        </w:rPr>
      </w:pPr>
    </w:p>
    <w:p>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全面推进财政制度和行政体制改革，深入推进“放管服”改革，优化营商环境，提升对外开放竞争力，建设服务型有为政府。</w:t>
      </w:r>
    </w:p>
    <w:p>
      <w:pPr>
        <w:pageBreakBefore w:val="0"/>
        <w:widowControl/>
        <w:kinsoku/>
        <w:wordWrap/>
        <w:overflowPunct/>
        <w:topLinePunct w:val="0"/>
        <w:autoSpaceDE/>
        <w:autoSpaceDN/>
        <w:bidi w:val="0"/>
        <w:adjustRightInd/>
        <w:snapToGrid/>
        <w:spacing w:line="240" w:lineRule="auto"/>
        <w:ind w:firstLine="643"/>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b/>
          <w:bCs/>
          <w:sz w:val="32"/>
          <w:szCs w:val="32"/>
        </w:rPr>
        <w:t>深化政务服务改革。</w:t>
      </w:r>
      <w:r>
        <w:rPr>
          <w:rFonts w:hint="eastAsia" w:ascii="仿宋_GB2312" w:hAnsi="仿宋_GB2312" w:eastAsia="仿宋_GB2312" w:cs="仿宋_GB2312"/>
          <w:snapToGrid/>
          <w:color w:val="000000"/>
          <w:sz w:val="32"/>
          <w:szCs w:val="22"/>
          <w:lang w:eastAsia="zh-CN"/>
        </w:rPr>
        <w:t>深入推进“放管服”改革，持续优化营商环境。依托“数字政府”政务服务一体化平台，持续推进办事要件和流程标准化，推进减材料减环节减时限，提高网上可办率和全程网办率。推进“四免”优化工作，推进更多政务服务事项在线办理和不见面审批。重点建设镇（街）、村（居）政务服务大厅，规范和完善基层政务服务大厅管理要求和服务标准，推进更多高频政务服务事项进驻镇（街）、村（居）服务大厅，实现就近办。推进政务服务事项指尖办、智能办、马上办、全市通办、跨城通办。推广工程建设项目审批、不动产登记、政策兑现、一件事、容缺受理等改革工作。全面推行政务服务“好差评”服务机制，形成评价、反馈、整改、监督全流程闭环，推动政务服务质量持续提升。提高商事登记便利度，降低市场主体创设的制度性成本，为实体经济营造便利宽松的营商环境。推进企业注销便利化改革，实现市场主体的快速退出机制。全面推行“双随机、一公开”监管，强化市场主体诚信体系建设，保障交易安全，促进市场健康发展。</w:t>
      </w:r>
    </w:p>
    <w:p>
      <w:pPr>
        <w:pageBreakBefore w:val="0"/>
        <w:widowControl w:val="0"/>
        <w:kinsoku/>
        <w:wordWrap/>
        <w:overflowPunct/>
        <w:topLinePunct w:val="0"/>
        <w:autoSpaceDE/>
        <w:autoSpaceDN/>
        <w:bidi w:val="0"/>
        <w:adjustRightInd/>
        <w:snapToGrid/>
        <w:spacing w:line="600" w:lineRule="exact"/>
        <w:ind w:firstLine="640" w:firstLineChars="0"/>
        <w:textAlignment w:val="auto"/>
        <w:rPr>
          <w:rFonts w:hint="eastAsia" w:ascii="仿宋_GB2312" w:hAnsi="仿宋_GB2312" w:eastAsia="仿宋_GB2312" w:cs="仿宋_GB2312"/>
          <w:bCs/>
          <w:color w:val="000000" w:themeColor="text1"/>
          <w:sz w:val="32"/>
          <w:szCs w:val="32"/>
        </w:rPr>
      </w:pPr>
      <w:r>
        <w:rPr>
          <w:rFonts w:hint="eastAsia" w:ascii="仿宋_GB2312" w:hAnsi="仿宋_GB2312" w:eastAsia="仿宋_GB2312" w:cs="仿宋_GB2312"/>
          <w:b/>
          <w:bCs/>
          <w:color w:val="000000" w:themeColor="text1"/>
          <w:sz w:val="32"/>
          <w:szCs w:val="32"/>
        </w:rPr>
        <w:t>深化行政体制改革。</w:t>
      </w:r>
      <w:r>
        <w:rPr>
          <w:rFonts w:hint="eastAsia" w:ascii="仿宋_GB2312" w:hAnsi="仿宋_GB2312" w:eastAsia="仿宋_GB2312" w:cs="仿宋_GB2312"/>
          <w:color w:val="000000" w:themeColor="text1"/>
          <w:sz w:val="32"/>
          <w:szCs w:val="32"/>
        </w:rPr>
        <w:t>加快政府职能转变，深化政府机构改革，加强依法行政和制度建设，着力转变职能、理顺关系、优化结构、提高效能。推进乡镇街道体制改革，合理下放管理职权，科学配置乡镇街道职能，理顺权责关系，优化机构设置，健全运行机制。坚持党的集中统一领导，健全乡镇街道党（工）委统一领导机制。完善运行保障体系，充实乡镇街道编制资源，创新基层选人制度，加强财政保障，强化数字政府技术支撑。深化行政审批制度改革，推动政务服务事项标准化，全面推进区级高频事项下沉镇、村办理。</w:t>
      </w:r>
    </w:p>
    <w:p>
      <w:pPr>
        <w:pageBreakBefore w:val="0"/>
        <w:widowControl w:val="0"/>
        <w:kinsoku/>
        <w:wordWrap/>
        <w:overflowPunct/>
        <w:topLinePunct w:val="0"/>
        <w:autoSpaceDE/>
        <w:autoSpaceDN/>
        <w:bidi w:val="0"/>
        <w:adjustRightInd/>
        <w:snapToGrid/>
        <w:spacing w:line="600" w:lineRule="exact"/>
        <w:ind w:firstLine="640" w:firstLineChars="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b/>
          <w:color w:val="000000" w:themeColor="text1"/>
          <w:sz w:val="32"/>
          <w:szCs w:val="32"/>
        </w:rPr>
        <w:t>深化财政制度改革。</w:t>
      </w:r>
      <w:r>
        <w:rPr>
          <w:rFonts w:hint="eastAsia" w:ascii="仿宋_GB2312" w:hAnsi="仿宋_GB2312" w:eastAsia="仿宋_GB2312" w:cs="仿宋_GB2312"/>
          <w:color w:val="000000" w:themeColor="text1"/>
          <w:sz w:val="32"/>
          <w:szCs w:val="32"/>
        </w:rPr>
        <w:t>推进预算编制执行监督管理改革。建立与现代预算管理制度相适应的精准有效的项目库管理体系。制定预算编制定额标准，实现基本支出标准化、项目支出标准化和资产配置标准化。推进“数字财政”建设，优化财政工作流程。全面实施预算绩效管理，加强一般公共预算绩效管理，拓展绩效管理范围，推进预算绩效管理规范化、整体化、公开化建设，构建“全方位、全过程、全覆盖”的预算绩效管理体系。深化政府采购制度改革，健全政府购买服务制度，规范政府购买服务管理，加快形成现代政府采购制度。深化金融体制改革，加强金融政策与财税政策协调配合，完善风险补偿机制。</w:t>
      </w:r>
    </w:p>
    <w:bookmarkEnd w:id="239"/>
    <w:bookmarkEnd w:id="240"/>
    <w:bookmarkEnd w:id="241"/>
    <w:bookmarkEnd w:id="242"/>
    <w:bookmarkEnd w:id="243"/>
    <w:p>
      <w:pPr>
        <w:pageBreakBefore w:val="0"/>
        <w:widowControl w:val="0"/>
        <w:kinsoku/>
        <w:wordWrap/>
        <w:overflowPunct/>
        <w:topLinePunct w:val="0"/>
        <w:autoSpaceDE/>
        <w:autoSpaceDN/>
        <w:bidi w:val="0"/>
        <w:adjustRightInd/>
        <w:snapToGrid/>
        <w:spacing w:line="600" w:lineRule="exact"/>
        <w:ind w:firstLine="640"/>
        <w:textAlignment w:val="auto"/>
        <w:rPr>
          <w:rFonts w:ascii="仿宋" w:hAnsi="仿宋" w:cs="仿宋"/>
          <w:color w:val="000000" w:themeColor="text1"/>
          <w:sz w:val="32"/>
          <w:szCs w:val="32"/>
        </w:rPr>
      </w:pPr>
    </w:p>
    <w:p>
      <w:pPr>
        <w:pStyle w:val="4"/>
        <w:pageBreakBefore w:val="0"/>
        <w:widowControl w:val="0"/>
        <w:kinsoku/>
        <w:wordWrap/>
        <w:overflowPunct/>
        <w:topLinePunct w:val="0"/>
        <w:autoSpaceDE/>
        <w:autoSpaceDN/>
        <w:bidi w:val="0"/>
        <w:adjustRightInd/>
        <w:snapToGrid/>
        <w:spacing w:line="600" w:lineRule="exact"/>
        <w:textAlignment w:val="auto"/>
        <w:rPr>
          <w:sz w:val="32"/>
          <w:szCs w:val="32"/>
        </w:rPr>
      </w:pPr>
      <w:bookmarkStart w:id="259" w:name="_Toc3657"/>
      <w:bookmarkStart w:id="260" w:name="_Toc21319"/>
      <w:bookmarkStart w:id="261" w:name="_Toc24390"/>
      <w:bookmarkStart w:id="262" w:name="_Toc18539"/>
      <w:bookmarkStart w:id="263" w:name="_Toc8088"/>
      <w:bookmarkStart w:id="264" w:name="_Toc4860"/>
      <w:bookmarkStart w:id="265" w:name="_Toc14380"/>
      <w:r>
        <w:rPr>
          <w:rFonts w:hint="eastAsia"/>
          <w:sz w:val="32"/>
          <w:szCs w:val="32"/>
        </w:rPr>
        <w:t>第三节  激发市场主体活力</w:t>
      </w:r>
      <w:bookmarkEnd w:id="259"/>
      <w:bookmarkEnd w:id="260"/>
      <w:bookmarkEnd w:id="261"/>
      <w:bookmarkEnd w:id="262"/>
      <w:bookmarkEnd w:id="263"/>
      <w:bookmarkEnd w:id="264"/>
      <w:bookmarkEnd w:id="265"/>
    </w:p>
    <w:p>
      <w:pPr>
        <w:pageBreakBefore w:val="0"/>
        <w:widowControl w:val="0"/>
        <w:kinsoku/>
        <w:wordWrap/>
        <w:overflowPunct/>
        <w:topLinePunct w:val="0"/>
        <w:autoSpaceDE/>
        <w:autoSpaceDN/>
        <w:bidi w:val="0"/>
        <w:adjustRightInd/>
        <w:snapToGrid/>
        <w:spacing w:line="600" w:lineRule="exact"/>
        <w:ind w:firstLine="640"/>
        <w:jc w:val="center"/>
        <w:textAlignment w:val="auto"/>
        <w:rPr>
          <w:rFonts w:ascii="仿宋" w:hAnsi="仿宋"/>
          <w:sz w:val="32"/>
          <w:szCs w:val="32"/>
        </w:rPr>
      </w:pPr>
    </w:p>
    <w:p>
      <w:pPr>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毫不动摇巩固和发展公有经济，毫不动摇鼓励、支持、引导非公有制经济发展，探索公有制多种实现形式，支持民营企业改革发展，培育更多充满活力的市场主体。</w:t>
      </w:r>
    </w:p>
    <w:p>
      <w:pPr>
        <w:pageBreakBefore w:val="0"/>
        <w:widowControl w:val="0"/>
        <w:kinsoku/>
        <w:wordWrap/>
        <w:overflowPunct/>
        <w:topLinePunct w:val="0"/>
        <w:autoSpaceDE/>
        <w:autoSpaceDN/>
        <w:bidi w:val="0"/>
        <w:adjustRightInd/>
        <w:snapToGrid/>
        <w:spacing w:line="600" w:lineRule="exact"/>
        <w:ind w:firstLine="643"/>
        <w:jc w:val="left"/>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bCs/>
          <w:color w:val="000000" w:themeColor="text1"/>
          <w:sz w:val="32"/>
          <w:szCs w:val="32"/>
        </w:rPr>
        <w:t>深化国资国企改革。</w:t>
      </w:r>
      <w:r>
        <w:rPr>
          <w:rFonts w:hint="eastAsia" w:ascii="仿宋_GB2312" w:hAnsi="仿宋_GB2312" w:eastAsia="仿宋_GB2312" w:cs="仿宋_GB2312"/>
          <w:sz w:val="32"/>
          <w:szCs w:val="32"/>
        </w:rPr>
        <w:t>围绕经济社会发展战略，推动国有企业着力在重大民生工程、重点项目、重要平台和关键行业优化国有资源配置，切实提升国有企业在引领带动城市建设、公用事业、文化旅游和社会发展等方面的功能和作用。</w:t>
      </w:r>
      <w:r>
        <w:rPr>
          <w:rFonts w:hint="eastAsia" w:ascii="仿宋_GB2312" w:hAnsi="仿宋_GB2312" w:eastAsia="仿宋_GB2312" w:cs="仿宋_GB2312"/>
          <w:b w:val="0"/>
          <w:sz w:val="32"/>
          <w:szCs w:val="32"/>
        </w:rPr>
        <w:t>按照完善治理、强化激励、突出主业、提高效力的要求，扎实推进国有企业改革，转变企业经济机制，增强企业活力。</w:t>
      </w:r>
      <w:r>
        <w:rPr>
          <w:rFonts w:hint="eastAsia" w:ascii="仿宋_GB2312" w:hAnsi="仿宋_GB2312" w:eastAsia="仿宋_GB2312" w:cs="仿宋_GB2312"/>
          <w:b w:val="0"/>
          <w:color w:val="000000" w:themeColor="text1"/>
          <w:sz w:val="32"/>
          <w:szCs w:val="32"/>
        </w:rPr>
        <w:t>健全以管资本为主的国有资产监管机制，盘活国有资产资源，促进国有资产保值增值。</w:t>
      </w:r>
    </w:p>
    <w:p>
      <w:pPr>
        <w:pageBreakBefore w:val="0"/>
        <w:widowControl w:val="0"/>
        <w:kinsoku/>
        <w:wordWrap/>
        <w:overflowPunct/>
        <w:topLinePunct w:val="0"/>
        <w:autoSpaceDE/>
        <w:autoSpaceDN/>
        <w:bidi w:val="0"/>
        <w:adjustRightInd/>
        <w:snapToGrid/>
        <w:spacing w:line="600" w:lineRule="exact"/>
        <w:ind w:firstLine="643"/>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激发民营经济活力。</w:t>
      </w:r>
      <w:r>
        <w:rPr>
          <w:rFonts w:hint="eastAsia" w:ascii="仿宋_GB2312" w:hAnsi="仿宋_GB2312" w:eastAsia="仿宋_GB2312" w:cs="仿宋_GB2312"/>
          <w:sz w:val="32"/>
          <w:szCs w:val="32"/>
        </w:rPr>
        <w:t>对民营和国有经济一视同仁，对大中小企业平等对待。全面落实减税降费政策，进一步降低小微企业经营成本，确保各项政策惠及实际经营者。完善促进民营经济发展政策，保障民营企业依法平等使用资源要素、公开公平公正参与竞争、同等受到法律保护，优化民营经济发展环境。支持民营企业科技创新，鼓励民营企业转型升级优化重组。支持中小微企业和个体工商户发展，全面落实纾困惠企政策。落实扶持中小企业发展的税收优惠政策，按有关税收政策规定，对符合条件的小型微利企业给予税收优惠。着力构建亲清新型政商关系，激发和保护企业家精神，促进非公有制经济健康发展。</w:t>
      </w:r>
    </w:p>
    <w:p>
      <w:pPr>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eastAsia" w:ascii="仿宋_GB2312" w:hAnsi="仿宋_GB2312" w:eastAsia="仿宋_GB2312" w:cs="仿宋_GB2312"/>
          <w:sz w:val="32"/>
          <w:szCs w:val="32"/>
        </w:rPr>
      </w:pPr>
    </w:p>
    <w:p>
      <w:pPr>
        <w:pStyle w:val="4"/>
        <w:pageBreakBefore w:val="0"/>
        <w:widowControl w:val="0"/>
        <w:kinsoku/>
        <w:wordWrap/>
        <w:overflowPunct/>
        <w:topLinePunct w:val="0"/>
        <w:autoSpaceDE/>
        <w:autoSpaceDN/>
        <w:bidi w:val="0"/>
        <w:adjustRightInd/>
        <w:snapToGrid/>
        <w:spacing w:line="600" w:lineRule="exact"/>
        <w:textAlignment w:val="auto"/>
        <w:rPr>
          <w:sz w:val="32"/>
          <w:szCs w:val="32"/>
        </w:rPr>
      </w:pPr>
      <w:bookmarkStart w:id="266" w:name="_Toc24893"/>
      <w:bookmarkStart w:id="267" w:name="_Toc25514"/>
      <w:bookmarkStart w:id="268" w:name="_Toc6884"/>
      <w:bookmarkStart w:id="269" w:name="_Toc23658"/>
      <w:bookmarkStart w:id="270" w:name="_Toc8954"/>
      <w:bookmarkStart w:id="271" w:name="_Toc4964"/>
      <w:bookmarkStart w:id="272" w:name="_Toc31551"/>
      <w:r>
        <w:rPr>
          <w:rFonts w:hint="eastAsia"/>
          <w:sz w:val="32"/>
          <w:szCs w:val="32"/>
        </w:rPr>
        <w:t>第四节  扩大对外开放合作</w:t>
      </w:r>
      <w:bookmarkEnd w:id="266"/>
      <w:bookmarkEnd w:id="267"/>
      <w:bookmarkEnd w:id="268"/>
      <w:bookmarkEnd w:id="269"/>
      <w:bookmarkEnd w:id="270"/>
      <w:bookmarkEnd w:id="271"/>
      <w:bookmarkEnd w:id="272"/>
    </w:p>
    <w:p>
      <w:pPr>
        <w:pageBreakBefore w:val="0"/>
        <w:widowControl w:val="0"/>
        <w:kinsoku/>
        <w:wordWrap/>
        <w:overflowPunct/>
        <w:topLinePunct w:val="0"/>
        <w:autoSpaceDE/>
        <w:autoSpaceDN/>
        <w:bidi w:val="0"/>
        <w:adjustRightInd/>
        <w:snapToGrid/>
        <w:spacing w:line="600" w:lineRule="exact"/>
        <w:textAlignment w:val="auto"/>
        <w:rPr>
          <w:sz w:val="32"/>
          <w:szCs w:val="32"/>
        </w:rPr>
      </w:pPr>
    </w:p>
    <w:p>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主动融入粤港澳大湾区和深圳中国特色社会主义先行示范区建设，主动对接“红三角”，坚持“请进来”与“走出去”相结合，不断提高对外开放合作水平。</w:t>
      </w:r>
    </w:p>
    <w:p>
      <w:pPr>
        <w:pageBreakBefore w:val="0"/>
        <w:widowControl w:val="0"/>
        <w:kinsoku/>
        <w:wordWrap/>
        <w:overflowPunct/>
        <w:topLinePunct w:val="0"/>
        <w:autoSpaceDE/>
        <w:autoSpaceDN/>
        <w:bidi w:val="0"/>
        <w:adjustRightInd/>
        <w:snapToGrid/>
        <w:spacing w:line="600" w:lineRule="exact"/>
        <w:ind w:firstLine="640" w:firstLineChars="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b/>
          <w:color w:val="000000" w:themeColor="text1"/>
          <w:sz w:val="32"/>
          <w:szCs w:val="32"/>
        </w:rPr>
        <w:t>以“三化两度”融入“双区”建设。</w:t>
      </w:r>
      <w:r>
        <w:rPr>
          <w:rFonts w:hint="eastAsia" w:ascii="仿宋_GB2312" w:hAnsi="仿宋_GB2312" w:eastAsia="仿宋_GB2312" w:cs="仿宋_GB2312"/>
          <w:color w:val="000000" w:themeColor="text1"/>
          <w:sz w:val="32"/>
          <w:szCs w:val="32"/>
        </w:rPr>
        <w:t>通过推动城市智能化、生活便利化、公共服务优质化和提升办事速度、服务温度，加快形成我区对接融入“双区”的竞争新优势。聚焦公安、应急、城管、交通等领域，加快城市基础设施智能化改造和感知体系工程建设，实现数字技术与城市运行的深度融合</w:t>
      </w:r>
      <w:r>
        <w:rPr>
          <w:rFonts w:hint="eastAsia" w:ascii="仿宋_GB2312" w:hAnsi="仿宋_GB2312" w:eastAsia="仿宋_GB2312" w:cs="仿宋_GB2312"/>
          <w:color w:val="000000" w:themeColor="text1"/>
          <w:sz w:val="32"/>
          <w:szCs w:val="32"/>
          <w:shd w:val="clear" w:color="auto" w:fill="FFFFFF"/>
        </w:rPr>
        <w:t>。</w:t>
      </w:r>
      <w:r>
        <w:rPr>
          <w:rFonts w:hint="eastAsia" w:ascii="仿宋_GB2312" w:hAnsi="仿宋_GB2312" w:eastAsia="仿宋_GB2312" w:cs="仿宋_GB2312"/>
          <w:color w:val="000000" w:themeColor="text1"/>
          <w:sz w:val="32"/>
          <w:szCs w:val="32"/>
        </w:rPr>
        <w:t>完善城区配套服务功能，提升居民</w:t>
      </w:r>
      <w:r>
        <w:rPr>
          <w:rFonts w:hint="eastAsia" w:ascii="仿宋_GB2312" w:hAnsi="仿宋_GB2312" w:eastAsia="仿宋_GB2312" w:cs="仿宋_GB2312"/>
          <w:bCs/>
          <w:color w:val="000000" w:themeColor="text1"/>
          <w:sz w:val="32"/>
          <w:szCs w:val="32"/>
        </w:rPr>
        <w:t>生活</w:t>
      </w:r>
      <w:r>
        <w:rPr>
          <w:rFonts w:hint="eastAsia" w:ascii="仿宋_GB2312" w:hAnsi="仿宋_GB2312" w:eastAsia="仿宋_GB2312" w:cs="仿宋_GB2312"/>
          <w:color w:val="000000" w:themeColor="text1"/>
          <w:sz w:val="32"/>
          <w:szCs w:val="32"/>
        </w:rPr>
        <w:t>服务</w:t>
      </w:r>
      <w:r>
        <w:rPr>
          <w:rFonts w:hint="eastAsia" w:ascii="仿宋_GB2312" w:hAnsi="仿宋_GB2312" w:eastAsia="仿宋_GB2312" w:cs="仿宋_GB2312"/>
          <w:bCs/>
          <w:color w:val="000000" w:themeColor="text1"/>
          <w:sz w:val="32"/>
          <w:szCs w:val="32"/>
        </w:rPr>
        <w:t>便利化</w:t>
      </w:r>
      <w:r>
        <w:rPr>
          <w:rFonts w:hint="eastAsia" w:ascii="仿宋_GB2312" w:hAnsi="仿宋_GB2312" w:eastAsia="仿宋_GB2312" w:cs="仿宋_GB2312"/>
          <w:color w:val="000000" w:themeColor="text1"/>
          <w:sz w:val="32"/>
          <w:szCs w:val="32"/>
        </w:rPr>
        <w:t>水平，建立便民生活服务圈，发挥武江优质教育、医疗等资源优势，提升我区吸引“双区”人才的竞争力。主动对照“双区”先进标准、先行经验，加大自我革命和机制创新力度，持续</w:t>
      </w:r>
      <w:r>
        <w:rPr>
          <w:rFonts w:hint="eastAsia" w:ascii="仿宋_GB2312" w:hAnsi="仿宋_GB2312" w:eastAsia="仿宋_GB2312" w:cs="仿宋_GB2312"/>
          <w:bCs/>
          <w:color w:val="000000" w:themeColor="text1"/>
          <w:sz w:val="32"/>
          <w:szCs w:val="32"/>
        </w:rPr>
        <w:t>提升</w:t>
      </w:r>
      <w:r>
        <w:rPr>
          <w:rFonts w:hint="eastAsia" w:ascii="仿宋_GB2312" w:hAnsi="仿宋_GB2312" w:eastAsia="仿宋_GB2312" w:cs="仿宋_GB2312"/>
          <w:color w:val="000000" w:themeColor="text1"/>
          <w:sz w:val="32"/>
          <w:szCs w:val="32"/>
        </w:rPr>
        <w:t>政务</w:t>
      </w:r>
      <w:r>
        <w:rPr>
          <w:rFonts w:hint="eastAsia" w:ascii="仿宋_GB2312" w:hAnsi="仿宋_GB2312" w:eastAsia="仿宋_GB2312" w:cs="仿宋_GB2312"/>
          <w:bCs/>
          <w:color w:val="000000" w:themeColor="text1"/>
          <w:sz w:val="32"/>
          <w:szCs w:val="32"/>
        </w:rPr>
        <w:t>服务</w:t>
      </w:r>
      <w:r>
        <w:rPr>
          <w:rFonts w:hint="eastAsia" w:ascii="仿宋_GB2312" w:hAnsi="仿宋_GB2312" w:eastAsia="仿宋_GB2312" w:cs="仿宋_GB2312"/>
          <w:color w:val="000000" w:themeColor="text1"/>
          <w:sz w:val="32"/>
          <w:szCs w:val="32"/>
        </w:rPr>
        <w:t>水平。</w:t>
      </w:r>
      <w:r>
        <w:rPr>
          <w:rFonts w:hint="eastAsia" w:ascii="仿宋_GB2312" w:hAnsi="仿宋_GB2312" w:eastAsia="仿宋_GB2312" w:cs="仿宋_GB2312"/>
          <w:color w:val="000000" w:themeColor="text1"/>
          <w:sz w:val="32"/>
          <w:szCs w:val="32"/>
          <w:shd w:val="clear" w:color="auto" w:fill="FFFFFF"/>
        </w:rPr>
        <w:t>转变服务理念，紧扣企业所需所盼提供精准服务，</w:t>
      </w:r>
      <w:r>
        <w:rPr>
          <w:rFonts w:hint="eastAsia" w:ascii="仿宋_GB2312" w:hAnsi="仿宋_GB2312" w:eastAsia="仿宋_GB2312" w:cs="仿宋_GB2312"/>
          <w:color w:val="000000" w:themeColor="text1"/>
          <w:sz w:val="32"/>
          <w:szCs w:val="32"/>
        </w:rPr>
        <w:t>致力于打造有</w:t>
      </w:r>
      <w:r>
        <w:rPr>
          <w:rFonts w:hint="eastAsia" w:ascii="仿宋_GB2312" w:hAnsi="仿宋_GB2312" w:eastAsia="仿宋_GB2312" w:cs="仿宋_GB2312"/>
          <w:bCs/>
          <w:color w:val="000000" w:themeColor="text1"/>
          <w:sz w:val="32"/>
          <w:szCs w:val="32"/>
        </w:rPr>
        <w:t>温度</w:t>
      </w:r>
      <w:r>
        <w:rPr>
          <w:rFonts w:hint="eastAsia" w:ascii="仿宋_GB2312" w:hAnsi="仿宋_GB2312" w:eastAsia="仿宋_GB2312" w:cs="仿宋_GB2312"/>
          <w:color w:val="000000" w:themeColor="text1"/>
          <w:sz w:val="32"/>
          <w:szCs w:val="32"/>
        </w:rPr>
        <w:t>的政务</w:t>
      </w:r>
      <w:r>
        <w:rPr>
          <w:rFonts w:hint="eastAsia" w:ascii="仿宋_GB2312" w:hAnsi="仿宋_GB2312" w:eastAsia="仿宋_GB2312" w:cs="仿宋_GB2312"/>
          <w:bCs/>
          <w:color w:val="000000" w:themeColor="text1"/>
          <w:sz w:val="32"/>
          <w:szCs w:val="32"/>
        </w:rPr>
        <w:t>服务</w:t>
      </w:r>
      <w:r>
        <w:rPr>
          <w:rFonts w:hint="eastAsia" w:ascii="仿宋_GB2312" w:hAnsi="仿宋_GB2312" w:eastAsia="仿宋_GB2312" w:cs="仿宋_GB2312"/>
          <w:color w:val="000000" w:themeColor="text1"/>
          <w:sz w:val="32"/>
          <w:szCs w:val="32"/>
        </w:rPr>
        <w:t>品牌，提高“助商”“暖商”水平，用“</w:t>
      </w:r>
      <w:r>
        <w:rPr>
          <w:rFonts w:hint="eastAsia" w:ascii="仿宋_GB2312" w:hAnsi="仿宋_GB2312" w:eastAsia="仿宋_GB2312" w:cs="仿宋_GB2312"/>
          <w:bCs/>
          <w:color w:val="000000" w:themeColor="text1"/>
          <w:sz w:val="32"/>
          <w:szCs w:val="32"/>
        </w:rPr>
        <w:t>速度</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bCs/>
          <w:color w:val="000000" w:themeColor="text1"/>
          <w:sz w:val="32"/>
          <w:szCs w:val="32"/>
        </w:rPr>
        <w:t>温度</w:t>
      </w:r>
      <w:r>
        <w:rPr>
          <w:rFonts w:hint="eastAsia" w:ascii="仿宋_GB2312" w:hAnsi="仿宋_GB2312" w:eastAsia="仿宋_GB2312" w:cs="仿宋_GB2312"/>
          <w:color w:val="000000" w:themeColor="text1"/>
          <w:sz w:val="32"/>
          <w:szCs w:val="32"/>
        </w:rPr>
        <w:t>”赢得更多优质“双区”企业落户武江。</w:t>
      </w:r>
    </w:p>
    <w:p>
      <w:pPr>
        <w:pageBreakBefore w:val="0"/>
        <w:widowControl w:val="0"/>
        <w:kinsoku/>
        <w:wordWrap/>
        <w:overflowPunct/>
        <w:topLinePunct w:val="0"/>
        <w:autoSpaceDE/>
        <w:autoSpaceDN/>
        <w:bidi w:val="0"/>
        <w:adjustRightInd/>
        <w:snapToGrid/>
        <w:spacing w:line="600" w:lineRule="exact"/>
        <w:ind w:firstLine="643"/>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b/>
          <w:color w:val="000000" w:themeColor="text1"/>
          <w:sz w:val="32"/>
          <w:szCs w:val="32"/>
        </w:rPr>
        <w:t>加强对外开放合作。</w:t>
      </w:r>
      <w:r>
        <w:rPr>
          <w:rFonts w:hint="eastAsia" w:ascii="仿宋_GB2312" w:hAnsi="仿宋_GB2312" w:eastAsia="仿宋_GB2312" w:cs="仿宋_GB2312"/>
          <w:color w:val="000000" w:themeColor="text1"/>
          <w:sz w:val="32"/>
          <w:szCs w:val="32"/>
        </w:rPr>
        <w:t>积极承接大湾区产业、创新、人才等辐射外溢，加快推进基础设施“硬联通”和体制机制“软联通”；推动新型基础设施建设，加快实现“云联通”，推动产业协作互补，打造绿色食品供应地和生态旅游目的地。充分发挥中心城区交通区位优势，扩大与湖南郴州、江西赣州等“红三角”城市的合作交流</w:t>
      </w:r>
      <w:r>
        <w:rPr>
          <w:rFonts w:hint="eastAsia" w:ascii="仿宋_GB2312" w:hAnsi="仿宋_GB2312" w:eastAsia="仿宋_GB2312" w:cs="仿宋_GB2312"/>
          <w:color w:val="000000"/>
          <w:kern w:val="32"/>
          <w:sz w:val="32"/>
          <w:szCs w:val="32"/>
        </w:rPr>
        <w:t>。</w:t>
      </w:r>
      <w:r>
        <w:rPr>
          <w:rFonts w:hint="eastAsia" w:ascii="仿宋_GB2312" w:hAnsi="仿宋_GB2312" w:eastAsia="仿宋_GB2312" w:cs="仿宋_GB2312"/>
          <w:color w:val="000000" w:themeColor="text1"/>
          <w:sz w:val="32"/>
          <w:szCs w:val="32"/>
        </w:rPr>
        <w:t>加强周边区域经济互动，大力引进先进智能装备制造、生物医药、新一代信息技术、新材料等战略性新兴产业。积极探索区域协同创新、共建产业园、产业合作示范区等创新发展新模式。引进高端创新资源在我区建设研究院或新型研发机构，探索“湾区研发+武江孵化”新模式。积极引导和扶持企业与大湾区的高校、科研院所合作开展关键技术攻关和创新成果交流，推动科技成果加快转化。</w:t>
      </w:r>
    </w:p>
    <w:p>
      <w:pPr>
        <w:pStyle w:val="3"/>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spacing w:val="-14"/>
          <w:sz w:val="32"/>
          <w:szCs w:val="32"/>
        </w:rPr>
      </w:pPr>
      <w:bookmarkStart w:id="273" w:name="_Toc5770"/>
      <w:bookmarkStart w:id="274" w:name="_Toc21680"/>
      <w:bookmarkStart w:id="275" w:name="_Toc25447"/>
      <w:bookmarkStart w:id="276" w:name="_Toc4221"/>
      <w:bookmarkStart w:id="277" w:name="_Toc16987"/>
      <w:bookmarkStart w:id="278" w:name="_Toc30596"/>
    </w:p>
    <w:p>
      <w:pPr>
        <w:pStyle w:val="3"/>
        <w:keepNext w:val="0"/>
        <w:keepLines w:val="0"/>
        <w:pageBreakBefore w:val="0"/>
        <w:widowControl w:val="0"/>
        <w:kinsoku/>
        <w:wordWrap/>
        <w:overflowPunct/>
        <w:topLinePunct w:val="0"/>
        <w:autoSpaceDE/>
        <w:autoSpaceDN/>
        <w:bidi w:val="0"/>
        <w:adjustRightInd/>
        <w:snapToGrid/>
        <w:spacing w:line="600" w:lineRule="exact"/>
        <w:jc w:val="center"/>
        <w:textAlignment w:val="auto"/>
        <w:rPr>
          <w:spacing w:val="-14"/>
          <w:sz w:val="32"/>
          <w:szCs w:val="32"/>
        </w:rPr>
      </w:pPr>
      <w:bookmarkStart w:id="279" w:name="_Toc3838"/>
      <w:bookmarkStart w:id="280" w:name="_Toc13978"/>
      <w:r>
        <w:rPr>
          <w:rFonts w:hint="eastAsia"/>
          <w:spacing w:val="-14"/>
          <w:sz w:val="32"/>
          <w:szCs w:val="32"/>
        </w:rPr>
        <w:t>第九章  着力改善民生福祉，不断满足人民群众美好生活需要</w:t>
      </w:r>
      <w:bookmarkEnd w:id="273"/>
      <w:bookmarkEnd w:id="274"/>
      <w:bookmarkEnd w:id="275"/>
      <w:bookmarkEnd w:id="276"/>
      <w:bookmarkEnd w:id="277"/>
      <w:bookmarkEnd w:id="278"/>
      <w:bookmarkEnd w:id="279"/>
      <w:bookmarkEnd w:id="280"/>
    </w:p>
    <w:p>
      <w:pPr>
        <w:pageBreakBefore w:val="0"/>
        <w:widowControl w:val="0"/>
        <w:kinsoku/>
        <w:wordWrap/>
        <w:overflowPunct/>
        <w:topLinePunct w:val="0"/>
        <w:autoSpaceDE/>
        <w:autoSpaceDN/>
        <w:bidi w:val="0"/>
        <w:adjustRightInd/>
        <w:snapToGrid/>
        <w:spacing w:line="600" w:lineRule="exact"/>
        <w:ind w:firstLine="0" w:firstLineChars="0"/>
        <w:textAlignment w:val="auto"/>
        <w:rPr>
          <w:sz w:val="32"/>
          <w:szCs w:val="32"/>
        </w:rPr>
      </w:pPr>
    </w:p>
    <w:p>
      <w:pPr>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坚持以人民为中心的发展思想，大力补齐教育、医疗、卫生等公共服务短板，把提高发展平衡性放在重要位置，推动改革发展成果更多更公平惠及全区人民，不断满足人民群众对美好生活的需要。</w:t>
      </w:r>
    </w:p>
    <w:p>
      <w:pPr>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overflowPunct/>
        <w:topLinePunct w:val="0"/>
        <w:autoSpaceDE/>
        <w:autoSpaceDN/>
        <w:bidi w:val="0"/>
        <w:adjustRightInd/>
        <w:snapToGrid/>
        <w:spacing w:line="600" w:lineRule="exact"/>
        <w:textAlignment w:val="auto"/>
        <w:rPr>
          <w:sz w:val="32"/>
          <w:szCs w:val="32"/>
        </w:rPr>
      </w:pPr>
      <w:bookmarkStart w:id="281" w:name="_Toc15148"/>
      <w:bookmarkStart w:id="282" w:name="_Toc28617"/>
      <w:bookmarkStart w:id="283" w:name="_Toc20540"/>
      <w:bookmarkStart w:id="284" w:name="_Toc28384"/>
      <w:bookmarkStart w:id="285" w:name="_Toc20310"/>
      <w:bookmarkStart w:id="286" w:name="_Toc4619"/>
      <w:bookmarkStart w:id="287" w:name="_Toc7604"/>
      <w:bookmarkStart w:id="288" w:name="_Toc8722"/>
      <w:r>
        <w:rPr>
          <w:rFonts w:hint="eastAsia"/>
          <w:sz w:val="32"/>
          <w:szCs w:val="32"/>
        </w:rPr>
        <w:t>第一节  促进更加充分更加高质量就业</w:t>
      </w:r>
      <w:bookmarkEnd w:id="281"/>
      <w:bookmarkEnd w:id="282"/>
      <w:bookmarkEnd w:id="283"/>
      <w:bookmarkEnd w:id="284"/>
      <w:bookmarkEnd w:id="285"/>
      <w:bookmarkEnd w:id="286"/>
      <w:bookmarkEnd w:id="287"/>
      <w:bookmarkEnd w:id="288"/>
    </w:p>
    <w:p>
      <w:pPr>
        <w:pageBreakBefore w:val="0"/>
        <w:widowControl w:val="0"/>
        <w:kinsoku/>
        <w:wordWrap/>
        <w:overflowPunct/>
        <w:topLinePunct w:val="0"/>
        <w:autoSpaceDE/>
        <w:autoSpaceDN/>
        <w:bidi w:val="0"/>
        <w:adjustRightInd/>
        <w:snapToGrid/>
        <w:spacing w:line="600" w:lineRule="exact"/>
        <w:ind w:firstLine="0" w:firstLineChars="0"/>
        <w:textAlignment w:val="auto"/>
        <w:rPr>
          <w:sz w:val="32"/>
          <w:szCs w:val="32"/>
        </w:rPr>
      </w:pPr>
    </w:p>
    <w:p>
      <w:pPr>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落实就业优先政策，创造更多就业岗位，促进重点群体就业创业，提高人民收入水平，促进共同富裕。</w:t>
      </w:r>
    </w:p>
    <w:p>
      <w:pPr>
        <w:pageBreakBefore w:val="0"/>
        <w:widowControl w:val="0"/>
        <w:kinsoku/>
        <w:wordWrap/>
        <w:overflowPunct/>
        <w:topLinePunct w:val="0"/>
        <w:autoSpaceDE/>
        <w:autoSpaceDN/>
        <w:bidi w:val="0"/>
        <w:adjustRightInd/>
        <w:snapToGrid/>
        <w:spacing w:line="600" w:lineRule="exact"/>
        <w:ind w:firstLine="643"/>
        <w:textAlignment w:val="auto"/>
        <w:rPr>
          <w:rFonts w:hint="eastAsia" w:ascii="仿宋_GB2312" w:hAnsi="仿宋_GB2312" w:eastAsia="仿宋_GB2312" w:cs="仿宋_GB2312"/>
          <w:color w:val="7030A0"/>
          <w:sz w:val="32"/>
          <w:szCs w:val="32"/>
        </w:rPr>
      </w:pPr>
      <w:r>
        <w:rPr>
          <w:rFonts w:hint="eastAsia" w:ascii="仿宋_GB2312" w:hAnsi="仿宋_GB2312" w:eastAsia="仿宋_GB2312" w:cs="仿宋_GB2312"/>
          <w:b/>
          <w:bCs/>
          <w:sz w:val="32"/>
          <w:szCs w:val="32"/>
        </w:rPr>
        <w:t>实施稳就业政策。</w:t>
      </w:r>
      <w:r>
        <w:rPr>
          <w:rFonts w:hint="eastAsia" w:ascii="仿宋_GB2312" w:hAnsi="仿宋_GB2312" w:eastAsia="仿宋_GB2312" w:cs="仿宋_GB2312"/>
          <w:bCs/>
          <w:sz w:val="32"/>
          <w:szCs w:val="32"/>
        </w:rPr>
        <w:t>全面落实上级各类就业政策，提高就业率和覆盖率。</w:t>
      </w:r>
      <w:r>
        <w:rPr>
          <w:rFonts w:hint="eastAsia" w:ascii="仿宋_GB2312" w:hAnsi="仿宋_GB2312" w:eastAsia="仿宋_GB2312" w:cs="仿宋_GB2312"/>
          <w:sz w:val="32"/>
          <w:szCs w:val="32"/>
        </w:rPr>
        <w:t>在享受普惠型就业创业扶持政策和公共服务基础上给予退役军人特殊优待。发挥企业吸纳就业主渠道和政府岗位引导作用，大力开发公益性岗位，积极解决贫困劳动力和就业困难群体就业问题。落实异地务工人员有序流动就业政策措施，支持异地务工人员返乡创业就业，推动农村劳动力多渠道就业和多元化发展。促进农村人力资源与市场需求精准匹配，推行“互联网+就业”服务。“十四五”期间，城镇登记失业率控制在3.5%以内。</w:t>
      </w:r>
    </w:p>
    <w:p>
      <w:pPr>
        <w:pageBreakBefore w:val="0"/>
        <w:widowControl w:val="0"/>
        <w:kinsoku/>
        <w:wordWrap/>
        <w:overflowPunct/>
        <w:topLinePunct w:val="0"/>
        <w:autoSpaceDE/>
        <w:autoSpaceDN/>
        <w:bidi w:val="0"/>
        <w:adjustRightInd/>
        <w:snapToGrid/>
        <w:spacing w:line="600" w:lineRule="exact"/>
        <w:ind w:firstLine="643"/>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提升就业创业服务水平。</w:t>
      </w:r>
      <w:r>
        <w:rPr>
          <w:rFonts w:hint="eastAsia" w:ascii="仿宋_GB2312" w:hAnsi="仿宋_GB2312" w:eastAsia="仿宋_GB2312" w:cs="仿宋_GB2312"/>
          <w:sz w:val="32"/>
          <w:szCs w:val="32"/>
        </w:rPr>
        <w:t>开展职业技能提升培训，建立健全覆盖城乡全体劳动者的职业培训体系。发挥就业创业“见习基地”、区乡村振兴培训实践中心、职业技工院校培训功能，高质量推进“粤菜师傅”“广东技工”“南粤家政”</w:t>
      </w:r>
      <w:r>
        <w:rPr>
          <w:rFonts w:hint="eastAsia" w:ascii="仿宋_GB2312" w:hAnsi="仿宋_GB2312" w:eastAsia="仿宋_GB2312" w:cs="仿宋_GB2312"/>
          <w:color w:val="auto"/>
          <w:sz w:val="32"/>
          <w:szCs w:val="32"/>
          <w:lang w:eastAsia="zh-CN"/>
        </w:rPr>
        <w:t>三项工程</w:t>
      </w:r>
      <w:r>
        <w:rPr>
          <w:rFonts w:hint="eastAsia" w:ascii="仿宋_GB2312" w:hAnsi="仿宋_GB2312" w:eastAsia="仿宋_GB2312" w:cs="仿宋_GB2312"/>
          <w:sz w:val="32"/>
          <w:szCs w:val="32"/>
        </w:rPr>
        <w:t>，打造技能精湛、勇于创新、追求卓越的技工队伍。实施“武江特色菜师傅”培育计划，开展技能培训、技术交流、菜品研发、技能竞赛（比武）、乡厨培训等活动，加快厨点师技能人才队伍建设。实施“订单班”“冠名班”等技术人才培养模式，扩大“企业新型学徒制”培训覆盖面，为企业培育更多基层行业中高级技能人才。开展新型职业农民培育工作，重点实施新型农业经营主体带头人轮训、专业技能型和专业服务型职业农民培训。加大农村电商技能人才培养力度。对贫困家庭子女、未升学初高中毕业生、农民工、失业人员等实行免费职业培训。</w:t>
      </w:r>
    </w:p>
    <w:p>
      <w:pPr>
        <w:pageBreakBefore w:val="0"/>
        <w:widowControl w:val="0"/>
        <w:kinsoku/>
        <w:wordWrap/>
        <w:overflowPunct/>
        <w:topLinePunct w:val="0"/>
        <w:autoSpaceDE/>
        <w:autoSpaceDN/>
        <w:bidi w:val="0"/>
        <w:adjustRightInd/>
        <w:snapToGrid/>
        <w:spacing w:line="600" w:lineRule="exact"/>
        <w:ind w:firstLine="643"/>
        <w:textAlignment w:val="auto"/>
        <w:rPr>
          <w:rFonts w:ascii="仿宋" w:hAnsi="仿宋"/>
          <w:sz w:val="32"/>
          <w:szCs w:val="32"/>
        </w:rPr>
      </w:pPr>
      <w:r>
        <w:rPr>
          <w:rFonts w:hint="eastAsia" w:ascii="仿宋_GB2312" w:hAnsi="仿宋_GB2312" w:eastAsia="仿宋_GB2312" w:cs="仿宋_GB2312"/>
          <w:b/>
          <w:sz w:val="32"/>
          <w:szCs w:val="32"/>
        </w:rPr>
        <w:t>优化就业创业环境。</w:t>
      </w:r>
      <w:r>
        <w:rPr>
          <w:rFonts w:hint="eastAsia" w:ascii="仿宋_GB2312" w:hAnsi="仿宋_GB2312" w:eastAsia="仿宋_GB2312" w:cs="仿宋_GB2312"/>
          <w:color w:val="auto"/>
          <w:sz w:val="32"/>
          <w:szCs w:val="32"/>
        </w:rPr>
        <w:t>深入实施“大众创业、万众创新”，鼓励支持自主创业，促进创业带动就业。实施高校毕业生就业创业促进计划，实现高校毕业生就业创业保持高水平。</w:t>
      </w:r>
      <w:r>
        <w:rPr>
          <w:rFonts w:hint="eastAsia" w:ascii="仿宋_GB2312" w:hAnsi="仿宋_GB2312" w:eastAsia="仿宋_GB2312" w:cs="仿宋_GB2312"/>
          <w:sz w:val="32"/>
          <w:szCs w:val="32"/>
        </w:rPr>
        <w:t>营造公平就业环境，提高城乡公共就业创业服务水平。以信息网络、劳动力市场、培训鉴定、服务窗口、基层平台为重点，完善服务体系，提高就业创业服务水平。组织辖区企业参加我市高校和技工院校的校企合作人才供需对接会，推进校企合作。协助企业召开专场招聘会，畅通供需信息，拓宽就业渠道，鼓励就地就近就业。培育吸纳就业能力较强的产业，支持就业容量大的中小微企业发展，引导社会资本投资创业项目、建设创业平台。加大劳动监察执法力度，做好劳资纠纷案件调处，全面清理拖欠农民工工资问题，构建和谐劳动关系。引导企业继续改善用工环境，加强企业文化建设，加强人文关怀，畅通职工表达合理诉求渠道。开展失业调查，加强就业、失业、人力资源市场供求情况动态监测。</w:t>
      </w:r>
    </w:p>
    <w:p>
      <w:pPr>
        <w:pStyle w:val="4"/>
        <w:keepNext w:val="0"/>
        <w:keepLines w:val="0"/>
        <w:pageBreakBefore w:val="0"/>
        <w:widowControl w:val="0"/>
        <w:kinsoku/>
        <w:wordWrap/>
        <w:overflowPunct/>
        <w:topLinePunct w:val="0"/>
        <w:autoSpaceDE/>
        <w:autoSpaceDN/>
        <w:bidi w:val="0"/>
        <w:adjustRightInd/>
        <w:snapToGrid/>
        <w:spacing w:line="600" w:lineRule="exact"/>
        <w:jc w:val="center"/>
        <w:textAlignment w:val="auto"/>
        <w:rPr>
          <w:sz w:val="32"/>
          <w:szCs w:val="32"/>
        </w:rPr>
      </w:pPr>
      <w:bookmarkStart w:id="289" w:name="_Toc15615"/>
      <w:bookmarkStart w:id="290" w:name="_Toc50"/>
      <w:bookmarkStart w:id="291" w:name="_Toc8321"/>
      <w:bookmarkStart w:id="292" w:name="_Toc5488"/>
      <w:bookmarkStart w:id="293" w:name="_Toc29390"/>
      <w:bookmarkStart w:id="294" w:name="_Toc32377"/>
      <w:bookmarkStart w:id="295" w:name="_Toc7581"/>
      <w:bookmarkStart w:id="296" w:name="_Toc7534"/>
      <w:r>
        <w:rPr>
          <w:rFonts w:hint="eastAsia"/>
          <w:sz w:val="32"/>
          <w:szCs w:val="32"/>
        </w:rPr>
        <w:t>第二节  建设现代化教育强区</w:t>
      </w:r>
      <w:bookmarkEnd w:id="289"/>
      <w:bookmarkEnd w:id="290"/>
      <w:bookmarkEnd w:id="291"/>
      <w:bookmarkEnd w:id="292"/>
      <w:bookmarkEnd w:id="293"/>
      <w:bookmarkEnd w:id="294"/>
      <w:bookmarkEnd w:id="295"/>
      <w:bookmarkEnd w:id="296"/>
    </w:p>
    <w:p>
      <w:pPr>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rPr>
      </w:pPr>
    </w:p>
    <w:p>
      <w:pPr>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全面贯彻党的教育方针，坚持社会主义办学方向，坚持教育优先发展战略，办好人民满意的教育，落实立德树人根本任务，深入实施教育“四大工程”（教育资源均衡配置工程、名校长名教师名班主任培育工程、师德师风建设提升工程、思政课创新实践工程），加快推进教育现代化，建设“教育资源布局合理、教育均衡优质发展、教育教学改革深入、素质教育全面实施、教育体制充满活力”的可持续发展的现代化教育强区。</w:t>
      </w:r>
    </w:p>
    <w:p>
      <w:pPr>
        <w:pageBreakBefore w:val="0"/>
        <w:widowControl w:val="0"/>
        <w:kinsoku/>
        <w:wordWrap/>
        <w:overflowPunct/>
        <w:topLinePunct w:val="0"/>
        <w:autoSpaceDE/>
        <w:autoSpaceDN/>
        <w:bidi w:val="0"/>
        <w:adjustRightInd/>
        <w:snapToGrid/>
        <w:spacing w:line="600" w:lineRule="exact"/>
        <w:ind w:firstLine="643"/>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促进各类教育均衡发展。</w:t>
      </w:r>
      <w:r>
        <w:rPr>
          <w:rFonts w:hint="eastAsia" w:ascii="仿宋_GB2312" w:hAnsi="仿宋_GB2312" w:eastAsia="仿宋_GB2312" w:cs="仿宋_GB2312"/>
          <w:color w:val="auto"/>
          <w:sz w:val="32"/>
          <w:szCs w:val="32"/>
        </w:rPr>
        <w:t>办好办强公办义务教育</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推进城</w:t>
      </w:r>
      <w:r>
        <w:rPr>
          <w:rFonts w:hint="eastAsia" w:ascii="仿宋_GB2312" w:hAnsi="仿宋_GB2312" w:eastAsia="仿宋_GB2312" w:cs="仿宋_GB2312"/>
          <w:color w:val="auto"/>
          <w:sz w:val="32"/>
          <w:szCs w:val="32"/>
          <w:highlight w:val="none"/>
        </w:rPr>
        <w:t>乡</w:t>
      </w:r>
      <w:r>
        <w:rPr>
          <w:rFonts w:hint="eastAsia" w:ascii="仿宋_GB2312" w:hAnsi="仿宋_GB2312" w:eastAsia="仿宋_GB2312" w:cs="仿宋_GB2312"/>
          <w:color w:val="auto"/>
          <w:sz w:val="32"/>
          <w:szCs w:val="32"/>
        </w:rPr>
        <w:t>义务教育优质均衡发展</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促进城乡教育一体化发展</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深化</w:t>
      </w:r>
      <w:r>
        <w:rPr>
          <w:rFonts w:hint="eastAsia" w:ascii="仿宋_GB2312" w:hAnsi="仿宋_GB2312" w:eastAsia="仿宋_GB2312" w:cs="仿宋_GB2312"/>
          <w:color w:val="auto"/>
          <w:sz w:val="32"/>
          <w:szCs w:val="32"/>
        </w:rPr>
        <w:t>教育</w:t>
      </w:r>
      <w:r>
        <w:rPr>
          <w:rFonts w:hint="eastAsia" w:ascii="仿宋_GB2312" w:hAnsi="仿宋_GB2312" w:eastAsia="仿宋_GB2312" w:cs="仿宋_GB2312"/>
          <w:color w:val="auto"/>
          <w:sz w:val="32"/>
          <w:szCs w:val="32"/>
          <w:lang w:eastAsia="zh-CN"/>
        </w:rPr>
        <w:t>资源均衡</w:t>
      </w:r>
      <w:r>
        <w:rPr>
          <w:rFonts w:hint="eastAsia" w:ascii="仿宋_GB2312" w:hAnsi="仿宋_GB2312" w:eastAsia="仿宋_GB2312" w:cs="仿宋_GB2312"/>
          <w:color w:val="auto"/>
          <w:sz w:val="32"/>
          <w:szCs w:val="32"/>
        </w:rPr>
        <w:t>配置，重点加大城区学位供给，谋划实施“3+3+1”等项目工程</w:t>
      </w:r>
      <w:r>
        <w:rPr>
          <w:rFonts w:hint="eastAsia" w:ascii="仿宋_GB2312" w:hAnsi="仿宋_GB2312" w:eastAsia="仿宋_GB2312" w:cs="仿宋_GB2312"/>
          <w:color w:val="auto"/>
          <w:sz w:val="32"/>
          <w:szCs w:val="32"/>
          <w:lang w:eastAsia="zh-CN"/>
        </w:rPr>
        <w:t>，改善农村寄宿制学校办学条件</w:t>
      </w:r>
      <w:r>
        <w:rPr>
          <w:rFonts w:hint="eastAsia" w:ascii="仿宋_GB2312" w:hAnsi="仿宋_GB2312" w:eastAsia="仿宋_GB2312" w:cs="仿宋_GB2312"/>
          <w:color w:val="auto"/>
          <w:sz w:val="32"/>
          <w:szCs w:val="32"/>
        </w:rPr>
        <w:t>。构建以公办性质及普惠性资源为主体的办园体系，重点发展公办及普惠性学前教育，</w:t>
      </w:r>
      <w:r>
        <w:rPr>
          <w:rFonts w:hint="eastAsia" w:ascii="仿宋_GB2312" w:hAnsi="仿宋_GB2312" w:eastAsia="仿宋_GB2312" w:cs="仿宋_GB2312"/>
          <w:color w:val="auto"/>
          <w:sz w:val="32"/>
          <w:szCs w:val="32"/>
          <w:lang w:eastAsia="zh-CN"/>
        </w:rPr>
        <w:t>新改扩建一批公办园，</w:t>
      </w:r>
      <w:r>
        <w:rPr>
          <w:rFonts w:hint="eastAsia" w:ascii="仿宋_GB2312" w:hAnsi="仿宋_GB2312" w:eastAsia="仿宋_GB2312" w:cs="仿宋_GB2312"/>
          <w:color w:val="auto"/>
          <w:sz w:val="32"/>
          <w:szCs w:val="32"/>
        </w:rPr>
        <w:t>落实符合条件的新建楼盘配建幼儿园政策</w:t>
      </w:r>
      <w:r>
        <w:rPr>
          <w:rFonts w:hint="eastAsia" w:ascii="仿宋_GB2312" w:hAnsi="仿宋_GB2312" w:eastAsia="仿宋_GB2312" w:cs="仿宋_GB2312"/>
          <w:color w:val="auto"/>
          <w:sz w:val="32"/>
          <w:szCs w:val="32"/>
          <w:lang w:eastAsia="zh-CN"/>
        </w:rPr>
        <w:t>，增加公办园学位，确保“公办幼儿园在园幼儿人数占比达到50%以上，公办幼儿园和普惠性民办幼儿园在园幼儿人数占比达到80%以上”目标</w:t>
      </w:r>
      <w:r>
        <w:rPr>
          <w:rFonts w:hint="eastAsia" w:ascii="仿宋_GB2312" w:hAnsi="仿宋_GB2312" w:eastAsia="仿宋_GB2312" w:cs="仿宋_GB2312"/>
          <w:color w:val="auto"/>
          <w:sz w:val="32"/>
          <w:szCs w:val="32"/>
        </w:rPr>
        <w:t>。保持3-5周岁幼儿毛入园率100%、小学适龄儿童入学率和初中毛入学率100%，九年义务教育巩固率达到99%以上。深化特殊教育公平融合发展，加强专门教育保障，谋划区特殊教育学校建设。全面推行全纳教育，实现适龄残疾儿童教育全覆盖，适龄残疾儿童少年入学率达到</w:t>
      </w:r>
      <w:r>
        <w:rPr>
          <w:rFonts w:hint="eastAsia" w:ascii="仿宋_GB2312" w:hAnsi="仿宋_GB2312" w:eastAsia="仿宋_GB2312" w:cs="仿宋_GB2312"/>
          <w:color w:val="auto"/>
          <w:sz w:val="32"/>
          <w:szCs w:val="32"/>
          <w:lang w:val="en-US" w:eastAsia="zh-CN"/>
        </w:rPr>
        <w:t>98</w:t>
      </w:r>
      <w:r>
        <w:rPr>
          <w:rFonts w:hint="eastAsia" w:ascii="仿宋_GB2312" w:hAnsi="仿宋_GB2312" w:eastAsia="仿宋_GB2312" w:cs="仿宋_GB2312"/>
          <w:color w:val="auto"/>
          <w:sz w:val="32"/>
          <w:szCs w:val="32"/>
        </w:rPr>
        <w:t>%。</w:t>
      </w:r>
    </w:p>
    <w:p>
      <w:pPr>
        <w:pageBreakBefore w:val="0"/>
        <w:widowControl w:val="0"/>
        <w:kinsoku/>
        <w:wordWrap/>
        <w:overflowPunct/>
        <w:topLinePunct w:val="0"/>
        <w:autoSpaceDE/>
        <w:autoSpaceDN/>
        <w:bidi w:val="0"/>
        <w:adjustRightInd/>
        <w:snapToGrid/>
        <w:spacing w:line="600" w:lineRule="exact"/>
        <w:ind w:firstLine="643"/>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提升教师队伍整体素质。</w:t>
      </w:r>
      <w:r>
        <w:rPr>
          <w:rFonts w:hint="eastAsia" w:ascii="仿宋_GB2312" w:hAnsi="仿宋_GB2312" w:eastAsia="仿宋_GB2312" w:cs="仿宋_GB2312"/>
          <w:b w:val="0"/>
          <w:bCs/>
          <w:color w:val="auto"/>
          <w:sz w:val="32"/>
          <w:szCs w:val="32"/>
          <w:lang w:eastAsia="zh-CN"/>
        </w:rPr>
        <w:t>全面深化新时代教师队伍建设改革，遵循教育规律和教师成长发展规律，加强师德师风建设，培养高素质教师队伍，倡导全社会尊师重教，形成优秀人才争相从教、教师人人尽展其才、好教师不断涌现的良好局面。</w:t>
      </w:r>
      <w:r>
        <w:rPr>
          <w:rFonts w:hint="eastAsia" w:ascii="仿宋_GB2312" w:hAnsi="仿宋_GB2312" w:eastAsia="仿宋_GB2312" w:cs="仿宋_GB2312"/>
          <w:bCs/>
          <w:color w:val="auto"/>
          <w:sz w:val="32"/>
          <w:szCs w:val="32"/>
          <w:lang w:eastAsia="zh-CN"/>
        </w:rPr>
        <w:t>深入实施</w:t>
      </w:r>
      <w:r>
        <w:rPr>
          <w:rFonts w:hint="eastAsia" w:ascii="仿宋_GB2312" w:hAnsi="仿宋_GB2312" w:eastAsia="仿宋_GB2312" w:cs="仿宋_GB2312"/>
          <w:bCs/>
          <w:color w:val="auto"/>
          <w:sz w:val="32"/>
          <w:szCs w:val="32"/>
        </w:rPr>
        <w:t>名校长名教师名班主任培育工程</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师德师风建设提升</w:t>
      </w:r>
      <w:r>
        <w:rPr>
          <w:rFonts w:hint="eastAsia" w:ascii="仿宋_GB2312" w:hAnsi="仿宋_GB2312" w:eastAsia="仿宋_GB2312" w:cs="仿宋_GB2312"/>
          <w:bCs/>
          <w:color w:val="auto"/>
          <w:sz w:val="32"/>
          <w:szCs w:val="32"/>
          <w:lang w:eastAsia="zh-CN"/>
        </w:rPr>
        <w:t>工程、</w:t>
      </w:r>
      <w:r>
        <w:rPr>
          <w:rFonts w:hint="eastAsia" w:ascii="仿宋_GB2312" w:hAnsi="仿宋_GB2312" w:eastAsia="仿宋_GB2312" w:cs="仿宋_GB2312"/>
          <w:bCs/>
          <w:color w:val="auto"/>
          <w:sz w:val="32"/>
          <w:szCs w:val="32"/>
        </w:rPr>
        <w:t>思政课创新实践工程，</w:t>
      </w:r>
      <w:r>
        <w:rPr>
          <w:rFonts w:hint="eastAsia" w:ascii="仿宋_GB2312" w:hAnsi="仿宋_GB2312" w:eastAsia="仿宋_GB2312" w:cs="仿宋_GB2312"/>
          <w:bCs/>
          <w:color w:val="auto"/>
          <w:sz w:val="32"/>
          <w:szCs w:val="32"/>
          <w:lang w:eastAsia="zh-CN"/>
        </w:rPr>
        <w:t>把提高教师思想政治素质和职业道德水平摆在首要位置，推动教师成为先进思想文化的传播者、党执政的坚定支持者、学生健康成长的指导者。</w:t>
      </w:r>
      <w:r>
        <w:rPr>
          <w:rFonts w:hint="eastAsia" w:ascii="仿宋_GB2312" w:hAnsi="仿宋_GB2312" w:eastAsia="仿宋_GB2312" w:cs="仿宋_GB2312"/>
          <w:bCs/>
          <w:color w:val="auto"/>
          <w:sz w:val="32"/>
          <w:szCs w:val="32"/>
        </w:rPr>
        <w:t>深</w:t>
      </w:r>
      <w:r>
        <w:rPr>
          <w:rFonts w:hint="eastAsia" w:ascii="仿宋_GB2312" w:hAnsi="仿宋_GB2312" w:eastAsia="仿宋_GB2312" w:cs="仿宋_GB2312"/>
          <w:bCs/>
          <w:color w:val="auto"/>
          <w:sz w:val="32"/>
          <w:szCs w:val="32"/>
          <w:lang w:eastAsia="zh-CN"/>
        </w:rPr>
        <w:t>化</w:t>
      </w:r>
      <w:r>
        <w:rPr>
          <w:rFonts w:hint="eastAsia" w:ascii="仿宋_GB2312" w:hAnsi="仿宋_GB2312" w:eastAsia="仿宋_GB2312" w:cs="仿宋_GB2312"/>
          <w:bCs/>
          <w:color w:val="auto"/>
          <w:sz w:val="32"/>
          <w:szCs w:val="32"/>
        </w:rPr>
        <w:t>“强师工程”</w:t>
      </w:r>
      <w:r>
        <w:rPr>
          <w:rFonts w:hint="eastAsia" w:ascii="仿宋_GB2312" w:hAnsi="仿宋_GB2312" w:eastAsia="仿宋_GB2312" w:cs="仿宋_GB2312"/>
          <w:bCs/>
          <w:color w:val="auto"/>
          <w:sz w:val="32"/>
          <w:szCs w:val="32"/>
          <w:lang w:eastAsia="zh-CN"/>
        </w:rPr>
        <w:t>成果</w:t>
      </w:r>
      <w:r>
        <w:rPr>
          <w:rFonts w:hint="eastAsia" w:ascii="仿宋_GB2312" w:hAnsi="仿宋_GB2312" w:eastAsia="仿宋_GB2312" w:cs="仿宋_GB2312"/>
          <w:bCs/>
          <w:color w:val="auto"/>
          <w:sz w:val="32"/>
          <w:szCs w:val="32"/>
        </w:rPr>
        <w:t>，全面提高中小学教师质量，建设一支高素质专业化的教师队伍</w:t>
      </w:r>
      <w:r>
        <w:rPr>
          <w:rFonts w:hint="eastAsia" w:ascii="仿宋_GB2312" w:hAnsi="仿宋_GB2312" w:eastAsia="仿宋_GB2312" w:cs="仿宋_GB2312"/>
          <w:bCs/>
          <w:color w:val="auto"/>
          <w:sz w:val="32"/>
          <w:szCs w:val="32"/>
          <w:lang w:eastAsia="zh-CN"/>
        </w:rPr>
        <w:t>；加强中小学校长队伍建设，努力造就一支政治过硬、品德高尚、业务精湛、治校有方的校长队伍；全面提高幼儿园教师质量，建设一支高素质善保教的教师队伍。实行义务教育教师“县管校聘”，深入推进县域内义务教育学校教师、校长交流轮岗，实行教师聘任制、校长任期制管理，推动城镇优秀教师、校长向乡村学校、薄弱学校流动。深化中小学教师职称和考核评价制度改革。完善中小学教师待遇保障机制，提升乡村教师待遇。谋划</w:t>
      </w:r>
      <w:r>
        <w:rPr>
          <w:rFonts w:hint="eastAsia" w:ascii="仿宋_GB2312" w:hAnsi="仿宋_GB2312" w:eastAsia="仿宋_GB2312" w:cs="仿宋_GB2312"/>
          <w:bCs/>
          <w:color w:val="auto"/>
          <w:sz w:val="32"/>
          <w:szCs w:val="32"/>
        </w:rPr>
        <w:t>区教师发展中心建设。</w:t>
      </w:r>
      <w:r>
        <w:rPr>
          <w:rFonts w:hint="eastAsia" w:ascii="仿宋_GB2312" w:hAnsi="仿宋_GB2312" w:eastAsia="仿宋_GB2312" w:cs="仿宋_GB2312"/>
          <w:bCs/>
          <w:color w:val="auto"/>
          <w:sz w:val="32"/>
          <w:szCs w:val="32"/>
          <w:lang w:eastAsia="zh-CN"/>
        </w:rPr>
        <w:t>加大招聘高素质教师力度</w:t>
      </w:r>
      <w:r>
        <w:rPr>
          <w:rFonts w:hint="eastAsia" w:ascii="仿宋_GB2312" w:hAnsi="仿宋_GB2312" w:eastAsia="仿宋_GB2312" w:cs="仿宋_GB2312"/>
          <w:color w:val="auto"/>
          <w:sz w:val="32"/>
          <w:szCs w:val="32"/>
        </w:rPr>
        <w:t>。</w:t>
      </w:r>
    </w:p>
    <w:p>
      <w:pPr>
        <w:pageBreakBefore w:val="0"/>
        <w:widowControl w:val="0"/>
        <w:kinsoku/>
        <w:wordWrap/>
        <w:overflowPunct/>
        <w:topLinePunct w:val="0"/>
        <w:autoSpaceDE/>
        <w:autoSpaceDN/>
        <w:bidi w:val="0"/>
        <w:adjustRightInd/>
        <w:snapToGrid/>
        <w:spacing w:line="600" w:lineRule="exact"/>
        <w:ind w:firstLine="643"/>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b/>
          <w:color w:val="auto"/>
          <w:sz w:val="32"/>
          <w:szCs w:val="32"/>
          <w:lang w:eastAsia="zh-CN"/>
        </w:rPr>
        <w:t>深化</w:t>
      </w:r>
      <w:r>
        <w:rPr>
          <w:rFonts w:hint="eastAsia" w:ascii="仿宋_GB2312" w:hAnsi="仿宋_GB2312" w:eastAsia="仿宋_GB2312" w:cs="仿宋_GB2312"/>
          <w:b/>
          <w:color w:val="auto"/>
          <w:sz w:val="32"/>
          <w:szCs w:val="32"/>
        </w:rPr>
        <w:t>教育领域综合改革。</w:t>
      </w:r>
      <w:r>
        <w:rPr>
          <w:rFonts w:hint="eastAsia" w:ascii="仿宋_GB2312" w:hAnsi="仿宋_GB2312" w:eastAsia="仿宋_GB2312" w:cs="仿宋_GB2312"/>
          <w:b w:val="0"/>
          <w:bCs/>
          <w:color w:val="auto"/>
          <w:sz w:val="32"/>
          <w:szCs w:val="32"/>
        </w:rPr>
        <w:t>推进教育治理体系和治理能力现代化</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Cs/>
          <w:color w:val="auto"/>
          <w:sz w:val="32"/>
          <w:szCs w:val="32"/>
        </w:rPr>
        <w:t>深化新时代教育评价改革，改革学校评价，推进落实立德树人根本任务</w:t>
      </w:r>
      <w:r>
        <w:rPr>
          <w:rFonts w:hint="eastAsia" w:ascii="仿宋_GB2312" w:hAnsi="仿宋_GB2312" w:eastAsia="仿宋_GB2312" w:cs="仿宋_GB2312"/>
          <w:bCs/>
          <w:color w:val="auto"/>
          <w:sz w:val="32"/>
          <w:szCs w:val="32"/>
          <w:lang w:eastAsia="zh-CN"/>
        </w:rPr>
        <w:t>；改革教师评价，推进践行教书育人使命；改革学生评价，促进德智体美劳全面发展。</w:t>
      </w:r>
      <w:r>
        <w:rPr>
          <w:rFonts w:hint="eastAsia" w:ascii="仿宋_GB2312" w:hAnsi="仿宋_GB2312" w:eastAsia="仿宋_GB2312" w:cs="仿宋_GB2312"/>
          <w:color w:val="auto"/>
          <w:sz w:val="32"/>
          <w:szCs w:val="32"/>
        </w:rPr>
        <w:t>深化“联盟体”办学模式</w:t>
      </w:r>
      <w:r>
        <w:rPr>
          <w:rFonts w:hint="eastAsia" w:ascii="仿宋_GB2312" w:hAnsi="仿宋_GB2312" w:eastAsia="仿宋_GB2312" w:cs="仿宋_GB2312"/>
          <w:color w:val="auto"/>
          <w:sz w:val="32"/>
          <w:szCs w:val="32"/>
          <w:lang w:eastAsia="zh-CN"/>
        </w:rPr>
        <w:t>，积极探索集团化办学新模式</w:t>
      </w:r>
      <w:r>
        <w:rPr>
          <w:rFonts w:hint="eastAsia" w:ascii="仿宋_GB2312" w:hAnsi="仿宋_GB2312" w:eastAsia="仿宋_GB2312" w:cs="仿宋_GB2312"/>
          <w:color w:val="auto"/>
          <w:sz w:val="32"/>
          <w:szCs w:val="32"/>
        </w:rPr>
        <w:t>。加强现代学校管理制度及信息化水平建设，积极融合线上线下教育，促进信息技术与教育融合发展，提升教育现代化水平。</w:t>
      </w:r>
      <w:r>
        <w:rPr>
          <w:rFonts w:hint="eastAsia" w:ascii="仿宋_GB2312" w:hAnsi="仿宋_GB2312" w:eastAsia="仿宋_GB2312" w:cs="仿宋_GB2312"/>
          <w:bCs/>
          <w:color w:val="auto"/>
          <w:sz w:val="32"/>
          <w:szCs w:val="32"/>
        </w:rPr>
        <w:t>深化民办教育分类管理改革，支持各类民办学校规范办学</w:t>
      </w:r>
      <w:r>
        <w:rPr>
          <w:rFonts w:hint="eastAsia" w:ascii="仿宋_GB2312" w:hAnsi="仿宋_GB2312" w:eastAsia="仿宋_GB2312" w:cs="仿宋_GB2312"/>
          <w:bCs/>
          <w:color w:val="auto"/>
          <w:sz w:val="32"/>
          <w:szCs w:val="32"/>
          <w:lang w:eastAsia="zh-CN"/>
        </w:rPr>
        <w:t>和</w:t>
      </w:r>
      <w:r>
        <w:rPr>
          <w:rFonts w:hint="eastAsia" w:ascii="仿宋_GB2312" w:hAnsi="仿宋_GB2312" w:eastAsia="仿宋_GB2312" w:cs="仿宋_GB2312"/>
          <w:bCs/>
          <w:color w:val="auto"/>
          <w:sz w:val="32"/>
          <w:szCs w:val="32"/>
        </w:rPr>
        <w:t>特色发展</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Cs/>
          <w:color w:val="auto"/>
          <w:sz w:val="32"/>
          <w:szCs w:val="32"/>
        </w:rPr>
        <w:t>规范校外培训机构</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color w:val="auto"/>
          <w:sz w:val="32"/>
          <w:szCs w:val="32"/>
        </w:rPr>
        <w:t>健全学校家庭社会协同育人机制，重视青少年身体素质和心理健康教育。</w:t>
      </w:r>
    </w:p>
    <w:p>
      <w:pPr>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 w:hAnsi="仿宋" w:eastAsia="仿宋" w:cs="仿宋"/>
          <w:sz w:val="32"/>
          <w:szCs w:val="32"/>
        </w:rPr>
      </w:pPr>
    </w:p>
    <w:p>
      <w:pPr>
        <w:pStyle w:val="4"/>
        <w:keepNext w:val="0"/>
        <w:keepLines w:val="0"/>
        <w:pageBreakBefore w:val="0"/>
        <w:widowControl w:val="0"/>
        <w:kinsoku/>
        <w:wordWrap/>
        <w:overflowPunct/>
        <w:topLinePunct w:val="0"/>
        <w:autoSpaceDE/>
        <w:autoSpaceDN/>
        <w:bidi w:val="0"/>
        <w:adjustRightInd/>
        <w:snapToGrid/>
        <w:spacing w:line="600" w:lineRule="exact"/>
        <w:textAlignment w:val="auto"/>
        <w:rPr>
          <w:sz w:val="32"/>
          <w:szCs w:val="32"/>
        </w:rPr>
      </w:pPr>
      <w:bookmarkStart w:id="297" w:name="_Toc32227"/>
      <w:bookmarkStart w:id="298" w:name="_Toc6992"/>
      <w:bookmarkStart w:id="299" w:name="_Toc25283"/>
      <w:bookmarkStart w:id="300" w:name="_Toc2389"/>
      <w:bookmarkStart w:id="301" w:name="_Toc12508"/>
      <w:bookmarkStart w:id="302" w:name="_Toc12157"/>
      <w:bookmarkStart w:id="303" w:name="_Toc18654"/>
      <w:bookmarkStart w:id="304" w:name="_Toc30"/>
      <w:r>
        <w:rPr>
          <w:rFonts w:hint="eastAsia"/>
          <w:sz w:val="32"/>
          <w:szCs w:val="32"/>
        </w:rPr>
        <w:t>第三节  增强医疗卫生服务能力</w:t>
      </w:r>
      <w:bookmarkEnd w:id="297"/>
      <w:bookmarkEnd w:id="298"/>
      <w:bookmarkEnd w:id="299"/>
      <w:bookmarkEnd w:id="300"/>
      <w:bookmarkEnd w:id="301"/>
      <w:bookmarkEnd w:id="302"/>
      <w:bookmarkEnd w:id="303"/>
      <w:bookmarkEnd w:id="304"/>
    </w:p>
    <w:p>
      <w:pPr>
        <w:pageBreakBefore w:val="0"/>
        <w:widowControl w:val="0"/>
        <w:kinsoku/>
        <w:wordWrap/>
        <w:overflowPunct/>
        <w:topLinePunct w:val="0"/>
        <w:autoSpaceDE/>
        <w:autoSpaceDN/>
        <w:bidi w:val="0"/>
        <w:adjustRightInd/>
        <w:snapToGrid/>
        <w:spacing w:line="600" w:lineRule="exact"/>
        <w:ind w:firstLine="0" w:firstLineChars="0"/>
        <w:textAlignment w:val="auto"/>
        <w:rPr>
          <w:sz w:val="32"/>
          <w:szCs w:val="32"/>
        </w:rPr>
      </w:pPr>
    </w:p>
    <w:p>
      <w:pPr>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把保障人民群众健康放在优先发展的位置，不断优化医疗卫生服务体系，补齐医疗卫生服务短板，提升医疗卫生服务质量和水平，更好满足人民群众健康需求，建设健康武江。</w:t>
      </w:r>
    </w:p>
    <w:p>
      <w:pPr>
        <w:pageBreakBefore w:val="0"/>
        <w:widowControl w:val="0"/>
        <w:kinsoku/>
        <w:wordWrap/>
        <w:overflowPunct/>
        <w:topLinePunct w:val="0"/>
        <w:autoSpaceDE/>
        <w:autoSpaceDN/>
        <w:bidi w:val="0"/>
        <w:adjustRightInd/>
        <w:snapToGrid/>
        <w:spacing w:line="600" w:lineRule="exact"/>
        <w:ind w:firstLine="64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完善基层医疗服务体系。</w:t>
      </w:r>
      <w:r>
        <w:rPr>
          <w:rFonts w:hint="eastAsia" w:ascii="仿宋_GB2312" w:hAnsi="仿宋_GB2312" w:eastAsia="仿宋_GB2312" w:cs="仿宋_GB2312"/>
          <w:bCs/>
          <w:sz w:val="32"/>
          <w:szCs w:val="32"/>
        </w:rPr>
        <w:t>加强医疗卫生服务体系建设，</w:t>
      </w:r>
      <w:r>
        <w:rPr>
          <w:rFonts w:hint="eastAsia" w:ascii="仿宋_GB2312" w:hAnsi="仿宋_GB2312" w:eastAsia="仿宋_GB2312" w:cs="仿宋_GB2312"/>
          <w:sz w:val="32"/>
          <w:szCs w:val="32"/>
        </w:rPr>
        <w:t>完善区、镇、村三级医疗网络。加大医疗卫生基础设施建设力度，新建区中医院、区儿童医院为二级医院，规划建设区疾控中心，提升区级医疗卫生服务能力。扩建江湾卫生院等乡镇医院，提升乡镇卫生院诊疗水平。谋划建设社区卫生服务中心。规范村卫生站经营行为，保障群众健康安全。引导社会资本提供优质医疗服务，满足群众多层次多样化的医疗健康服务需求。</w:t>
      </w:r>
      <w:r>
        <w:rPr>
          <w:rFonts w:hint="eastAsia" w:ascii="仿宋_GB2312" w:hAnsi="仿宋_GB2312" w:eastAsia="仿宋_GB2312" w:cs="仿宋_GB2312"/>
          <w:sz w:val="32"/>
          <w:szCs w:val="32"/>
          <w:lang w:eastAsia="zh-CN"/>
        </w:rPr>
        <w:t>建成市第一人民医院迁建项目、前海人寿医院等芙蓉新区大型医院，为全区人民提供更多更高水平的医疗保障能力。</w:t>
      </w:r>
    </w:p>
    <w:p>
      <w:pPr>
        <w:pageBreakBefore w:val="0"/>
        <w:widowControl w:val="0"/>
        <w:kinsoku/>
        <w:wordWrap/>
        <w:overflowPunct/>
        <w:topLinePunct w:val="0"/>
        <w:autoSpaceDE/>
        <w:autoSpaceDN/>
        <w:bidi w:val="0"/>
        <w:adjustRightInd/>
        <w:snapToGrid/>
        <w:spacing w:line="600" w:lineRule="exact"/>
        <w:ind w:firstLine="643"/>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增强公共卫生服务能力。</w:t>
      </w:r>
      <w:r>
        <w:rPr>
          <w:rFonts w:hint="eastAsia" w:ascii="仿宋_GB2312" w:hAnsi="仿宋_GB2312" w:eastAsia="仿宋_GB2312" w:cs="仿宋_GB2312"/>
          <w:strike w:val="0"/>
          <w:color w:val="auto"/>
          <w:lang w:eastAsia="zh-CN"/>
        </w:rPr>
        <w:t>探索公立医院综合改革，加快完善分级诊疗制度和现代医院管理制度</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rPr>
        <w:t>健全突发、重大疫情防控救治体系和应急响应机制，改革完善疾病预防控制体系，将预防关口前移。突出重点人群、防控重大疾病，有效推行以全科医生为核心的家庭医生团队服务模式。健全社区卫生服务中心临床、医技等科室设置，提高常见病、多发病的诊治能力。</w:t>
      </w:r>
      <w:r>
        <w:rPr>
          <w:rFonts w:hint="eastAsia" w:ascii="仿宋_GB2312" w:hAnsi="仿宋_GB2312" w:eastAsia="仿宋_GB2312" w:cs="仿宋_GB2312"/>
          <w:strike w:val="0"/>
          <w:color w:val="auto"/>
          <w:lang w:eastAsia="zh-CN"/>
        </w:rPr>
        <w:t>加强基层卫生人才队伍建设，努力引进基层医疗实用型人才，加强全科医生的转岗培训工作</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rPr>
        <w:t>按照“镇聘村用”原则，聘选符合条件人员到村卫生站执业，</w:t>
      </w:r>
      <w:r>
        <w:rPr>
          <w:rFonts w:hint="eastAsia" w:ascii="仿宋_GB2312" w:hAnsi="仿宋_GB2312" w:eastAsia="仿宋_GB2312" w:cs="仿宋_GB2312"/>
          <w:sz w:val="32"/>
          <w:szCs w:val="32"/>
          <w:lang w:eastAsia="zh-CN"/>
        </w:rPr>
        <w:t>推动</w:t>
      </w:r>
      <w:r>
        <w:rPr>
          <w:rFonts w:hint="eastAsia" w:ascii="仿宋_GB2312" w:hAnsi="仿宋_GB2312" w:eastAsia="仿宋_GB2312" w:cs="仿宋_GB2312"/>
          <w:sz w:val="32"/>
          <w:szCs w:val="32"/>
        </w:rPr>
        <w:t>镇村医疗资源有机融合。深入开展爱国卫生运动和健康科普宣传，增强自我保健意识和防护能力。切实做好常态化疫情防控工作和职业病防治工作。加快智慧医院和医共体建设，强化中医药发展，实现中西医结合。</w:t>
      </w:r>
    </w:p>
    <w:p>
      <w:pPr>
        <w:pageBreakBefore w:val="0"/>
        <w:widowControl w:val="0"/>
        <w:kinsoku/>
        <w:wordWrap/>
        <w:overflowPunct/>
        <w:topLinePunct w:val="0"/>
        <w:autoSpaceDE/>
        <w:autoSpaceDN/>
        <w:bidi w:val="0"/>
        <w:adjustRightInd/>
        <w:snapToGrid/>
        <w:spacing w:line="600" w:lineRule="exact"/>
        <w:ind w:firstLine="643"/>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加强重点群体健康服务。</w:t>
      </w:r>
      <w:r>
        <w:rPr>
          <w:rFonts w:hint="eastAsia" w:ascii="仿宋_GB2312" w:hAnsi="仿宋_GB2312" w:eastAsia="仿宋_GB2312" w:cs="仿宋_GB2312"/>
          <w:bCs/>
          <w:sz w:val="32"/>
          <w:szCs w:val="32"/>
        </w:rPr>
        <w:t>高标准建设区儿童医院，联合</w:t>
      </w:r>
      <w:r>
        <w:rPr>
          <w:rFonts w:hint="eastAsia" w:ascii="仿宋_GB2312" w:hAnsi="仿宋_GB2312" w:eastAsia="仿宋_GB2312" w:cs="仿宋_GB2312"/>
          <w:bCs/>
          <w:sz w:val="32"/>
          <w:szCs w:val="32"/>
          <w:lang w:eastAsia="zh-CN"/>
        </w:rPr>
        <w:t>核工业</w:t>
      </w:r>
      <w:r>
        <w:rPr>
          <w:rFonts w:hint="eastAsia" w:ascii="仿宋_GB2312" w:hAnsi="仿宋_GB2312" w:eastAsia="仿宋_GB2312" w:cs="仿宋_GB2312"/>
          <w:bCs/>
          <w:sz w:val="32"/>
          <w:szCs w:val="32"/>
        </w:rPr>
        <w:t>四一九医院技术力量，打造具有品牌特色的专科医院，为儿童健康提供优质医疗服务。</w:t>
      </w:r>
      <w:r>
        <w:rPr>
          <w:rFonts w:hint="eastAsia" w:ascii="仿宋_GB2312" w:hAnsi="仿宋_GB2312" w:eastAsia="仿宋_GB2312" w:cs="仿宋_GB2312"/>
          <w:color w:val="auto"/>
        </w:rPr>
        <w:t>对孕产妇、婴幼儿、学生、职业人群和老年人等开展针对性的健康促进行动，加强全生命周期健康维护。</w:t>
      </w:r>
      <w:r>
        <w:rPr>
          <w:rFonts w:hint="eastAsia" w:ascii="仿宋_GB2312" w:hAnsi="仿宋_GB2312" w:eastAsia="仿宋_GB2312" w:cs="仿宋_GB2312"/>
          <w:bCs/>
          <w:sz w:val="32"/>
          <w:szCs w:val="32"/>
        </w:rPr>
        <w:t>开展</w:t>
      </w:r>
      <w:r>
        <w:rPr>
          <w:rFonts w:hint="eastAsia" w:ascii="仿宋_GB2312" w:hAnsi="仿宋_GB2312" w:eastAsia="仿宋_GB2312" w:cs="仿宋_GB2312"/>
          <w:sz w:val="32"/>
          <w:szCs w:val="32"/>
        </w:rPr>
        <w:t>高血压、</w:t>
      </w:r>
      <w:r>
        <w:rPr>
          <w:rFonts w:hint="eastAsia" w:ascii="仿宋_GB2312" w:hAnsi="仿宋_GB2312" w:eastAsia="仿宋_GB2312" w:cs="仿宋_GB2312"/>
          <w:color w:val="auto"/>
          <w:sz w:val="32"/>
          <w:szCs w:val="32"/>
        </w:rPr>
        <w:t>糖尿病</w:t>
      </w: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bCs/>
          <w:color w:val="auto"/>
          <w:szCs w:val="32"/>
          <w:lang w:eastAsia="zh-CN"/>
        </w:rPr>
        <w:t>妇女两癌</w:t>
      </w:r>
      <w:r>
        <w:rPr>
          <w:rFonts w:hint="eastAsia" w:ascii="仿宋_GB2312" w:hAnsi="仿宋_GB2312" w:eastAsia="仿宋_GB2312" w:cs="仿宋_GB2312"/>
          <w:color w:val="auto"/>
          <w:szCs w:val="32"/>
        </w:rPr>
        <w:t>（乳腺癌、宫颈癌）</w:t>
      </w:r>
      <w:r>
        <w:rPr>
          <w:rFonts w:hint="eastAsia" w:ascii="仿宋_GB2312" w:hAnsi="仿宋_GB2312" w:eastAsia="仿宋_GB2312" w:cs="仿宋_GB2312"/>
          <w:color w:val="auto"/>
          <w:sz w:val="32"/>
          <w:szCs w:val="32"/>
        </w:rPr>
        <w:t>等慢性病的早期筛查早期</w:t>
      </w:r>
      <w:r>
        <w:rPr>
          <w:rFonts w:hint="eastAsia" w:ascii="仿宋_GB2312" w:hAnsi="仿宋_GB2312" w:eastAsia="仿宋_GB2312" w:cs="仿宋_GB2312"/>
          <w:color w:val="auto"/>
          <w:sz w:val="32"/>
          <w:szCs w:val="32"/>
          <w:lang w:eastAsia="zh-CN"/>
        </w:rPr>
        <w:t>干预</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Cs w:val="32"/>
        </w:rPr>
        <w:t>推进</w:t>
      </w:r>
      <w:r>
        <w:rPr>
          <w:rFonts w:hint="eastAsia" w:ascii="仿宋_GB2312" w:hAnsi="仿宋_GB2312" w:eastAsia="仿宋_GB2312" w:cs="仿宋_GB2312"/>
          <w:color w:val="auto"/>
          <w:szCs w:val="32"/>
          <w:lang w:eastAsia="zh-CN"/>
        </w:rPr>
        <w:t>医疗模式由</w:t>
      </w:r>
      <w:r>
        <w:rPr>
          <w:rFonts w:hint="eastAsia" w:ascii="仿宋_GB2312" w:hAnsi="仿宋_GB2312" w:eastAsia="仿宋_GB2312" w:cs="仿宋_GB2312"/>
          <w:color w:val="auto"/>
          <w:szCs w:val="32"/>
        </w:rPr>
        <w:t>疾病治疗向</w:t>
      </w:r>
      <w:r>
        <w:rPr>
          <w:rFonts w:hint="eastAsia" w:ascii="仿宋_GB2312" w:hAnsi="仿宋_GB2312" w:eastAsia="仿宋_GB2312" w:cs="仿宋_GB2312"/>
          <w:color w:val="auto"/>
        </w:rPr>
        <w:t>预防保健</w:t>
      </w:r>
      <w:r>
        <w:rPr>
          <w:rFonts w:hint="eastAsia" w:ascii="仿宋_GB2312" w:hAnsi="仿宋_GB2312" w:eastAsia="仿宋_GB2312" w:cs="仿宋_GB2312"/>
          <w:color w:val="auto"/>
          <w:szCs w:val="32"/>
        </w:rPr>
        <w:t>转变</w:t>
      </w:r>
      <w:r>
        <w:rPr>
          <w:rFonts w:hint="eastAsia" w:ascii="仿宋_GB2312" w:hAnsi="仿宋_GB2312" w:eastAsia="仿宋_GB2312" w:cs="仿宋_GB2312"/>
          <w:color w:val="auto"/>
          <w:sz w:val="32"/>
          <w:szCs w:val="32"/>
        </w:rPr>
        <w:t>。降低30至70岁</w:t>
      </w:r>
      <w:r>
        <w:rPr>
          <w:rFonts w:hint="eastAsia" w:ascii="仿宋_GB2312" w:hAnsi="仿宋_GB2312" w:eastAsia="仿宋_GB2312" w:cs="仿宋_GB2312"/>
          <w:sz w:val="32"/>
          <w:szCs w:val="32"/>
        </w:rPr>
        <w:t>人群因重大慢性病导致的过早死亡率。加强严重精神障碍</w:t>
      </w:r>
      <w:r>
        <w:rPr>
          <w:rFonts w:hint="eastAsia" w:ascii="仿宋_GB2312" w:hAnsi="仿宋_GB2312" w:eastAsia="仿宋_GB2312" w:cs="仿宋_GB2312"/>
          <w:sz w:val="32"/>
          <w:szCs w:val="32"/>
          <w:lang w:eastAsia="zh-CN"/>
        </w:rPr>
        <w:t>患者</w:t>
      </w:r>
      <w:r>
        <w:rPr>
          <w:rFonts w:hint="eastAsia" w:ascii="仿宋_GB2312" w:hAnsi="仿宋_GB2312" w:eastAsia="仿宋_GB2312" w:cs="仿宋_GB2312"/>
          <w:sz w:val="32"/>
          <w:szCs w:val="32"/>
        </w:rPr>
        <w:t>救治救助，加快社会心理服务体系建设。做好职业病宣传和预防工作。</w:t>
      </w:r>
    </w:p>
    <w:p>
      <w:pPr>
        <w:pStyle w:val="4"/>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sz w:val="32"/>
          <w:szCs w:val="32"/>
        </w:rPr>
      </w:pPr>
      <w:bookmarkStart w:id="305" w:name="_Toc5443"/>
      <w:bookmarkStart w:id="306" w:name="_Toc32357"/>
      <w:bookmarkStart w:id="307" w:name="_Toc16843"/>
      <w:bookmarkStart w:id="308" w:name="_Toc4033"/>
      <w:bookmarkStart w:id="309" w:name="_Toc28349"/>
      <w:bookmarkStart w:id="310" w:name="_Toc30130"/>
      <w:bookmarkStart w:id="311" w:name="_Toc14275"/>
      <w:bookmarkStart w:id="312" w:name="_Toc7375"/>
    </w:p>
    <w:p>
      <w:pPr>
        <w:pStyle w:val="4"/>
        <w:keepNext w:val="0"/>
        <w:keepLines w:val="0"/>
        <w:pageBreakBefore w:val="0"/>
        <w:widowControl w:val="0"/>
        <w:kinsoku/>
        <w:wordWrap/>
        <w:overflowPunct/>
        <w:topLinePunct w:val="0"/>
        <w:autoSpaceDE/>
        <w:autoSpaceDN/>
        <w:bidi w:val="0"/>
        <w:adjustRightInd/>
        <w:snapToGrid/>
        <w:spacing w:line="600" w:lineRule="exact"/>
        <w:jc w:val="center"/>
        <w:textAlignment w:val="auto"/>
        <w:rPr>
          <w:sz w:val="32"/>
          <w:szCs w:val="32"/>
        </w:rPr>
      </w:pPr>
      <w:r>
        <w:rPr>
          <w:rFonts w:hint="eastAsia"/>
          <w:sz w:val="32"/>
          <w:szCs w:val="32"/>
        </w:rPr>
        <w:t>第四节  着力提高社会保障水平</w:t>
      </w:r>
      <w:bookmarkEnd w:id="305"/>
      <w:bookmarkEnd w:id="306"/>
      <w:bookmarkEnd w:id="307"/>
      <w:bookmarkEnd w:id="308"/>
      <w:bookmarkEnd w:id="309"/>
      <w:bookmarkEnd w:id="310"/>
      <w:bookmarkEnd w:id="311"/>
      <w:bookmarkEnd w:id="312"/>
    </w:p>
    <w:p>
      <w:pPr>
        <w:pageBreakBefore w:val="0"/>
        <w:widowControl w:val="0"/>
        <w:kinsoku/>
        <w:wordWrap/>
        <w:overflowPunct/>
        <w:topLinePunct w:val="0"/>
        <w:autoSpaceDE/>
        <w:autoSpaceDN/>
        <w:bidi w:val="0"/>
        <w:adjustRightInd/>
        <w:snapToGrid/>
        <w:spacing w:line="600" w:lineRule="exact"/>
        <w:ind w:firstLine="0" w:firstLineChars="0"/>
        <w:textAlignment w:val="auto"/>
        <w:rPr>
          <w:sz w:val="32"/>
          <w:szCs w:val="32"/>
        </w:rPr>
      </w:pPr>
    </w:p>
    <w:p>
      <w:pPr>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加强底线民生保障，加大社会救助力度，不断提高社会保障水平。积极应对人口老龄化，实现人口与经济社会、资源环境均衡发展。</w:t>
      </w:r>
    </w:p>
    <w:p>
      <w:pPr>
        <w:pageBreakBefore w:val="0"/>
        <w:widowControl w:val="0"/>
        <w:kinsoku/>
        <w:wordWrap/>
        <w:overflowPunct/>
        <w:topLinePunct w:val="0"/>
        <w:autoSpaceDE/>
        <w:autoSpaceDN/>
        <w:bidi w:val="0"/>
        <w:adjustRightInd/>
        <w:snapToGrid/>
        <w:spacing w:line="600" w:lineRule="exact"/>
        <w:ind w:firstLine="643"/>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b/>
          <w:bCs/>
          <w:sz w:val="32"/>
          <w:szCs w:val="32"/>
        </w:rPr>
        <w:t>落实社会保障政策。</w:t>
      </w:r>
      <w:r>
        <w:rPr>
          <w:rFonts w:hint="eastAsia" w:ascii="仿宋_GB2312" w:hAnsi="仿宋_GB2312" w:eastAsia="仿宋_GB2312" w:cs="仿宋_GB2312"/>
          <w:sz w:val="32"/>
          <w:szCs w:val="32"/>
        </w:rPr>
        <w:t>建成覆盖全民、城乡统筹、公平统一、可持续的多层次社会保障体系。巩固扩大社会保险扩面征缴成果</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lang w:eastAsia="zh-CN"/>
        </w:rPr>
        <w:t>落实</w:t>
      </w:r>
      <w:r>
        <w:rPr>
          <w:rFonts w:hint="eastAsia" w:ascii="仿宋_GB2312" w:hAnsi="仿宋_GB2312" w:eastAsia="仿宋_GB2312" w:cs="仿宋_GB2312"/>
          <w:color w:val="000000" w:themeColor="text1"/>
          <w:sz w:val="32"/>
          <w:szCs w:val="32"/>
        </w:rPr>
        <w:t>养老、工伤、失业保险</w:t>
      </w:r>
      <w:r>
        <w:rPr>
          <w:rFonts w:hint="eastAsia" w:ascii="仿宋_GB2312" w:hAnsi="仿宋_GB2312" w:eastAsia="仿宋_GB2312" w:cs="仿宋_GB2312"/>
          <w:color w:val="000000" w:themeColor="text1"/>
          <w:sz w:val="32"/>
          <w:szCs w:val="32"/>
          <w:lang w:eastAsia="zh-CN"/>
        </w:rPr>
        <w:t>相关政策</w:t>
      </w:r>
      <w:r>
        <w:rPr>
          <w:rFonts w:hint="eastAsia" w:ascii="仿宋_GB2312" w:hAnsi="仿宋_GB2312" w:eastAsia="仿宋_GB2312" w:cs="仿宋_GB2312"/>
          <w:color w:val="000000" w:themeColor="text1"/>
          <w:sz w:val="32"/>
          <w:szCs w:val="32"/>
        </w:rPr>
        <w:t>。落</w:t>
      </w:r>
      <w:r>
        <w:rPr>
          <w:rFonts w:hint="eastAsia" w:ascii="仿宋_GB2312" w:hAnsi="仿宋_GB2312" w:eastAsia="仿宋_GB2312" w:cs="仿宋_GB2312"/>
          <w:sz w:val="32"/>
          <w:szCs w:val="32"/>
        </w:rPr>
        <w:t>实各项扶贫和社会救助政策，根据政策</w:t>
      </w:r>
      <w:r>
        <w:rPr>
          <w:rFonts w:hint="eastAsia" w:ascii="仿宋_GB2312" w:hAnsi="仿宋_GB2312" w:eastAsia="仿宋_GB2312" w:cs="仿宋_GB2312"/>
          <w:sz w:val="32"/>
          <w:szCs w:val="32"/>
          <w:lang w:eastAsia="zh-CN"/>
        </w:rPr>
        <w:t>逐年</w:t>
      </w:r>
      <w:r>
        <w:rPr>
          <w:rFonts w:hint="eastAsia" w:ascii="仿宋_GB2312" w:hAnsi="仿宋_GB2312" w:eastAsia="仿宋_GB2312" w:cs="仿宋_GB2312"/>
          <w:sz w:val="32"/>
          <w:szCs w:val="32"/>
        </w:rPr>
        <w:t>提高低保、特困人员、孤儿和残疾人补贴标准，提高弱势群体保障水平。做好流浪乞讨人员救助管理工作。强化政府对贫困人员参加社会保险、享受相应社会保险待遇的托底责任，实现对贫困人口的兜底保障。全面落实优化生育政策，发展普惠托育服务体系，降低生育、养育、教育成本。落实独生子女政策，关爱失独家庭。完善医疗保障“一站式”结算，持续抓好异地就医直接结算。</w:t>
      </w:r>
    </w:p>
    <w:p>
      <w:pPr>
        <w:pageBreakBefore w:val="0"/>
        <w:widowControl w:val="0"/>
        <w:kinsoku/>
        <w:wordWrap/>
        <w:overflowPunct/>
        <w:topLinePunct w:val="0"/>
        <w:autoSpaceDE/>
        <w:autoSpaceDN/>
        <w:bidi w:val="0"/>
        <w:adjustRightInd/>
        <w:snapToGrid/>
        <w:spacing w:line="600" w:lineRule="exact"/>
        <w:ind w:firstLine="643"/>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完善社会福利服务体系。</w:t>
      </w:r>
      <w:r>
        <w:rPr>
          <w:rFonts w:hint="eastAsia" w:ascii="仿宋_GB2312" w:hAnsi="仿宋_GB2312" w:eastAsia="仿宋_GB2312" w:cs="仿宋_GB2312"/>
          <w:sz w:val="32"/>
          <w:szCs w:val="32"/>
        </w:rPr>
        <w:t>健全农村留守儿童和妇女、老年人关爱服务体系。加强退役军人事务管理，加快提升退役军人服务体系建设。大力做好“双拥”优抚安置工作，提高优抚对象保障标准。加快发展养老服务业，完善养老机构设施，继续做好长者饭堂、农村养老服务等民生项目。支持残疾人事业发展，保障残疾人合法权益，加大对残疾人生产扶助和生活救助力度，加强残疾康复服务。培育和规范社会慈善组织，鼓励社会力量投入社会福利事业，拓展社会志愿服务，扶持发展社会慈善事业。</w:t>
      </w:r>
    </w:p>
    <w:p>
      <w:pPr>
        <w:pageBreakBefore w:val="0"/>
        <w:widowControl w:val="0"/>
        <w:kinsoku/>
        <w:wordWrap/>
        <w:overflowPunct/>
        <w:topLinePunct w:val="0"/>
        <w:autoSpaceDE/>
        <w:autoSpaceDN/>
        <w:bidi w:val="0"/>
        <w:adjustRightInd/>
        <w:snapToGrid/>
        <w:spacing w:line="600" w:lineRule="exact"/>
        <w:ind w:firstLine="643"/>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积极应对人口老龄化。</w:t>
      </w:r>
      <w:r>
        <w:rPr>
          <w:rFonts w:hint="eastAsia" w:ascii="仿宋_GB2312" w:hAnsi="仿宋_GB2312" w:eastAsia="仿宋_GB2312" w:cs="仿宋_GB2312"/>
          <w:sz w:val="32"/>
          <w:szCs w:val="32"/>
        </w:rPr>
        <w:t>加快发展养老服务业，建立居家养老为基础、社区养老为依托、机构养老为支撑的功能完善、规模适度、覆盖城乡的养老服务体系。实施渐进式延迟法定退休年龄，发展普惠型养老服务和互助性养老。发展医养康养产业，培育养老新业态。加大财政投入力度，鼓励社会力量参与，多渠道多方式筹集社会资金兴办养老机构，支持社区建立健全居家养老服务网点。完善养老及康复设施建设，把龙归敬老院建设为区养老中心。落实独生子女政策，关爱失独家庭。</w:t>
      </w:r>
    </w:p>
    <w:p>
      <w:pPr>
        <w:pageBreakBefore w:val="0"/>
        <w:widowControl w:val="0"/>
        <w:kinsoku/>
        <w:wordWrap/>
        <w:overflowPunct/>
        <w:topLinePunct w:val="0"/>
        <w:autoSpaceDE/>
        <w:autoSpaceDN/>
        <w:bidi w:val="0"/>
        <w:adjustRightInd/>
        <w:snapToGrid/>
        <w:spacing w:line="600" w:lineRule="exact"/>
        <w:ind w:firstLine="64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提高城乡居民收入。</w:t>
      </w:r>
      <w:r>
        <w:rPr>
          <w:rFonts w:hint="eastAsia" w:ascii="仿宋_GB2312" w:hAnsi="仿宋_GB2312" w:eastAsia="仿宋_GB2312" w:cs="仿宋_GB2312"/>
          <w:sz w:val="32"/>
          <w:szCs w:val="32"/>
        </w:rPr>
        <w:t>坚持按劳分配为主，多种分配方式并存，完善再分配机制，逐步扩大中等收入群体比重，规范收入分配秩序，缩小城乡、区域、群体间收入差距，促进共同富裕。拓宽居民劳动收入和财产性收入渠道，坚持多劳多得，保障农民公平分享土地增值收益。</w:t>
      </w:r>
      <w:r>
        <w:rPr>
          <w:rFonts w:hint="eastAsia" w:ascii="仿宋_GB2312" w:hAnsi="仿宋_GB2312" w:eastAsia="仿宋_GB2312" w:cs="仿宋_GB2312"/>
          <w:sz w:val="32"/>
          <w:szCs w:val="32"/>
          <w:lang w:eastAsia="zh-CN"/>
        </w:rPr>
        <w:t>引导芙蓉新城各村盘活经济发展用地，增加村集体和村民收益。</w:t>
      </w:r>
      <w:r>
        <w:rPr>
          <w:rFonts w:hint="eastAsia" w:ascii="仿宋_GB2312" w:hAnsi="仿宋_GB2312" w:eastAsia="仿宋_GB2312" w:cs="仿宋_GB2312"/>
          <w:sz w:val="32"/>
          <w:szCs w:val="32"/>
        </w:rPr>
        <w:t>激发技能人才、新型职业农民、科研人员等重点群体活力带动居民增收。完善与经济发展相适应的最低工资标准调整机制。调整和优化公共财政支出结构，加大民生投入。落实特困人员、困境儿童、残疾人等重点群体的各项补贴扶助政策。</w:t>
      </w:r>
    </w:p>
    <w:p>
      <w:pPr>
        <w:pStyle w:val="2"/>
        <w:ind w:left="0" w:leftChars="0" w:firstLine="0" w:firstLineChars="0"/>
      </w:pPr>
    </w:p>
    <w:p>
      <w:pPr>
        <w:pStyle w:val="2"/>
        <w:ind w:left="0" w:leftChars="0" w:firstLine="0" w:firstLineChars="0"/>
      </w:pPr>
    </w:p>
    <w:p>
      <w:pPr>
        <w:pStyle w:val="4"/>
        <w:keepNext w:val="0"/>
        <w:keepLines w:val="0"/>
        <w:pageBreakBefore w:val="0"/>
        <w:widowControl w:val="0"/>
        <w:kinsoku/>
        <w:wordWrap/>
        <w:overflowPunct/>
        <w:topLinePunct w:val="0"/>
        <w:autoSpaceDE/>
        <w:autoSpaceDN/>
        <w:bidi w:val="0"/>
        <w:adjustRightInd/>
        <w:snapToGrid/>
        <w:spacing w:line="600" w:lineRule="exact"/>
        <w:textAlignment w:val="auto"/>
        <w:rPr>
          <w:sz w:val="32"/>
          <w:szCs w:val="32"/>
        </w:rPr>
      </w:pPr>
      <w:bookmarkStart w:id="313" w:name="_Toc2316"/>
      <w:bookmarkStart w:id="314" w:name="_Toc18936"/>
      <w:bookmarkStart w:id="315" w:name="_Toc17836"/>
      <w:bookmarkStart w:id="316" w:name="_Toc20783"/>
      <w:bookmarkStart w:id="317" w:name="_Toc27381"/>
      <w:bookmarkStart w:id="318" w:name="_Toc25607"/>
      <w:bookmarkStart w:id="319" w:name="_Toc14919"/>
      <w:bookmarkStart w:id="320" w:name="_Toc12022"/>
      <w:r>
        <w:rPr>
          <w:rFonts w:hint="eastAsia"/>
          <w:sz w:val="32"/>
          <w:szCs w:val="32"/>
        </w:rPr>
        <w:t>第五节  大力发展文化体育事业</w:t>
      </w:r>
      <w:bookmarkEnd w:id="313"/>
      <w:bookmarkEnd w:id="314"/>
      <w:bookmarkEnd w:id="315"/>
      <w:bookmarkEnd w:id="316"/>
      <w:bookmarkEnd w:id="317"/>
      <w:bookmarkEnd w:id="318"/>
      <w:bookmarkEnd w:id="319"/>
      <w:bookmarkEnd w:id="320"/>
    </w:p>
    <w:p>
      <w:pPr>
        <w:pageBreakBefore w:val="0"/>
        <w:widowControl w:val="0"/>
        <w:kinsoku/>
        <w:wordWrap/>
        <w:overflowPunct/>
        <w:topLinePunct w:val="0"/>
        <w:autoSpaceDE/>
        <w:autoSpaceDN/>
        <w:bidi w:val="0"/>
        <w:adjustRightInd/>
        <w:snapToGrid/>
        <w:spacing w:line="600" w:lineRule="exact"/>
        <w:ind w:firstLine="0" w:firstLineChars="0"/>
        <w:textAlignment w:val="auto"/>
        <w:rPr>
          <w:sz w:val="32"/>
          <w:szCs w:val="32"/>
        </w:rPr>
      </w:pPr>
    </w:p>
    <w:p>
      <w:pPr>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大力培育和践行社会主义核心价值观，弘扬优秀传统文化和时代精神，提高公民思想道德文化素养。补齐公共文化体育设施短板，保护历史文化资源，积极开展群众性文化体育活动，丰富人民群众精神生活。</w:t>
      </w:r>
    </w:p>
    <w:p>
      <w:pPr>
        <w:pageBreakBefore w:val="0"/>
        <w:widowControl w:val="0"/>
        <w:kinsoku/>
        <w:wordWrap/>
        <w:overflowPunct/>
        <w:topLinePunct w:val="0"/>
        <w:autoSpaceDE/>
        <w:autoSpaceDN/>
        <w:bidi w:val="0"/>
        <w:adjustRightInd/>
        <w:snapToGrid/>
        <w:spacing w:line="600" w:lineRule="exact"/>
        <w:ind w:firstLine="643"/>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弘扬社会主义核心价值观。</w:t>
      </w:r>
      <w:r>
        <w:rPr>
          <w:rFonts w:hint="eastAsia" w:ascii="仿宋_GB2312" w:hAnsi="仿宋_GB2312" w:eastAsia="仿宋_GB2312" w:cs="仿宋_GB2312"/>
          <w:sz w:val="32"/>
          <w:szCs w:val="32"/>
        </w:rPr>
        <w:t>培育和践行社会主义核心价值观，强化宣传中国特色社会主义建设成就，坚定道路自信、理论自信、制度自信、文化自信，持续推动社会主义核心价值观宣传进机关、进农村、进社区、进企业、进校园。规划建设一批弘扬社会主义核心价值观的主题公园、广场和景点，把社会主义核心价值观融入国民教育和精神文明建设全过程。加强和改进未成年人思想道德建设，引导未成年人增强爱国情感、确立远大志向、树立和培育正确的理想信念、规范行为习惯、提高基本素质。开展全国文明城市创建活动，广泛开展思想道德建设，提升市民的人文精神素养、思想道德素质、科学法律素质、文化体育素质、文明礼仪素质。倡导公共文明行为规范，持续提升市民文明素质和城市文明程度。</w:t>
      </w:r>
    </w:p>
    <w:p>
      <w:pPr>
        <w:pageBreakBefore w:val="0"/>
        <w:widowControl w:val="0"/>
        <w:kinsoku/>
        <w:wordWrap/>
        <w:overflowPunct/>
        <w:topLinePunct w:val="0"/>
        <w:autoSpaceDE/>
        <w:autoSpaceDN/>
        <w:bidi w:val="0"/>
        <w:adjustRightInd/>
        <w:snapToGrid/>
        <w:spacing w:line="600" w:lineRule="exact"/>
        <w:ind w:firstLine="643"/>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加快文化体育事业发展。</w:t>
      </w:r>
      <w:r>
        <w:rPr>
          <w:rFonts w:hint="eastAsia" w:ascii="仿宋_GB2312" w:hAnsi="仿宋_GB2312" w:eastAsia="仿宋_GB2312" w:cs="仿宋_GB2312"/>
          <w:sz w:val="32"/>
          <w:szCs w:val="32"/>
        </w:rPr>
        <w:t>不断加强公共文化服务标准化、均等化建设，</w:t>
      </w:r>
      <w:r>
        <w:rPr>
          <w:rFonts w:hint="eastAsia" w:ascii="仿宋_GB2312" w:hAnsi="仿宋_GB2312" w:eastAsia="仿宋_GB2312" w:cs="仿宋_GB2312"/>
          <w:kern w:val="32"/>
          <w:sz w:val="32"/>
          <w:szCs w:val="32"/>
        </w:rPr>
        <w:t>完善城乡文化设施，</w:t>
      </w:r>
      <w:r>
        <w:rPr>
          <w:rFonts w:hint="eastAsia" w:ascii="仿宋_GB2312" w:hAnsi="仿宋_GB2312" w:eastAsia="仿宋_GB2312" w:cs="仿宋_GB2312"/>
          <w:sz w:val="32"/>
          <w:szCs w:val="32"/>
        </w:rPr>
        <w:t>推动“三馆一站”，综合文化服务中心达标提升</w:t>
      </w:r>
      <w:r>
        <w:rPr>
          <w:rFonts w:hint="eastAsia" w:ascii="仿宋_GB2312" w:hAnsi="仿宋_GB2312" w:eastAsia="仿宋_GB2312" w:cs="仿宋_GB2312"/>
          <w:kern w:val="32"/>
          <w:sz w:val="32"/>
          <w:szCs w:val="32"/>
        </w:rPr>
        <w:t>。</w:t>
      </w:r>
      <w:r>
        <w:rPr>
          <w:rFonts w:hint="eastAsia" w:ascii="仿宋_GB2312" w:hAnsi="仿宋_GB2312" w:eastAsia="仿宋_GB2312" w:cs="仿宋_GB2312"/>
          <w:sz w:val="32"/>
          <w:szCs w:val="32"/>
        </w:rPr>
        <w:t>围绕区文化馆、博物馆、图书馆一体化区域布局，推动建成区市民文化中心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打造文化产业带。建好管好用好风度书房，提升居民文化素养</w:t>
      </w:r>
      <w:r>
        <w:rPr>
          <w:rFonts w:hint="eastAsia" w:ascii="仿宋_GB2312" w:hAnsi="仿宋_GB2312" w:eastAsia="仿宋_GB2312" w:cs="仿宋_GB2312"/>
          <w:sz w:val="32"/>
          <w:szCs w:val="32"/>
          <w:lang w:val="en-US" w:eastAsia="zh-CN"/>
        </w:rPr>
        <w:t>,加强文物保护和非遗传承</w:t>
      </w:r>
      <w:r>
        <w:rPr>
          <w:rFonts w:hint="eastAsia" w:ascii="仿宋_GB2312" w:hAnsi="仿宋_GB2312" w:eastAsia="仿宋_GB2312" w:cs="仿宋_GB2312"/>
          <w:sz w:val="32"/>
          <w:szCs w:val="32"/>
        </w:rPr>
        <w:t>。提升档案馆整体功能，充分发挥档案资政育人作用。结合城镇化发展统筹规划体育设施建设，合理布点布局，重点建设一批便民利民的中小型体育场馆、公众健身活动中心、户外多功能球场、健身步道等场地设施。推动综合性公园、公立学校体育设施等各类公共体育设施免费或低收费开放，实现自然村公共体育设施全覆盖。发挥我区历届重大体育赛事品牌优势，打造独具武江特色的体育赛事品牌。</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bookmarkStart w:id="321" w:name="_Toc15552"/>
      <w:bookmarkStart w:id="322" w:name="_Toc18391"/>
      <w:bookmarkStart w:id="323" w:name="_Toc25582"/>
      <w:bookmarkStart w:id="324" w:name="_Toc22795"/>
      <w:bookmarkStart w:id="325" w:name="_Toc1234"/>
      <w:bookmarkStart w:id="326" w:name="_Toc3945"/>
      <w:bookmarkStart w:id="327" w:name="_Toc9223"/>
      <w:bookmarkStart w:id="328" w:name="_Toc16659"/>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sz w:val="32"/>
          <w:szCs w:val="32"/>
        </w:rPr>
      </w:pPr>
      <w:r>
        <w:rPr>
          <w:rFonts w:hint="eastAsia"/>
          <w:sz w:val="32"/>
          <w:szCs w:val="32"/>
        </w:rPr>
        <w:t>第十章  强化安全能力建设，构建社会治理新格局</w:t>
      </w:r>
      <w:bookmarkEnd w:id="321"/>
      <w:bookmarkEnd w:id="322"/>
      <w:bookmarkEnd w:id="323"/>
      <w:bookmarkEnd w:id="324"/>
      <w:bookmarkEnd w:id="325"/>
      <w:bookmarkEnd w:id="326"/>
      <w:bookmarkEnd w:id="327"/>
      <w:bookmarkEnd w:id="328"/>
    </w:p>
    <w:p>
      <w:pPr>
        <w:pageBreakBefore w:val="0"/>
        <w:widowControl w:val="0"/>
        <w:kinsoku/>
        <w:wordWrap/>
        <w:overflowPunct/>
        <w:topLinePunct w:val="0"/>
        <w:autoSpaceDE/>
        <w:autoSpaceDN/>
        <w:bidi w:val="0"/>
        <w:adjustRightInd/>
        <w:snapToGrid/>
        <w:spacing w:line="600" w:lineRule="exact"/>
        <w:ind w:firstLine="0" w:firstLineChars="0"/>
        <w:textAlignment w:val="auto"/>
        <w:rPr>
          <w:sz w:val="32"/>
          <w:szCs w:val="32"/>
        </w:rPr>
      </w:pPr>
    </w:p>
    <w:p>
      <w:pPr>
        <w:pageBreakBefore w:val="0"/>
        <w:widowControl w:val="0"/>
        <w:kinsoku/>
        <w:wordWrap/>
        <w:overflowPunct/>
        <w:topLinePunct w:val="0"/>
        <w:autoSpaceDE/>
        <w:autoSpaceDN/>
        <w:bidi w:val="0"/>
        <w:adjustRightInd/>
        <w:snapToGrid/>
        <w:spacing w:line="600" w:lineRule="exact"/>
        <w:ind w:firstLine="640"/>
        <w:textAlignment w:val="auto"/>
        <w:rPr>
          <w:rFonts w:hint="eastAsia"/>
          <w:sz w:val="32"/>
          <w:szCs w:val="32"/>
        </w:rPr>
      </w:pPr>
      <w:r>
        <w:rPr>
          <w:rFonts w:hint="eastAsia" w:ascii="仿宋_GB2312" w:hAnsi="仿宋_GB2312" w:eastAsia="仿宋_GB2312" w:cs="仿宋_GB2312"/>
          <w:sz w:val="32"/>
          <w:szCs w:val="32"/>
        </w:rPr>
        <w:t>深入贯彻落实总体国家安全观，推进市域社会治理现代化和法治政府建设，提高社会治理社会化、法治化、智能化、专业化水平。不断增强防范化解重大风险能力，构建共建共治共享社会治理新格局，不断稳固有利于经济社会发展的安全环境。</w:t>
      </w:r>
    </w:p>
    <w:p>
      <w:pPr>
        <w:pStyle w:val="2"/>
      </w:pPr>
    </w:p>
    <w:p>
      <w:pPr>
        <w:pStyle w:val="4"/>
        <w:keepNext w:val="0"/>
        <w:keepLines w:val="0"/>
        <w:pageBreakBefore w:val="0"/>
        <w:widowControl w:val="0"/>
        <w:kinsoku/>
        <w:wordWrap/>
        <w:overflowPunct/>
        <w:topLinePunct w:val="0"/>
        <w:autoSpaceDE/>
        <w:autoSpaceDN/>
        <w:bidi w:val="0"/>
        <w:adjustRightInd/>
        <w:snapToGrid/>
        <w:spacing w:line="600" w:lineRule="exact"/>
        <w:textAlignment w:val="auto"/>
        <w:rPr>
          <w:sz w:val="32"/>
          <w:szCs w:val="32"/>
        </w:rPr>
      </w:pPr>
      <w:bookmarkStart w:id="329" w:name="_Toc22686"/>
      <w:bookmarkStart w:id="330" w:name="_Toc19907"/>
      <w:bookmarkStart w:id="331" w:name="_Toc10757"/>
      <w:bookmarkStart w:id="332" w:name="_Toc24995"/>
      <w:bookmarkStart w:id="333" w:name="_Toc7148"/>
      <w:bookmarkStart w:id="334" w:name="_Toc30906"/>
      <w:bookmarkStart w:id="335" w:name="_Toc17553"/>
      <w:bookmarkStart w:id="336" w:name="_Toc13123"/>
      <w:r>
        <w:rPr>
          <w:rFonts w:hint="eastAsia"/>
          <w:sz w:val="32"/>
          <w:szCs w:val="32"/>
        </w:rPr>
        <w:t xml:space="preserve">第一节  </w:t>
      </w:r>
      <w:bookmarkEnd w:id="329"/>
      <w:r>
        <w:rPr>
          <w:rFonts w:hint="eastAsia"/>
          <w:sz w:val="32"/>
          <w:szCs w:val="32"/>
        </w:rPr>
        <w:t>加强国家安全能力建设</w:t>
      </w:r>
      <w:bookmarkEnd w:id="330"/>
      <w:bookmarkEnd w:id="331"/>
      <w:bookmarkEnd w:id="332"/>
      <w:bookmarkEnd w:id="333"/>
      <w:bookmarkEnd w:id="334"/>
      <w:bookmarkEnd w:id="335"/>
      <w:bookmarkEnd w:id="336"/>
    </w:p>
    <w:p>
      <w:pPr>
        <w:pageBreakBefore w:val="0"/>
        <w:widowControl w:val="0"/>
        <w:kinsoku/>
        <w:wordWrap/>
        <w:overflowPunct/>
        <w:topLinePunct w:val="0"/>
        <w:autoSpaceDE/>
        <w:autoSpaceDN/>
        <w:bidi w:val="0"/>
        <w:adjustRightInd/>
        <w:snapToGrid/>
        <w:spacing w:line="600" w:lineRule="exact"/>
        <w:ind w:firstLine="0" w:firstLineChars="0"/>
        <w:textAlignment w:val="auto"/>
        <w:rPr>
          <w:sz w:val="32"/>
          <w:szCs w:val="32"/>
        </w:rPr>
      </w:pPr>
    </w:p>
    <w:p>
      <w:pPr>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落实国家安全战略部署，增强全民国家安全意识，守住安全发展底线。加强立体化、智能化社会治安防控体系建设，保持社会和谐稳定。</w:t>
      </w:r>
    </w:p>
    <w:p>
      <w:pPr>
        <w:pageBreakBefore w:val="0"/>
        <w:widowControl w:val="0"/>
        <w:kinsoku/>
        <w:wordWrap/>
        <w:overflowPunct/>
        <w:topLinePunct w:val="0"/>
        <w:autoSpaceDE/>
        <w:autoSpaceDN/>
        <w:bidi w:val="0"/>
        <w:adjustRightInd/>
        <w:snapToGrid/>
        <w:spacing w:line="600" w:lineRule="exact"/>
        <w:ind w:firstLine="643"/>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全力维护政治安全。</w:t>
      </w:r>
      <w:r>
        <w:rPr>
          <w:rFonts w:hint="eastAsia" w:ascii="仿宋_GB2312" w:hAnsi="仿宋_GB2312" w:eastAsia="仿宋_GB2312" w:cs="仿宋_GB2312"/>
          <w:sz w:val="32"/>
          <w:szCs w:val="32"/>
        </w:rPr>
        <w:t>全面落实国家安全责任制，不断完善我区国家安全工作机制，坚持深化实施维护政治安全专项行动。加强意识形态阵地建设和管理，牢牢掌握意识形态工作的领导权、管理权、话语权。强化信息预警机制，坚持底线思维，不断增强网络舆情处置能力，加大打击邪教破坏和非法宗教活动力度，严密做好重大活动、重要时间节点涉稳群体性事件的预防和处置工作，做到发现在早、防范在先、处置在小。加强国防动员能力建设，强化国家安全宣传教育工作，提升群众国家安全意识，防范政治安全重大风险。</w:t>
      </w:r>
    </w:p>
    <w:p>
      <w:pPr>
        <w:pageBreakBefore w:val="0"/>
        <w:widowControl w:val="0"/>
        <w:kinsoku/>
        <w:wordWrap/>
        <w:overflowPunct/>
        <w:topLinePunct w:val="0"/>
        <w:autoSpaceDE/>
        <w:autoSpaceDN/>
        <w:bidi w:val="0"/>
        <w:adjustRightInd/>
        <w:snapToGrid/>
        <w:spacing w:line="600" w:lineRule="exact"/>
        <w:ind w:firstLine="643"/>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保障经济安全。</w:t>
      </w:r>
      <w:r>
        <w:rPr>
          <w:rFonts w:hint="eastAsia" w:ascii="仿宋_GB2312" w:hAnsi="仿宋_GB2312" w:eastAsia="仿宋_GB2312" w:cs="仿宋_GB2312"/>
          <w:sz w:val="32"/>
          <w:szCs w:val="32"/>
        </w:rPr>
        <w:t>扛起粮食安全政治责任，死守耕地红线，推动农业供给侧结构性改革，推动品种培优、品质提升、品牌打造和标准化生产，稳定粮食生产，保障粮食安全。大力发展新能源发电，加强电力供应保障，提高电力调峰和应急能力，强化油气管道、重要运输通道等重要能源基础设施安全防护，完善能源应急预案，增强应急状态下的能源系统风险防范能力，保障能源安全。管控金融风险，守住不发生区域性系统性金融风险底线。防范化解政府债务风险，防治经济领域风险向社会、民生领域传导，保障金融安全。</w:t>
      </w:r>
    </w:p>
    <w:p>
      <w:pPr>
        <w:pStyle w:val="4"/>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sz w:val="32"/>
          <w:szCs w:val="32"/>
        </w:rPr>
      </w:pPr>
      <w:bookmarkStart w:id="337" w:name="_Toc29388"/>
      <w:bookmarkStart w:id="338" w:name="_Toc32518"/>
      <w:bookmarkStart w:id="339" w:name="_Toc26606"/>
      <w:bookmarkStart w:id="340" w:name="_Toc2002"/>
      <w:bookmarkStart w:id="341" w:name="_Toc18723"/>
    </w:p>
    <w:p>
      <w:pPr>
        <w:pStyle w:val="4"/>
        <w:keepNext w:val="0"/>
        <w:keepLines w:val="0"/>
        <w:pageBreakBefore w:val="0"/>
        <w:widowControl w:val="0"/>
        <w:kinsoku/>
        <w:wordWrap/>
        <w:overflowPunct/>
        <w:topLinePunct w:val="0"/>
        <w:autoSpaceDE/>
        <w:autoSpaceDN/>
        <w:bidi w:val="0"/>
        <w:adjustRightInd/>
        <w:snapToGrid/>
        <w:spacing w:line="600" w:lineRule="exact"/>
        <w:jc w:val="center"/>
        <w:textAlignment w:val="auto"/>
        <w:rPr>
          <w:sz w:val="32"/>
          <w:szCs w:val="32"/>
        </w:rPr>
      </w:pPr>
      <w:bookmarkStart w:id="342" w:name="_Toc12197"/>
      <w:bookmarkStart w:id="343" w:name="_Toc17465"/>
      <w:r>
        <w:rPr>
          <w:rFonts w:hint="eastAsia"/>
          <w:sz w:val="32"/>
          <w:szCs w:val="32"/>
        </w:rPr>
        <w:t>第二节  保障社会公共安全</w:t>
      </w:r>
      <w:bookmarkEnd w:id="337"/>
      <w:bookmarkEnd w:id="338"/>
      <w:bookmarkEnd w:id="339"/>
      <w:bookmarkEnd w:id="340"/>
      <w:bookmarkEnd w:id="341"/>
      <w:bookmarkEnd w:id="342"/>
      <w:bookmarkEnd w:id="343"/>
    </w:p>
    <w:p>
      <w:pPr>
        <w:pageBreakBefore w:val="0"/>
        <w:widowControl w:val="0"/>
        <w:kinsoku/>
        <w:wordWrap/>
        <w:overflowPunct/>
        <w:topLinePunct w:val="0"/>
        <w:autoSpaceDE/>
        <w:autoSpaceDN/>
        <w:bidi w:val="0"/>
        <w:adjustRightInd/>
        <w:snapToGrid/>
        <w:spacing w:line="600" w:lineRule="exact"/>
        <w:ind w:firstLine="640"/>
        <w:textAlignment w:val="auto"/>
        <w:rPr>
          <w:sz w:val="32"/>
          <w:szCs w:val="32"/>
        </w:rPr>
      </w:pPr>
    </w:p>
    <w:p>
      <w:pPr>
        <w:pStyle w:val="8"/>
        <w:keepNext w:val="0"/>
        <w:keepLines w:val="0"/>
        <w:pageBreakBefore w:val="0"/>
        <w:widowControl w:val="0"/>
        <w:kinsoku/>
        <w:wordWrap/>
        <w:overflowPunct/>
        <w:topLinePunct w:val="0"/>
        <w:autoSpaceDE/>
        <w:autoSpaceDN/>
        <w:bidi w:val="0"/>
        <w:adjustRightInd/>
        <w:snapToGrid/>
        <w:spacing w:before="0" w:after="0" w:line="600" w:lineRule="exact"/>
        <w:ind w:firstLine="64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坚持人民至上、生命至上，进一步健全公共安全体系，全面提升公共安全保障能力，保障人民生命财产安全，不断增强人民群众安全感。</w:t>
      </w:r>
    </w:p>
    <w:p>
      <w:pPr>
        <w:pageBreakBefore w:val="0"/>
        <w:widowControl w:val="0"/>
        <w:kinsoku/>
        <w:wordWrap/>
        <w:overflowPunct/>
        <w:topLinePunct w:val="0"/>
        <w:autoSpaceDE/>
        <w:autoSpaceDN/>
        <w:bidi w:val="0"/>
        <w:adjustRightInd/>
        <w:snapToGrid/>
        <w:spacing w:line="600" w:lineRule="exact"/>
        <w:ind w:firstLine="64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rPr>
        <w:t>提高安全生产水平。</w:t>
      </w:r>
      <w:r>
        <w:rPr>
          <w:rFonts w:hint="eastAsia" w:ascii="仿宋_GB2312" w:hAnsi="仿宋_GB2312" w:eastAsia="仿宋_GB2312" w:cs="仿宋_GB2312"/>
          <w:sz w:val="32"/>
          <w:szCs w:val="32"/>
        </w:rPr>
        <w:t>改革创新安全生产监管机制，健全完善安全生产委员会“双主任”制，强化党政同责。全面推行安全生产“一线三排”工作机制，提升防范化解系统性重大安全风险能力。强化企业主要负责人安全生产责任，强化安全风险源头治理。深入推进安全生产领域改革发展，优化安全生产工作机制，明确党政领导班子成员安全生产工作内容及职责，强化党政领导干部安全生产工作责任。扩充基层监管力量，通过在职培训、岗位轮训、参加上级培训等，加大危化监管专业人才储备。开展危险化工品、非煤矿山、冶金等重点行业隐患排查和专项整治活动</w:t>
      </w:r>
      <w:r>
        <w:rPr>
          <w:rFonts w:hint="eastAsia" w:ascii="仿宋_GB2312" w:hAnsi="仿宋_GB2312" w:eastAsia="仿宋_GB2312" w:cs="仿宋_GB2312"/>
          <w:sz w:val="32"/>
          <w:szCs w:val="32"/>
          <w:lang w:eastAsia="zh-CN"/>
        </w:rPr>
        <w:t>，常态化开展安全生产演练。</w:t>
      </w:r>
    </w:p>
    <w:p>
      <w:pPr>
        <w:pageBreakBefore w:val="0"/>
        <w:widowControl w:val="0"/>
        <w:kinsoku/>
        <w:wordWrap/>
        <w:overflowPunct/>
        <w:topLinePunct w:val="0"/>
        <w:autoSpaceDE/>
        <w:autoSpaceDN/>
        <w:bidi w:val="0"/>
        <w:adjustRightInd/>
        <w:snapToGrid/>
        <w:spacing w:line="600" w:lineRule="exact"/>
        <w:ind w:firstLine="643"/>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保障食品药品安全。</w:t>
      </w:r>
      <w:r>
        <w:rPr>
          <w:rFonts w:hint="eastAsia" w:ascii="仿宋_GB2312" w:hAnsi="仿宋_GB2312" w:eastAsia="仿宋_GB2312" w:cs="仿宋_GB2312"/>
          <w:sz w:val="32"/>
          <w:szCs w:val="32"/>
        </w:rPr>
        <w:t>实施食品药品安全战略，建立健全食品药品质量安全监管体系。落实食品安全法规和食品安全标准管理制度，强化食品安全属地管理责任和食品安全企业主体责任。完善食品安全检验检测体系，加强食品安全应急处置。加强冷链食品流通环节防疫监管和检测力度，排查冷冻冷藏食品风险隐患。加强食品安全监管，综合治理食品生产小作坊，持续开展集体食堂、食品保健食品欺诈和虚假宣传、网络订餐等专项治理。重点加强对养老机构、福利院、校外托管机构等食品安全的监督检查，抓好农村食品安全治理，规范农村食品市场秩序。打击捕食野生动物违法犯罪行为。强化药品安全治理，加强高风险药品的重点监管，探索开展多维度药品安全监管体系评估，推动建立药品安全风险研判会商机制。加强疫苗监管，着重完善疫苗流通、接种等环节监管。加强源头治理，推进食品药品安全智慧监管建设，实行全产业链可追溯管理。加强食品药品网络销售监管，依法严厉打击制贩伪劣食品药品违法犯罪活动。</w:t>
      </w:r>
    </w:p>
    <w:p>
      <w:pPr>
        <w:pageBreakBefore w:val="0"/>
        <w:widowControl w:val="0"/>
        <w:kinsoku/>
        <w:wordWrap/>
        <w:overflowPunct/>
        <w:topLinePunct w:val="0"/>
        <w:autoSpaceDE/>
        <w:autoSpaceDN/>
        <w:bidi w:val="0"/>
        <w:adjustRightInd/>
        <w:snapToGrid/>
        <w:spacing w:line="600" w:lineRule="exact"/>
        <w:ind w:firstLine="643"/>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bCs/>
          <w:sz w:val="32"/>
          <w:szCs w:val="32"/>
        </w:rPr>
        <w:t>完善应急防控体系。</w:t>
      </w:r>
      <w:r>
        <w:rPr>
          <w:rFonts w:hint="eastAsia" w:ascii="仿宋_GB2312" w:hAnsi="仿宋_GB2312" w:eastAsia="仿宋_GB2312" w:cs="仿宋_GB2312"/>
          <w:sz w:val="32"/>
          <w:szCs w:val="32"/>
        </w:rPr>
        <w:t>健全应急管理体制和应急能力体系，构建统一指挥、专常兼备、反应灵敏、上下联动的应急管理机制</w:t>
      </w:r>
      <w:r>
        <w:rPr>
          <w:rFonts w:hint="eastAsia" w:ascii="仿宋_GB2312" w:hAnsi="仿宋_GB2312" w:eastAsia="仿宋_GB2312" w:cs="仿宋_GB2312"/>
          <w:bCs/>
          <w:sz w:val="32"/>
          <w:szCs w:val="32"/>
        </w:rPr>
        <w:t>。</w:t>
      </w:r>
      <w:r>
        <w:rPr>
          <w:rFonts w:hint="eastAsia" w:ascii="仿宋_GB2312" w:hAnsi="仿宋_GB2312" w:eastAsia="仿宋_GB2312" w:cs="仿宋_GB2312"/>
          <w:sz w:val="32"/>
          <w:szCs w:val="32"/>
        </w:rPr>
        <w:t>加快完善应急综合指挥调度中心、应急救援队伍实训平台和训练基地，</w:t>
      </w:r>
      <w:r>
        <w:rPr>
          <w:rFonts w:hint="eastAsia" w:ascii="仿宋_GB2312" w:hAnsi="仿宋_GB2312" w:eastAsia="仿宋_GB2312" w:cs="仿宋_GB2312"/>
          <w:bCs/>
          <w:sz w:val="32"/>
          <w:szCs w:val="32"/>
        </w:rPr>
        <w:t>健全“一盘棋”应急响应和重大突发事件“四个一”应急处置机制。健全自然灾害“一体三预”工作机制，</w:t>
      </w:r>
      <w:r>
        <w:rPr>
          <w:rFonts w:hint="eastAsia" w:ascii="仿宋_GB2312" w:hAnsi="仿宋_GB2312" w:eastAsia="仿宋_GB2312" w:cs="仿宋_GB2312"/>
          <w:sz w:val="32"/>
          <w:szCs w:val="32"/>
        </w:rPr>
        <w:t>加强对自然灾害重点领域的排查和治理，加强应急物资储备保障体系建设，提高防灾、减灾、抗灾、救灾能力。</w:t>
      </w:r>
      <w:r>
        <w:rPr>
          <w:rFonts w:hint="eastAsia" w:ascii="仿宋_GB2312" w:hAnsi="仿宋_GB2312" w:eastAsia="仿宋_GB2312" w:cs="仿宋_GB2312"/>
          <w:bCs/>
          <w:sz w:val="32"/>
          <w:szCs w:val="32"/>
        </w:rPr>
        <w:t>加强应急通信、消防等应急公共基础设施建设。优化统筹危险化学品、矿山、森林消防、防汛等专业应急救援力量建设，推动消防应急救援队伍向全灾种综合救援转变。</w:t>
      </w:r>
    </w:p>
    <w:p>
      <w:pPr>
        <w:pageBreakBefore w:val="0"/>
        <w:widowControl w:val="0"/>
        <w:kinsoku/>
        <w:wordWrap/>
        <w:overflowPunct/>
        <w:topLinePunct w:val="0"/>
        <w:autoSpaceDE/>
        <w:autoSpaceDN/>
        <w:bidi w:val="0"/>
        <w:adjustRightInd/>
        <w:snapToGrid/>
        <w:spacing w:line="600" w:lineRule="exact"/>
        <w:ind w:firstLine="640"/>
        <w:textAlignment w:val="auto"/>
        <w:rPr>
          <w:bCs/>
          <w:sz w:val="32"/>
          <w:szCs w:val="32"/>
        </w:rPr>
      </w:pPr>
    </w:p>
    <w:p>
      <w:pPr>
        <w:pStyle w:val="4"/>
        <w:keepNext w:val="0"/>
        <w:keepLines w:val="0"/>
        <w:pageBreakBefore w:val="0"/>
        <w:widowControl w:val="0"/>
        <w:kinsoku/>
        <w:wordWrap/>
        <w:overflowPunct/>
        <w:topLinePunct w:val="0"/>
        <w:autoSpaceDE/>
        <w:autoSpaceDN/>
        <w:bidi w:val="0"/>
        <w:adjustRightInd/>
        <w:snapToGrid/>
        <w:spacing w:line="600" w:lineRule="exact"/>
        <w:textAlignment w:val="auto"/>
        <w:rPr>
          <w:sz w:val="32"/>
          <w:szCs w:val="32"/>
        </w:rPr>
      </w:pPr>
      <w:bookmarkStart w:id="344" w:name="_Toc31306"/>
      <w:bookmarkStart w:id="345" w:name="_Toc13487"/>
      <w:bookmarkStart w:id="346" w:name="_Toc25583"/>
      <w:bookmarkStart w:id="347" w:name="_Toc14661"/>
      <w:bookmarkStart w:id="348" w:name="_Toc22946"/>
      <w:bookmarkStart w:id="349" w:name="_Toc29108"/>
      <w:bookmarkStart w:id="350" w:name="_Toc11887"/>
      <w:r>
        <w:rPr>
          <w:rFonts w:hint="eastAsia"/>
          <w:sz w:val="32"/>
          <w:szCs w:val="32"/>
        </w:rPr>
        <w:t>第三节  深化法治武江建设</w:t>
      </w:r>
      <w:bookmarkEnd w:id="344"/>
      <w:bookmarkEnd w:id="345"/>
      <w:bookmarkEnd w:id="346"/>
      <w:bookmarkEnd w:id="347"/>
      <w:bookmarkEnd w:id="348"/>
      <w:bookmarkEnd w:id="349"/>
      <w:bookmarkEnd w:id="350"/>
    </w:p>
    <w:p>
      <w:pPr>
        <w:pageBreakBefore w:val="0"/>
        <w:widowControl w:val="0"/>
        <w:kinsoku/>
        <w:wordWrap/>
        <w:overflowPunct/>
        <w:topLinePunct w:val="0"/>
        <w:autoSpaceDE/>
        <w:autoSpaceDN/>
        <w:bidi w:val="0"/>
        <w:adjustRightInd/>
        <w:snapToGrid/>
        <w:spacing w:line="600" w:lineRule="exact"/>
        <w:ind w:firstLine="640"/>
        <w:textAlignment w:val="auto"/>
        <w:rPr>
          <w:sz w:val="32"/>
          <w:szCs w:val="32"/>
        </w:rPr>
      </w:pPr>
    </w:p>
    <w:p>
      <w:pPr>
        <w:pStyle w:val="8"/>
        <w:keepNext w:val="0"/>
        <w:keepLines w:val="0"/>
        <w:pageBreakBefore w:val="0"/>
        <w:widowControl w:val="0"/>
        <w:kinsoku/>
        <w:wordWrap/>
        <w:overflowPunct/>
        <w:topLinePunct w:val="0"/>
        <w:autoSpaceDE/>
        <w:autoSpaceDN/>
        <w:bidi w:val="0"/>
        <w:adjustRightInd/>
        <w:snapToGrid/>
        <w:spacing w:before="0" w:after="0" w:line="600" w:lineRule="exact"/>
        <w:ind w:firstLine="640"/>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坚持依法治区、依法行政共同推进，推动法治政府、法治社会一体建设，加强和创新社会治理，提升社会治理智能化、科学化、精准化水平，大力营造共治共享社会治理格局。</w:t>
      </w:r>
    </w:p>
    <w:p>
      <w:pPr>
        <w:pStyle w:val="2"/>
        <w:pageBreakBefore w:val="0"/>
        <w:widowControl w:val="0"/>
        <w:kinsoku/>
        <w:wordWrap/>
        <w:overflowPunct/>
        <w:topLinePunct w:val="0"/>
        <w:autoSpaceDE/>
        <w:autoSpaceDN/>
        <w:bidi w:val="0"/>
        <w:adjustRightInd/>
        <w:snapToGrid/>
        <w:spacing w:line="600" w:lineRule="exact"/>
        <w:ind w:firstLine="643"/>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深入推进法治政府建设。</w:t>
      </w:r>
      <w:r>
        <w:rPr>
          <w:rFonts w:hint="eastAsia" w:ascii="仿宋_GB2312" w:hAnsi="仿宋_GB2312" w:eastAsia="仿宋_GB2312" w:cs="仿宋_GB2312"/>
          <w:sz w:val="32"/>
          <w:szCs w:val="32"/>
        </w:rPr>
        <w:t>深入推进依法行政，提高运用法治思维和法治方式的能力，规范重大行政决策程序，促进行政决策科学、民主、依法。健全依法决策责任落实机制。健全完善政府法律顾问和公职律师制度，完善合法性审查机制，夯实决策部门法律论证主体责任。加强执法规范化建设，严格规范公正文明执法，全面推行行政执法公示、全过程记录、法制审核“三项制度”。规范行政执法自由裁量权建设。推进跨领域跨部门和乡镇（街道）综合执法改革。健全行政执法与刑事司法衔接机制。坚决取消不必要的交叉重复执法事项，探索建立跨领域跨部门综合执法机制，做好行政复议和行政应诉工作，强化行政执法与刑事司法衔接。建立健全公益诉讼工作机制与基层政府法律顾问制度，提升基层依法行政能力。</w:t>
      </w:r>
    </w:p>
    <w:p>
      <w:pPr>
        <w:pageBreakBefore w:val="0"/>
        <w:widowControl w:val="0"/>
        <w:kinsoku/>
        <w:wordWrap/>
        <w:overflowPunct/>
        <w:topLinePunct w:val="0"/>
        <w:autoSpaceDE/>
        <w:autoSpaceDN/>
        <w:bidi w:val="0"/>
        <w:adjustRightInd/>
        <w:snapToGrid/>
        <w:spacing w:line="600" w:lineRule="exact"/>
        <w:ind w:firstLine="643"/>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加快法治社会建设。</w:t>
      </w:r>
      <w:r>
        <w:rPr>
          <w:rFonts w:hint="eastAsia" w:ascii="仿宋_GB2312" w:hAnsi="仿宋_GB2312" w:eastAsia="仿宋_GB2312" w:cs="仿宋_GB2312"/>
          <w:sz w:val="32"/>
          <w:szCs w:val="32"/>
        </w:rPr>
        <w:t>加大全民普法工作力度，深入开展“八五”普法，广泛开展宪法、民法典普法工作。健全领导干部和国家工作人员学法用法机制，推动旁听案件庭审活动制度化常态化，继续推进“谁执法谁普法”工作，提高全民法治意识，营造尊法学法守法用法良好氛围。完善公共法律服务体系，推进全省示范性公共法律服务工作站（室）建设。加强一站式多元解纷和诉讼服务体系的硬件设施建设，满足人民群众日益增长的司法需求。加强法治宣传教育，强化执法队伍法律意识，引导全社会形成办事依法、遇事找法、解决问题用法、化解矛盾靠法的良好风尚和社会秩序。大力发展律师、公证、仲裁等现代法律服务业，促进公共法律服务多元化、专业化。</w:t>
      </w:r>
    </w:p>
    <w:p>
      <w:pPr>
        <w:pStyle w:val="4"/>
        <w:keepNext w:val="0"/>
        <w:keepLines w:val="0"/>
        <w:pageBreakBefore w:val="0"/>
        <w:widowControl w:val="0"/>
        <w:kinsoku/>
        <w:wordWrap/>
        <w:overflowPunct/>
        <w:topLinePunct w:val="0"/>
        <w:autoSpaceDE/>
        <w:autoSpaceDN/>
        <w:bidi w:val="0"/>
        <w:adjustRightInd/>
        <w:snapToGrid/>
        <w:spacing w:line="600" w:lineRule="exact"/>
        <w:jc w:val="center"/>
        <w:textAlignment w:val="auto"/>
        <w:rPr>
          <w:sz w:val="32"/>
          <w:szCs w:val="32"/>
        </w:rPr>
      </w:pPr>
      <w:bookmarkStart w:id="351" w:name="_Toc11534"/>
      <w:bookmarkStart w:id="352" w:name="_Toc19460"/>
      <w:bookmarkStart w:id="353" w:name="_Toc19387"/>
      <w:bookmarkStart w:id="354" w:name="_Toc23086"/>
      <w:bookmarkStart w:id="355" w:name="_Toc1649"/>
      <w:bookmarkStart w:id="356" w:name="_Toc23249"/>
      <w:bookmarkStart w:id="357" w:name="_Toc7643"/>
      <w:r>
        <w:rPr>
          <w:rFonts w:hint="eastAsia"/>
          <w:sz w:val="32"/>
          <w:szCs w:val="32"/>
        </w:rPr>
        <w:t>第四节  维护社会平安稳定</w:t>
      </w:r>
      <w:bookmarkEnd w:id="351"/>
      <w:bookmarkEnd w:id="352"/>
      <w:bookmarkEnd w:id="353"/>
      <w:bookmarkEnd w:id="354"/>
      <w:bookmarkEnd w:id="355"/>
      <w:bookmarkEnd w:id="356"/>
      <w:bookmarkEnd w:id="357"/>
    </w:p>
    <w:p>
      <w:pPr>
        <w:pageBreakBefore w:val="0"/>
        <w:widowControl w:val="0"/>
        <w:kinsoku/>
        <w:wordWrap/>
        <w:overflowPunct/>
        <w:topLinePunct w:val="0"/>
        <w:autoSpaceDE/>
        <w:autoSpaceDN/>
        <w:bidi w:val="0"/>
        <w:adjustRightInd/>
        <w:snapToGrid/>
        <w:spacing w:line="600" w:lineRule="exact"/>
        <w:ind w:firstLine="0" w:firstLineChars="0"/>
        <w:textAlignment w:val="auto"/>
        <w:rPr>
          <w:sz w:val="32"/>
          <w:szCs w:val="32"/>
        </w:rPr>
      </w:pPr>
    </w:p>
    <w:p>
      <w:pPr>
        <w:pStyle w:val="8"/>
        <w:keepNext w:val="0"/>
        <w:keepLines w:val="0"/>
        <w:pageBreakBefore w:val="0"/>
        <w:widowControl w:val="0"/>
        <w:kinsoku/>
        <w:wordWrap/>
        <w:overflowPunct/>
        <w:topLinePunct w:val="0"/>
        <w:autoSpaceDE/>
        <w:autoSpaceDN/>
        <w:bidi w:val="0"/>
        <w:adjustRightInd/>
        <w:snapToGrid/>
        <w:spacing w:before="0" w:after="0" w:line="600" w:lineRule="exact"/>
        <w:ind w:firstLine="640"/>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正确处理人民内部矛盾，畅通和规范群众诉求表达、利益协调、权益保障渠道，加强社会治安防控体系建设，保持社会和谐稳定。</w:t>
      </w:r>
    </w:p>
    <w:p>
      <w:pPr>
        <w:pageBreakBefore w:val="0"/>
        <w:widowControl w:val="0"/>
        <w:kinsoku/>
        <w:wordWrap/>
        <w:overflowPunct/>
        <w:topLinePunct w:val="0"/>
        <w:autoSpaceDE/>
        <w:autoSpaceDN/>
        <w:bidi w:val="0"/>
        <w:adjustRightInd/>
        <w:snapToGrid/>
        <w:spacing w:line="600" w:lineRule="exact"/>
        <w:ind w:firstLine="643"/>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推进平安武江建设。</w:t>
      </w:r>
      <w:r>
        <w:rPr>
          <w:rFonts w:hint="eastAsia" w:ascii="仿宋_GB2312" w:hAnsi="仿宋_GB2312" w:eastAsia="仿宋_GB2312" w:cs="仿宋_GB2312"/>
          <w:sz w:val="32"/>
          <w:szCs w:val="32"/>
        </w:rPr>
        <w:t>健全社会治安防控体系，深入推进社会面防控网、重点行业防控网、镇街和村（社区）防控网、机关和企事业单位防控网、信息网络安全防控网“五张网”建设。高压态势打击突出违法犯罪，扎实开展反恐怖工作和禁毒专项斗争。严厉打击暴力恐怖活动，从严从快打击整治涉黑恶、涉枪爆等各类违法犯罪活动。严厉打击电信网络诈骗、“套路贷”等新型犯罪以及“黄赌毒”等突出违法犯罪，提升金融领域、网络领域等新业态违法犯罪的打击破案能力，保护人民人身权、财产权、人格权，打造治安强区。建设“智感安防区”，深化“雪亮工程”建设，构建多维即时感知体系。</w:t>
      </w:r>
    </w:p>
    <w:p>
      <w:pPr>
        <w:pageBreakBefore w:val="0"/>
        <w:widowControl w:val="0"/>
        <w:kinsoku/>
        <w:wordWrap/>
        <w:overflowPunct/>
        <w:topLinePunct w:val="0"/>
        <w:autoSpaceDE/>
        <w:autoSpaceDN/>
        <w:bidi w:val="0"/>
        <w:adjustRightInd/>
        <w:snapToGrid/>
        <w:spacing w:line="600" w:lineRule="exact"/>
        <w:ind w:firstLine="643"/>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维护社会和谐稳定。</w:t>
      </w:r>
      <w:r>
        <w:rPr>
          <w:rFonts w:hint="eastAsia" w:ascii="仿宋_GB2312" w:hAnsi="仿宋_GB2312" w:eastAsia="仿宋_GB2312" w:cs="仿宋_GB2312"/>
          <w:sz w:val="32"/>
          <w:szCs w:val="32"/>
        </w:rPr>
        <w:t>构建源头防控、排查梳理、纠纷化解、应急处置的社会矛盾综合治理机制。健全社会稳定风险评估机制。深入开展社会矛盾专项治理，高度重视“弱信号”，强化对矛盾风险各环节的动态把控。完善信访制度，加强信访信息化智能化建设。整合基层矛盾纠纷化解资源和力量，促进调解、信访、仲裁、行政裁决、行政复议、诉讼等有机衔接，健全矛盾纠纷多元化解机制。在综治中心普遍建立社会心理服务站，健全社会心理服务体系和危机干预机制。健全行政复议监督倒逼依法行政、从源头上减少行政争议的机制，加强行政复议规范化和信息化建设。依法有序推进行政裁决工作。</w:t>
      </w:r>
      <w:r>
        <w:rPr>
          <w:rFonts w:hint="eastAsia" w:ascii="仿宋_GB2312" w:hAnsi="仿宋_GB2312" w:eastAsia="仿宋_GB2312" w:cs="仿宋_GB2312"/>
          <w:kern w:val="32"/>
          <w:sz w:val="32"/>
          <w:szCs w:val="32"/>
        </w:rPr>
        <w:t>及时妥善化解物业矛盾纠纷，促进社会和谐。</w:t>
      </w:r>
    </w:p>
    <w:p>
      <w:pPr>
        <w:pageBreakBefore w:val="0"/>
        <w:widowControl w:val="0"/>
        <w:kinsoku/>
        <w:wordWrap/>
        <w:overflowPunct/>
        <w:topLinePunct w:val="0"/>
        <w:autoSpaceDE/>
        <w:autoSpaceDN/>
        <w:bidi w:val="0"/>
        <w:adjustRightInd/>
        <w:snapToGrid/>
        <w:spacing w:line="600" w:lineRule="exact"/>
        <w:ind w:firstLine="643"/>
        <w:textAlignment w:val="auto"/>
        <w:rPr>
          <w:b/>
          <w:sz w:val="32"/>
          <w:szCs w:val="32"/>
        </w:rPr>
      </w:pPr>
    </w:p>
    <w:p>
      <w:pPr>
        <w:pStyle w:val="4"/>
        <w:keepNext w:val="0"/>
        <w:keepLines w:val="0"/>
        <w:pageBreakBefore w:val="0"/>
        <w:widowControl w:val="0"/>
        <w:kinsoku/>
        <w:wordWrap/>
        <w:overflowPunct/>
        <w:topLinePunct w:val="0"/>
        <w:autoSpaceDE/>
        <w:autoSpaceDN/>
        <w:bidi w:val="0"/>
        <w:adjustRightInd/>
        <w:snapToGrid/>
        <w:spacing w:line="600" w:lineRule="exact"/>
        <w:textAlignment w:val="auto"/>
        <w:rPr>
          <w:sz w:val="32"/>
          <w:szCs w:val="32"/>
        </w:rPr>
      </w:pPr>
      <w:bookmarkStart w:id="358" w:name="_Toc15427"/>
      <w:bookmarkStart w:id="359" w:name="_Toc22823"/>
      <w:bookmarkStart w:id="360" w:name="_Toc22099"/>
      <w:bookmarkStart w:id="361" w:name="_Toc11957"/>
      <w:bookmarkStart w:id="362" w:name="_Toc30072"/>
      <w:bookmarkStart w:id="363" w:name="_Toc5867"/>
      <w:bookmarkStart w:id="364" w:name="_Toc31836"/>
      <w:r>
        <w:rPr>
          <w:rFonts w:hint="eastAsia"/>
          <w:sz w:val="32"/>
          <w:szCs w:val="32"/>
        </w:rPr>
        <w:t>第五节  创新和完善社会治理</w:t>
      </w:r>
      <w:bookmarkEnd w:id="358"/>
      <w:bookmarkEnd w:id="359"/>
      <w:bookmarkEnd w:id="360"/>
      <w:bookmarkEnd w:id="361"/>
      <w:bookmarkEnd w:id="362"/>
      <w:bookmarkEnd w:id="363"/>
      <w:bookmarkEnd w:id="364"/>
    </w:p>
    <w:p>
      <w:pPr>
        <w:pageBreakBefore w:val="0"/>
        <w:widowControl w:val="0"/>
        <w:kinsoku/>
        <w:wordWrap/>
        <w:overflowPunct/>
        <w:topLinePunct w:val="0"/>
        <w:autoSpaceDE/>
        <w:autoSpaceDN/>
        <w:bidi w:val="0"/>
        <w:adjustRightInd/>
        <w:snapToGrid/>
        <w:spacing w:line="600" w:lineRule="exact"/>
        <w:ind w:firstLine="643"/>
        <w:textAlignment w:val="auto"/>
        <w:rPr>
          <w:b/>
          <w:sz w:val="32"/>
          <w:szCs w:val="32"/>
        </w:rPr>
      </w:pPr>
    </w:p>
    <w:p>
      <w:pPr>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kern w:val="32"/>
          <w:sz w:val="32"/>
          <w:szCs w:val="32"/>
        </w:rPr>
      </w:pPr>
      <w:r>
        <w:rPr>
          <w:rFonts w:hint="eastAsia" w:ascii="仿宋_GB2312" w:hAnsi="仿宋_GB2312" w:eastAsia="仿宋_GB2312" w:cs="仿宋_GB2312"/>
          <w:color w:val="000000" w:themeColor="text1"/>
          <w:kern w:val="32"/>
          <w:sz w:val="32"/>
          <w:szCs w:val="32"/>
        </w:rPr>
        <w:t>加快推进社会治理体系</w:t>
      </w:r>
      <w:r>
        <w:rPr>
          <w:rFonts w:hint="eastAsia" w:ascii="仿宋_GB2312" w:hAnsi="仿宋_GB2312" w:eastAsia="仿宋_GB2312" w:cs="仿宋_GB2312"/>
          <w:color w:val="000000" w:themeColor="text1"/>
          <w:kern w:val="32"/>
          <w:sz w:val="32"/>
          <w:szCs w:val="32"/>
          <w:lang w:eastAsia="zh-CN"/>
        </w:rPr>
        <w:t>和治理能力现代化</w:t>
      </w:r>
      <w:r>
        <w:rPr>
          <w:rFonts w:hint="eastAsia" w:ascii="仿宋_GB2312" w:hAnsi="仿宋_GB2312" w:eastAsia="仿宋_GB2312" w:cs="仿宋_GB2312"/>
          <w:color w:val="000000" w:themeColor="text1"/>
          <w:kern w:val="32"/>
          <w:sz w:val="32"/>
          <w:szCs w:val="32"/>
        </w:rPr>
        <w:t>，</w:t>
      </w:r>
      <w:r>
        <w:rPr>
          <w:rFonts w:hint="eastAsia" w:ascii="仿宋_GB2312" w:hAnsi="仿宋_GB2312" w:eastAsia="仿宋_GB2312" w:cs="仿宋_GB2312"/>
          <w:kern w:val="32"/>
          <w:sz w:val="32"/>
          <w:szCs w:val="32"/>
        </w:rPr>
        <w:t>实现政府、社会、居民良性互动齐抓共管，营造共建共治共享社会治理格局。</w:t>
      </w:r>
    </w:p>
    <w:p>
      <w:pPr>
        <w:pageBreakBefore w:val="0"/>
        <w:widowControl w:val="0"/>
        <w:kinsoku/>
        <w:wordWrap/>
        <w:overflowPunct/>
        <w:topLinePunct w:val="0"/>
        <w:autoSpaceDE/>
        <w:autoSpaceDN/>
        <w:bidi w:val="0"/>
        <w:adjustRightInd/>
        <w:snapToGrid/>
        <w:spacing w:line="600" w:lineRule="exact"/>
        <w:ind w:firstLine="643"/>
        <w:textAlignment w:val="auto"/>
        <w:rPr>
          <w:rFonts w:hint="eastAsia" w:ascii="仿宋_GB2312" w:hAnsi="仿宋_GB2312" w:eastAsia="仿宋_GB2312" w:cs="仿宋_GB2312"/>
          <w:kern w:val="32"/>
          <w:sz w:val="32"/>
          <w:szCs w:val="32"/>
        </w:rPr>
      </w:pPr>
      <w:r>
        <w:rPr>
          <w:rFonts w:hint="eastAsia" w:ascii="仿宋_GB2312" w:hAnsi="仿宋_GB2312" w:eastAsia="仿宋_GB2312" w:cs="仿宋_GB2312"/>
          <w:b/>
          <w:bCs/>
          <w:sz w:val="32"/>
          <w:szCs w:val="32"/>
        </w:rPr>
        <w:t>厚植基层社会治理基础</w:t>
      </w:r>
      <w:r>
        <w:rPr>
          <w:rFonts w:hint="eastAsia" w:ascii="仿宋_GB2312" w:hAnsi="仿宋_GB2312" w:eastAsia="仿宋_GB2312" w:cs="仿宋_GB2312"/>
          <w:b/>
          <w:sz w:val="32"/>
          <w:szCs w:val="32"/>
        </w:rPr>
        <w:t>。</w:t>
      </w:r>
      <w:r>
        <w:rPr>
          <w:rFonts w:hint="eastAsia" w:ascii="仿宋_GB2312" w:hAnsi="仿宋_GB2312" w:eastAsia="仿宋_GB2312" w:cs="仿宋_GB2312"/>
          <w:kern w:val="32"/>
          <w:sz w:val="32"/>
          <w:szCs w:val="32"/>
        </w:rPr>
        <w:t>全力落实韶关创建全国市域社会治理现代化试点城市建设任务，完善纵向治理架构，推进镇街治理创新，按照重心下移、权责一致的原则，赋予镇街相应职责职权，界定各级政府的权力和责任，赋予与基层社会治理职能相匹配的权力和资源。推动党的组织有效嵌入各类社会基层组织，充分发挥党组织在社会治理中的引领作用。落实基层编制和人员配置，尽可能把资源、服务、管理下放到基层。加强基层治理队伍建设，整合社区党员干部、警员、社区工作者等社区治理力量，结合网格化服务管理体系建设，解决基层社区社会治理力量和资源分散化的问题。将居民纳入各类自治组织，充分调动群众推进社会治理的积极性、主动性、创造性，激发群众自治活力。</w:t>
      </w:r>
    </w:p>
    <w:p>
      <w:pPr>
        <w:pageBreakBefore w:val="0"/>
        <w:widowControl w:val="0"/>
        <w:kinsoku/>
        <w:wordWrap/>
        <w:overflowPunct/>
        <w:topLinePunct w:val="0"/>
        <w:autoSpaceDE/>
        <w:autoSpaceDN/>
        <w:bidi w:val="0"/>
        <w:adjustRightInd/>
        <w:snapToGrid/>
        <w:spacing w:line="600" w:lineRule="exact"/>
        <w:ind w:firstLine="643"/>
        <w:textAlignment w:val="auto"/>
        <w:rPr>
          <w:rFonts w:hint="eastAsia" w:ascii="仿宋_GB2312" w:hAnsi="仿宋_GB2312" w:eastAsia="仿宋_GB2312" w:cs="仿宋_GB2312"/>
          <w:b/>
          <w:kern w:val="32"/>
          <w:sz w:val="32"/>
          <w:szCs w:val="32"/>
        </w:rPr>
      </w:pPr>
      <w:r>
        <w:rPr>
          <w:rFonts w:hint="eastAsia" w:ascii="仿宋_GB2312" w:hAnsi="仿宋_GB2312" w:eastAsia="仿宋_GB2312" w:cs="仿宋_GB2312"/>
          <w:b/>
          <w:sz w:val="32"/>
          <w:szCs w:val="32"/>
        </w:rPr>
        <w:t>创新基层社会治理模式。</w:t>
      </w:r>
      <w:r>
        <w:rPr>
          <w:rFonts w:hint="eastAsia" w:ascii="仿宋_GB2312" w:hAnsi="仿宋_GB2312" w:eastAsia="仿宋_GB2312" w:cs="仿宋_GB2312"/>
          <w:kern w:val="32"/>
          <w:sz w:val="32"/>
          <w:szCs w:val="32"/>
        </w:rPr>
        <w:t>加强社会治理体系建设，发挥社会组织作用，实现政府治理和社会调节、居民自治良性互动，</w:t>
      </w:r>
      <w:r>
        <w:rPr>
          <w:rFonts w:hint="eastAsia" w:ascii="仿宋_GB2312" w:hAnsi="仿宋_GB2312" w:eastAsia="仿宋_GB2312" w:cs="仿宋_GB2312"/>
          <w:sz w:val="32"/>
          <w:szCs w:val="32"/>
        </w:rPr>
        <w:t>形成群防群治的基层社会治理格局</w:t>
      </w:r>
      <w:r>
        <w:rPr>
          <w:rFonts w:hint="eastAsia" w:ascii="仿宋_GB2312" w:hAnsi="仿宋_GB2312" w:eastAsia="仿宋_GB2312" w:cs="仿宋_GB2312"/>
          <w:kern w:val="32"/>
          <w:sz w:val="32"/>
          <w:szCs w:val="32"/>
        </w:rPr>
        <w:t>。完善“综治中心+网格化+信息化”治理模式，建设人人有责、人人尽责、人人享有的社会治理共同体。发挥群团组织和社会组织在社会治理中的作用，畅通和规范市场主体、新社会阶层、社会工作者和志愿者等参与社会治理的途径。健全矛盾多元化解机制，依靠群众把矛盾纠纷化解在基层。将智慧交通、智慧警务等系统融入社会治理信息平台，运用大数据、5G、人工智能等新技术，推动城市管理手段、管理模式、管理理念创新，带动社会治理体系的数字化升级。</w:t>
      </w:r>
    </w:p>
    <w:p>
      <w:pPr>
        <w:pStyle w:val="3"/>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bookmarkStart w:id="365" w:name="_Toc13479"/>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sz w:val="32"/>
          <w:szCs w:val="32"/>
        </w:rPr>
      </w:pPr>
      <w:bookmarkStart w:id="366" w:name="_Toc26838"/>
      <w:bookmarkStart w:id="367" w:name="_Toc29623"/>
      <w:bookmarkStart w:id="368" w:name="_Toc20756"/>
      <w:bookmarkStart w:id="369" w:name="_Toc22454"/>
      <w:bookmarkStart w:id="370" w:name="_Toc2596"/>
      <w:bookmarkStart w:id="371" w:name="_Toc6949"/>
      <w:bookmarkStart w:id="372" w:name="_Toc6067"/>
      <w:r>
        <w:rPr>
          <w:rFonts w:hint="eastAsia"/>
          <w:sz w:val="32"/>
          <w:szCs w:val="32"/>
        </w:rPr>
        <w:t>第十一章  完善规划实施保障机制</w:t>
      </w:r>
      <w:bookmarkEnd w:id="365"/>
      <w:bookmarkEnd w:id="366"/>
      <w:bookmarkEnd w:id="367"/>
      <w:bookmarkEnd w:id="368"/>
      <w:bookmarkEnd w:id="369"/>
      <w:bookmarkEnd w:id="370"/>
      <w:bookmarkEnd w:id="371"/>
      <w:bookmarkEnd w:id="372"/>
    </w:p>
    <w:p>
      <w:pPr>
        <w:pageBreakBefore w:val="0"/>
        <w:widowControl w:val="0"/>
        <w:kinsoku/>
        <w:wordWrap/>
        <w:overflowPunct/>
        <w:topLinePunct w:val="0"/>
        <w:autoSpaceDE/>
        <w:autoSpaceDN/>
        <w:bidi w:val="0"/>
        <w:adjustRightInd/>
        <w:snapToGrid/>
        <w:spacing w:line="600" w:lineRule="exact"/>
        <w:ind w:firstLine="0" w:firstLineChars="0"/>
        <w:textAlignment w:val="auto"/>
        <w:rPr>
          <w:sz w:val="32"/>
          <w:szCs w:val="32"/>
        </w:rPr>
      </w:pPr>
    </w:p>
    <w:p>
      <w:pPr>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坚持和加强党的领导，创新和完善规划实施机制，开展规划评估考核，强化监督检查，加强规划衔接和要素保障，确保规划有效实施。</w:t>
      </w:r>
    </w:p>
    <w:p>
      <w:pPr>
        <w:pageBreakBefore w:val="0"/>
        <w:widowControl w:val="0"/>
        <w:kinsoku/>
        <w:wordWrap/>
        <w:overflowPunct/>
        <w:topLinePunct w:val="0"/>
        <w:autoSpaceDE/>
        <w:autoSpaceDN/>
        <w:bidi w:val="0"/>
        <w:adjustRightInd/>
        <w:snapToGrid/>
        <w:spacing w:line="600" w:lineRule="exact"/>
        <w:ind w:firstLine="419" w:firstLineChars="131"/>
        <w:textAlignment w:val="auto"/>
        <w:rPr>
          <w:rFonts w:ascii="Arial" w:hAnsi="Arial" w:eastAsia="黑体"/>
          <w:sz w:val="32"/>
          <w:szCs w:val="32"/>
        </w:rPr>
      </w:pPr>
    </w:p>
    <w:p>
      <w:pPr>
        <w:pStyle w:val="4"/>
        <w:pageBreakBefore w:val="0"/>
        <w:widowControl w:val="0"/>
        <w:kinsoku/>
        <w:wordWrap/>
        <w:overflowPunct/>
        <w:topLinePunct w:val="0"/>
        <w:autoSpaceDE/>
        <w:autoSpaceDN/>
        <w:bidi w:val="0"/>
        <w:adjustRightInd/>
        <w:snapToGrid/>
        <w:spacing w:line="600" w:lineRule="exact"/>
        <w:textAlignment w:val="auto"/>
        <w:rPr>
          <w:sz w:val="32"/>
          <w:szCs w:val="32"/>
        </w:rPr>
      </w:pPr>
      <w:bookmarkStart w:id="373" w:name="_Toc4064"/>
      <w:bookmarkStart w:id="374" w:name="_Toc20442"/>
      <w:bookmarkStart w:id="375" w:name="_Toc23427"/>
      <w:bookmarkStart w:id="376" w:name="_Toc28241"/>
      <w:bookmarkStart w:id="377" w:name="_Toc8038"/>
      <w:bookmarkStart w:id="378" w:name="_Toc9825"/>
      <w:bookmarkStart w:id="379" w:name="_Toc9501"/>
      <w:r>
        <w:rPr>
          <w:rFonts w:hint="eastAsia"/>
          <w:sz w:val="32"/>
          <w:szCs w:val="32"/>
        </w:rPr>
        <w:t>第一节  全面加强党的领导</w:t>
      </w:r>
      <w:bookmarkEnd w:id="373"/>
      <w:bookmarkEnd w:id="374"/>
      <w:bookmarkEnd w:id="375"/>
      <w:bookmarkEnd w:id="376"/>
      <w:bookmarkEnd w:id="377"/>
      <w:bookmarkEnd w:id="378"/>
      <w:bookmarkEnd w:id="379"/>
    </w:p>
    <w:p>
      <w:pPr>
        <w:pageBreakBefore w:val="0"/>
        <w:widowControl w:val="0"/>
        <w:kinsoku/>
        <w:wordWrap/>
        <w:overflowPunct/>
        <w:topLinePunct w:val="0"/>
        <w:autoSpaceDE/>
        <w:autoSpaceDN/>
        <w:bidi w:val="0"/>
        <w:adjustRightInd/>
        <w:snapToGrid/>
        <w:spacing w:line="600" w:lineRule="exact"/>
        <w:ind w:firstLine="0" w:firstLineChars="0"/>
        <w:textAlignment w:val="auto"/>
        <w:rPr>
          <w:rFonts w:ascii="Arial" w:hAnsi="Arial" w:eastAsia="黑体"/>
          <w:sz w:val="32"/>
          <w:szCs w:val="32"/>
        </w:rPr>
      </w:pPr>
    </w:p>
    <w:p>
      <w:pPr>
        <w:pStyle w:val="8"/>
        <w:keepNext w:val="0"/>
        <w:keepLines w:val="0"/>
        <w:pageBreakBefore w:val="0"/>
        <w:widowControl w:val="0"/>
        <w:kinsoku/>
        <w:wordWrap/>
        <w:overflowPunct/>
        <w:topLinePunct w:val="0"/>
        <w:autoSpaceDE/>
        <w:autoSpaceDN/>
        <w:bidi w:val="0"/>
        <w:adjustRightInd/>
        <w:snapToGrid/>
        <w:spacing w:before="0" w:after="0" w:line="600" w:lineRule="exact"/>
        <w:ind w:firstLine="640"/>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rPr>
        <w:t>以发展规划引领经济社会发展，是党治国理政的重要方式，是中国特色社会主义发展模式的重要体现。区发展规划阐明全区高质量发展战略意图，是将党委主张转化为全区意志</w:t>
      </w:r>
      <w:r>
        <w:rPr>
          <w:rFonts w:hint="eastAsia" w:ascii="仿宋_GB2312" w:hAnsi="仿宋_GB2312" w:eastAsia="仿宋_GB2312" w:cs="仿宋_GB2312"/>
          <w:b w:val="0"/>
          <w:bCs w:val="0"/>
          <w:sz w:val="32"/>
          <w:szCs w:val="32"/>
          <w:lang w:eastAsia="zh-CN"/>
        </w:rPr>
        <w:t>和行动</w:t>
      </w:r>
      <w:r>
        <w:rPr>
          <w:rFonts w:hint="eastAsia" w:ascii="仿宋_GB2312" w:hAnsi="仿宋_GB2312" w:eastAsia="仿宋_GB2312" w:cs="仿宋_GB2312"/>
          <w:b w:val="0"/>
          <w:bCs w:val="0"/>
          <w:sz w:val="32"/>
          <w:szCs w:val="32"/>
        </w:rPr>
        <w:t>的重要载体。推进规划实施，必须充分发挥区委</w:t>
      </w:r>
      <w:r>
        <w:rPr>
          <w:rFonts w:hint="eastAsia" w:ascii="仿宋_GB2312" w:hAnsi="仿宋_GB2312" w:eastAsia="仿宋_GB2312" w:cs="仿宋_GB2312"/>
          <w:b w:val="0"/>
          <w:bCs w:val="0"/>
          <w:sz w:val="32"/>
          <w:szCs w:val="32"/>
          <w:lang w:eastAsia="zh-CN"/>
        </w:rPr>
        <w:t>总揽全局</w:t>
      </w:r>
      <w:r>
        <w:rPr>
          <w:rFonts w:hint="eastAsia" w:ascii="仿宋_GB2312" w:hAnsi="仿宋_GB2312" w:eastAsia="仿宋_GB2312" w:cs="仿宋_GB2312"/>
          <w:b w:val="0"/>
          <w:bCs w:val="0"/>
          <w:sz w:val="32"/>
          <w:szCs w:val="32"/>
        </w:rPr>
        <w:t>、协调各方的坚强领导作用，增强战略定力，提升战略思维，提高驾驭复杂局</w:t>
      </w:r>
      <w:r>
        <w:rPr>
          <w:rFonts w:hint="eastAsia" w:ascii="仿宋_GB2312" w:hAnsi="仿宋_GB2312" w:eastAsia="仿宋_GB2312" w:cs="仿宋_GB2312"/>
          <w:b w:val="0"/>
          <w:bCs w:val="0"/>
          <w:sz w:val="32"/>
          <w:szCs w:val="32"/>
          <w:lang w:eastAsia="zh-CN"/>
        </w:rPr>
        <w:t>面</w:t>
      </w:r>
      <w:r>
        <w:rPr>
          <w:rFonts w:hint="eastAsia" w:ascii="仿宋_GB2312" w:hAnsi="仿宋_GB2312" w:eastAsia="仿宋_GB2312" w:cs="仿宋_GB2312"/>
          <w:b w:val="0"/>
          <w:bCs w:val="0"/>
          <w:sz w:val="32"/>
          <w:szCs w:val="32"/>
        </w:rPr>
        <w:t>的能力，抢抓机遇、统筹施策，引领武江在全面建设社会主义现代化国家新征程中展现担当，</w:t>
      </w:r>
      <w:r>
        <w:rPr>
          <w:rFonts w:hint="eastAsia" w:ascii="仿宋_GB2312" w:hAnsi="仿宋_GB2312" w:eastAsia="仿宋_GB2312" w:cs="仿宋_GB2312"/>
          <w:b w:val="0"/>
          <w:bCs w:val="0"/>
          <w:sz w:val="32"/>
          <w:szCs w:val="32"/>
          <w:lang w:eastAsia="zh-CN"/>
        </w:rPr>
        <w:t>作</w:t>
      </w:r>
      <w:r>
        <w:rPr>
          <w:rFonts w:hint="eastAsia" w:ascii="仿宋_GB2312" w:hAnsi="仿宋_GB2312" w:eastAsia="仿宋_GB2312" w:cs="仿宋_GB2312"/>
          <w:b w:val="0"/>
          <w:bCs w:val="0"/>
          <w:sz w:val="32"/>
          <w:szCs w:val="32"/>
        </w:rPr>
        <w:t>出武江贡献。要充分发挥各级党组织战斗堡垒作用和党员先锋模范作用，最大限度聚合全社会共识和力量，共同推进“十四五”规划蓝图实施</w:t>
      </w:r>
      <w:r>
        <w:rPr>
          <w:rFonts w:hint="eastAsia" w:ascii="仿宋_GB2312" w:hAnsi="仿宋_GB2312" w:eastAsia="仿宋_GB2312" w:cs="仿宋_GB2312"/>
          <w:b w:val="0"/>
          <w:bCs w:val="0"/>
          <w:sz w:val="32"/>
          <w:szCs w:val="32"/>
          <w:u w:val="none"/>
        </w:rPr>
        <w:t>。落实全面从严治党主体责任、监督责任，</w:t>
      </w:r>
      <w:r>
        <w:rPr>
          <w:rFonts w:hint="eastAsia" w:ascii="仿宋_GB2312" w:hAnsi="仿宋_GB2312" w:eastAsia="仿宋_GB2312" w:cs="仿宋_GB2312"/>
          <w:b w:val="0"/>
          <w:bCs w:val="0"/>
          <w:sz w:val="32"/>
          <w:szCs w:val="32"/>
          <w:u w:val="none"/>
          <w:lang w:val="en-US" w:eastAsia="zh-CN"/>
        </w:rPr>
        <w:t>以党内监督</w:t>
      </w:r>
      <w:r>
        <w:rPr>
          <w:rFonts w:hint="eastAsia" w:ascii="仿宋_GB2312" w:hAnsi="仿宋_GB2312" w:eastAsia="仿宋_GB2312" w:cs="仿宋_GB2312"/>
          <w:b w:val="0"/>
          <w:bCs w:val="0"/>
          <w:sz w:val="32"/>
          <w:szCs w:val="32"/>
          <w:u w:val="none"/>
        </w:rPr>
        <w:t>为主导、推动各类监督贯通协调，形成常态长效的监督合力</w:t>
      </w:r>
      <w:r>
        <w:rPr>
          <w:rFonts w:hint="eastAsia" w:ascii="仿宋_GB2312" w:hAnsi="仿宋_GB2312" w:eastAsia="仿宋_GB2312" w:cs="仿宋_GB2312"/>
          <w:b w:val="0"/>
          <w:bCs w:val="0"/>
          <w:sz w:val="32"/>
          <w:szCs w:val="32"/>
          <w:u w:val="none"/>
          <w:lang w:eastAsia="zh-CN"/>
        </w:rPr>
        <w:t>，健全发现问题、纠正偏差、精准问责有效机制。深化纪检监察体制改革，加强上级纪委监委对下级纪委监委的领导，推进纪检监察工作规范化、法治化。</w:t>
      </w:r>
      <w:r>
        <w:rPr>
          <w:rFonts w:hint="eastAsia" w:ascii="仿宋_GB2312" w:hAnsi="仿宋_GB2312" w:eastAsia="仿宋_GB2312" w:cs="仿宋_GB2312"/>
          <w:b w:val="0"/>
          <w:bCs w:val="0"/>
          <w:sz w:val="32"/>
          <w:szCs w:val="32"/>
          <w:u w:val="none"/>
        </w:rPr>
        <w:t>坚持无禁区、全覆盖、零容忍，一体推进不敢腐、不能腐、不想腐</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rPr>
        <w:t>营造风清气正的良好政治生态和</w:t>
      </w:r>
      <w:r>
        <w:rPr>
          <w:rFonts w:hint="eastAsia" w:ascii="仿宋_GB2312" w:hAnsi="仿宋_GB2312" w:eastAsia="仿宋_GB2312" w:cs="仿宋_GB2312"/>
          <w:b w:val="0"/>
          <w:bCs w:val="0"/>
          <w:sz w:val="32"/>
          <w:szCs w:val="32"/>
          <w:u w:val="none"/>
          <w:lang w:eastAsia="zh-CN"/>
        </w:rPr>
        <w:t>营商</w:t>
      </w:r>
      <w:r>
        <w:rPr>
          <w:rFonts w:hint="eastAsia" w:ascii="仿宋_GB2312" w:hAnsi="仿宋_GB2312" w:eastAsia="仿宋_GB2312" w:cs="仿宋_GB2312"/>
          <w:b w:val="0"/>
          <w:bCs w:val="0"/>
          <w:sz w:val="32"/>
          <w:szCs w:val="32"/>
          <w:u w:val="none"/>
        </w:rPr>
        <w:t>环境</w:t>
      </w:r>
      <w:r>
        <w:rPr>
          <w:rFonts w:hint="eastAsia" w:ascii="仿宋_GB2312" w:hAnsi="仿宋_GB2312" w:eastAsia="仿宋_GB2312" w:cs="仿宋_GB2312"/>
          <w:b w:val="0"/>
          <w:bCs w:val="0"/>
          <w:sz w:val="32"/>
          <w:szCs w:val="32"/>
          <w:u w:val="none"/>
          <w:lang w:eastAsia="zh-CN"/>
        </w:rPr>
        <w:t>。</w:t>
      </w:r>
    </w:p>
    <w:p>
      <w:pPr>
        <w:pStyle w:val="8"/>
        <w:keepNext w:val="0"/>
        <w:keepLines w:val="0"/>
        <w:pageBreakBefore w:val="0"/>
        <w:widowControl w:val="0"/>
        <w:kinsoku/>
        <w:wordWrap/>
        <w:overflowPunct/>
        <w:topLinePunct w:val="0"/>
        <w:autoSpaceDE/>
        <w:autoSpaceDN/>
        <w:bidi w:val="0"/>
        <w:adjustRightInd/>
        <w:snapToGrid/>
        <w:spacing w:before="0" w:after="0" w:line="600" w:lineRule="exact"/>
        <w:ind w:firstLine="0" w:firstLineChars="0"/>
        <w:jc w:val="both"/>
        <w:textAlignment w:val="auto"/>
        <w:rPr>
          <w:rFonts w:hint="eastAsia" w:ascii="仿宋_GB2312" w:hAnsi="仿宋_GB2312" w:eastAsia="仿宋_GB2312" w:cs="仿宋_GB2312"/>
          <w:b w:val="0"/>
          <w:bCs w:val="0"/>
          <w:sz w:val="32"/>
          <w:szCs w:val="32"/>
        </w:rPr>
      </w:pPr>
    </w:p>
    <w:p>
      <w:pPr>
        <w:pStyle w:val="4"/>
        <w:pageBreakBefore w:val="0"/>
        <w:widowControl w:val="0"/>
        <w:kinsoku/>
        <w:wordWrap/>
        <w:overflowPunct/>
        <w:topLinePunct w:val="0"/>
        <w:autoSpaceDE/>
        <w:autoSpaceDN/>
        <w:bidi w:val="0"/>
        <w:adjustRightInd/>
        <w:snapToGrid/>
        <w:spacing w:line="600" w:lineRule="exact"/>
        <w:textAlignment w:val="auto"/>
        <w:rPr>
          <w:sz w:val="32"/>
          <w:szCs w:val="32"/>
        </w:rPr>
      </w:pPr>
      <w:bookmarkStart w:id="380" w:name="_Toc7792"/>
      <w:bookmarkStart w:id="381" w:name="_Toc21082"/>
      <w:bookmarkStart w:id="382" w:name="_Toc24679"/>
      <w:bookmarkStart w:id="383" w:name="_Toc11631"/>
      <w:bookmarkStart w:id="384" w:name="_Toc17741"/>
      <w:bookmarkStart w:id="385" w:name="_Toc15540"/>
      <w:bookmarkStart w:id="386" w:name="_Toc7815"/>
      <w:r>
        <w:rPr>
          <w:rFonts w:hint="eastAsia"/>
          <w:sz w:val="32"/>
          <w:szCs w:val="32"/>
        </w:rPr>
        <w:t>第二节  完善规划体系</w:t>
      </w:r>
      <w:bookmarkEnd w:id="380"/>
      <w:bookmarkEnd w:id="381"/>
      <w:bookmarkEnd w:id="382"/>
      <w:bookmarkEnd w:id="383"/>
      <w:bookmarkEnd w:id="384"/>
      <w:bookmarkEnd w:id="385"/>
      <w:bookmarkEnd w:id="386"/>
    </w:p>
    <w:p>
      <w:pPr>
        <w:pStyle w:val="8"/>
        <w:keepNext w:val="0"/>
        <w:keepLines w:val="0"/>
        <w:pageBreakBefore w:val="0"/>
        <w:widowControl w:val="0"/>
        <w:kinsoku/>
        <w:wordWrap/>
        <w:overflowPunct/>
        <w:topLinePunct w:val="0"/>
        <w:autoSpaceDE/>
        <w:autoSpaceDN/>
        <w:bidi w:val="0"/>
        <w:adjustRightInd/>
        <w:snapToGrid/>
        <w:spacing w:before="0" w:after="0" w:line="600" w:lineRule="exact"/>
        <w:ind w:firstLine="0" w:firstLineChars="0"/>
        <w:textAlignment w:val="auto"/>
        <w:rPr>
          <w:rFonts w:ascii="仿宋" w:hAnsi="仿宋" w:eastAsia="仿宋"/>
          <w:b w:val="0"/>
          <w:sz w:val="32"/>
          <w:szCs w:val="32"/>
        </w:rPr>
      </w:pPr>
    </w:p>
    <w:p>
      <w:pPr>
        <w:pStyle w:val="8"/>
        <w:keepNext w:val="0"/>
        <w:keepLines w:val="0"/>
        <w:pageBreakBefore w:val="0"/>
        <w:widowControl w:val="0"/>
        <w:kinsoku/>
        <w:wordWrap/>
        <w:overflowPunct/>
        <w:topLinePunct w:val="0"/>
        <w:autoSpaceDE/>
        <w:autoSpaceDN/>
        <w:bidi w:val="0"/>
        <w:adjustRightInd/>
        <w:snapToGrid/>
        <w:spacing w:before="0" w:after="0" w:line="600" w:lineRule="exact"/>
        <w:ind w:firstLine="64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sz w:val="32"/>
          <w:szCs w:val="32"/>
        </w:rPr>
        <w:t>进一步理顺规划关系，明确各类规划功能定位，强化衔接协调，推进规划管理信息化，形成统一衔接的规划体系。</w:t>
      </w:r>
    </w:p>
    <w:p>
      <w:pPr>
        <w:pStyle w:val="8"/>
        <w:keepNext w:val="0"/>
        <w:keepLines w:val="0"/>
        <w:pageBreakBefore w:val="0"/>
        <w:widowControl w:val="0"/>
        <w:kinsoku/>
        <w:wordWrap/>
        <w:overflowPunct/>
        <w:topLinePunct w:val="0"/>
        <w:autoSpaceDE/>
        <w:autoSpaceDN/>
        <w:bidi w:val="0"/>
        <w:adjustRightInd/>
        <w:snapToGrid/>
        <w:spacing w:before="0" w:after="0" w:line="600" w:lineRule="exact"/>
        <w:ind w:firstLine="643"/>
        <w:jc w:val="left"/>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sz w:val="32"/>
          <w:szCs w:val="32"/>
        </w:rPr>
        <w:t>明确规划功能定位。</w:t>
      </w:r>
      <w:r>
        <w:rPr>
          <w:rFonts w:hint="eastAsia" w:ascii="仿宋_GB2312" w:hAnsi="仿宋_GB2312" w:eastAsia="仿宋_GB2312" w:cs="仿宋_GB2312"/>
          <w:b w:val="0"/>
          <w:sz w:val="32"/>
          <w:szCs w:val="32"/>
        </w:rPr>
        <w:t>区发展规划重点聚焦事关全区长远发展的大战略、跨部门跨行业的大政策、具有全局性影响的区域大项目，统筹重大战略和重大举措时空安排，是全区其他各级各类规划的总遵循。专项规划、一般规划依据区发展规划编制，切实贯彻区发展规划的战略意图和主要任务。同时，要与市的空间规划相衔接。</w:t>
      </w:r>
    </w:p>
    <w:p>
      <w:pPr>
        <w:pageBreakBefore w:val="0"/>
        <w:widowControl w:val="0"/>
        <w:kinsoku/>
        <w:wordWrap/>
        <w:overflowPunct/>
        <w:topLinePunct w:val="0"/>
        <w:autoSpaceDE/>
        <w:autoSpaceDN/>
        <w:bidi w:val="0"/>
        <w:adjustRightInd/>
        <w:snapToGrid/>
        <w:spacing w:line="600" w:lineRule="exact"/>
        <w:ind w:firstLine="643"/>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加强规划衔接协调。</w:t>
      </w:r>
      <w:r>
        <w:rPr>
          <w:rFonts w:hint="eastAsia" w:ascii="仿宋_GB2312" w:hAnsi="仿宋_GB2312" w:eastAsia="仿宋_GB2312" w:cs="仿宋_GB2312"/>
          <w:sz w:val="32"/>
          <w:szCs w:val="32"/>
        </w:rPr>
        <w:t>专项规划、一般规划要确保与上位规划、上级规划协调一致，加强各项规划目标特别是约束性指标、发展方向、总体布局、重大政策、重大工程项目、风险防控等的统筹衔接，形成以区“十四五”规划纲要为统领，各类规划定位清晰、功能互补、纵向对接、横向衔接的规划体系。</w:t>
      </w:r>
    </w:p>
    <w:p>
      <w:pPr>
        <w:pageBreakBefore w:val="0"/>
        <w:widowControl w:val="0"/>
        <w:kinsoku/>
        <w:wordWrap/>
        <w:overflowPunct/>
        <w:topLinePunct w:val="0"/>
        <w:autoSpaceDE/>
        <w:autoSpaceDN/>
        <w:bidi w:val="0"/>
        <w:adjustRightInd/>
        <w:snapToGrid/>
        <w:spacing w:line="600" w:lineRule="exact"/>
        <w:ind w:firstLine="643"/>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创新规划管理载体。</w:t>
      </w:r>
      <w:r>
        <w:rPr>
          <w:rFonts w:hint="eastAsia" w:ascii="仿宋_GB2312" w:hAnsi="仿宋_GB2312" w:eastAsia="仿宋_GB2312" w:cs="仿宋_GB2312"/>
          <w:sz w:val="32"/>
          <w:szCs w:val="32"/>
        </w:rPr>
        <w:t>充分发挥信息化在规划管理中的作用，结合“数字政府”建设，依托全省统一的规划综合管理信息平台，将各类规划纳入统一管理，对规划编制和实施进行数据跟踪监测评估，推动规划信息互联互通、归集共享，提高规划编制和管理的科学性。</w:t>
      </w:r>
    </w:p>
    <w:p>
      <w:pPr>
        <w:pageBreakBefore w:val="0"/>
        <w:widowControl w:val="0"/>
        <w:kinsoku/>
        <w:wordWrap/>
        <w:overflowPunct/>
        <w:topLinePunct w:val="0"/>
        <w:autoSpaceDE/>
        <w:autoSpaceDN/>
        <w:bidi w:val="0"/>
        <w:adjustRightInd/>
        <w:snapToGrid/>
        <w:spacing w:line="600" w:lineRule="exact"/>
        <w:ind w:firstLine="0" w:firstLineChars="0"/>
        <w:textAlignment w:val="auto"/>
        <w:rPr>
          <w:sz w:val="32"/>
          <w:szCs w:val="32"/>
        </w:rPr>
      </w:pPr>
    </w:p>
    <w:p>
      <w:pPr>
        <w:pStyle w:val="4"/>
        <w:pageBreakBefore w:val="0"/>
        <w:widowControl w:val="0"/>
        <w:kinsoku/>
        <w:wordWrap/>
        <w:overflowPunct/>
        <w:topLinePunct w:val="0"/>
        <w:autoSpaceDE/>
        <w:autoSpaceDN/>
        <w:bidi w:val="0"/>
        <w:adjustRightInd/>
        <w:snapToGrid/>
        <w:spacing w:line="600" w:lineRule="exact"/>
        <w:textAlignment w:val="auto"/>
        <w:rPr>
          <w:sz w:val="32"/>
          <w:szCs w:val="32"/>
        </w:rPr>
      </w:pPr>
      <w:bookmarkStart w:id="387" w:name="_Toc6167"/>
      <w:bookmarkStart w:id="388" w:name="_Toc16686"/>
      <w:bookmarkStart w:id="389" w:name="_Toc5424"/>
      <w:bookmarkStart w:id="390" w:name="_Toc1138"/>
      <w:bookmarkStart w:id="391" w:name="_Toc30341"/>
      <w:bookmarkStart w:id="392" w:name="_Toc2948"/>
      <w:bookmarkStart w:id="393" w:name="_Toc6183"/>
      <w:r>
        <w:rPr>
          <w:rFonts w:hint="eastAsia"/>
          <w:sz w:val="32"/>
          <w:szCs w:val="32"/>
        </w:rPr>
        <w:t>第三节  健全规划实施机制</w:t>
      </w:r>
      <w:bookmarkEnd w:id="387"/>
      <w:bookmarkEnd w:id="388"/>
      <w:bookmarkEnd w:id="389"/>
      <w:bookmarkEnd w:id="390"/>
      <w:bookmarkEnd w:id="391"/>
      <w:bookmarkEnd w:id="392"/>
      <w:bookmarkEnd w:id="393"/>
    </w:p>
    <w:p>
      <w:pPr>
        <w:pageBreakBefore w:val="0"/>
        <w:widowControl w:val="0"/>
        <w:kinsoku/>
        <w:wordWrap/>
        <w:overflowPunct/>
        <w:topLinePunct w:val="0"/>
        <w:autoSpaceDE/>
        <w:autoSpaceDN/>
        <w:bidi w:val="0"/>
        <w:adjustRightInd/>
        <w:snapToGrid/>
        <w:spacing w:line="600" w:lineRule="exact"/>
        <w:ind w:firstLine="640"/>
        <w:textAlignment w:val="auto"/>
        <w:rPr>
          <w:sz w:val="32"/>
          <w:szCs w:val="32"/>
        </w:rPr>
      </w:pPr>
    </w:p>
    <w:p>
      <w:pPr>
        <w:pStyle w:val="8"/>
        <w:keepNext w:val="0"/>
        <w:keepLines w:val="0"/>
        <w:pageBreakBefore w:val="0"/>
        <w:widowControl w:val="0"/>
        <w:kinsoku/>
        <w:wordWrap/>
        <w:overflowPunct/>
        <w:topLinePunct w:val="0"/>
        <w:autoSpaceDE/>
        <w:autoSpaceDN/>
        <w:bidi w:val="0"/>
        <w:adjustRightInd/>
        <w:snapToGrid/>
        <w:spacing w:before="0" w:after="0" w:line="600" w:lineRule="exact"/>
        <w:ind w:firstLine="640"/>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落实规划实施责任，强化年度计划与发展规划衔接，完善监测评估，健全规划实施监督考核机制，提升规划实施效能。</w:t>
      </w:r>
    </w:p>
    <w:p>
      <w:pPr>
        <w:pStyle w:val="8"/>
        <w:keepNext w:val="0"/>
        <w:keepLines w:val="0"/>
        <w:pageBreakBefore w:val="0"/>
        <w:widowControl w:val="0"/>
        <w:kinsoku/>
        <w:wordWrap/>
        <w:overflowPunct/>
        <w:topLinePunct w:val="0"/>
        <w:autoSpaceDE/>
        <w:autoSpaceDN/>
        <w:bidi w:val="0"/>
        <w:adjustRightInd/>
        <w:snapToGrid/>
        <w:spacing w:before="0" w:after="0" w:line="600" w:lineRule="exact"/>
        <w:ind w:firstLine="643"/>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sz w:val="32"/>
          <w:szCs w:val="32"/>
        </w:rPr>
        <w:t>强化年度计划落实机制。</w:t>
      </w:r>
      <w:r>
        <w:rPr>
          <w:rFonts w:hint="eastAsia" w:ascii="仿宋_GB2312" w:hAnsi="仿宋_GB2312" w:eastAsia="仿宋_GB2312" w:cs="仿宋_GB2312"/>
          <w:b w:val="0"/>
          <w:sz w:val="32"/>
          <w:szCs w:val="32"/>
        </w:rPr>
        <w:t>区级国民经济和社会发展计划以及社会、人口等重点领域年度计划要贯彻省、市、区发展规划提出的发展目标和重点任务，将区发展规划确定的主要指标分解纳入年度计划指标体系，合理设置年度目标并做好年度间综合平衡，结合形势发展确定年度工作重点，明确重大工程、重大项目、重大举措的年度实施要求，由区发展改革部门进行衔接平衡后，按程序报批实施。</w:t>
      </w:r>
    </w:p>
    <w:p>
      <w:pPr>
        <w:pStyle w:val="8"/>
        <w:keepNext w:val="0"/>
        <w:keepLines w:val="0"/>
        <w:pageBreakBefore w:val="0"/>
        <w:widowControl w:val="0"/>
        <w:kinsoku/>
        <w:wordWrap/>
        <w:overflowPunct/>
        <w:topLinePunct w:val="0"/>
        <w:autoSpaceDE/>
        <w:autoSpaceDN/>
        <w:bidi w:val="0"/>
        <w:adjustRightInd/>
        <w:snapToGrid/>
        <w:spacing w:before="0" w:after="0" w:line="600" w:lineRule="exact"/>
        <w:ind w:firstLine="643"/>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健全规划修订和考核评价机制。</w:t>
      </w:r>
      <w:r>
        <w:rPr>
          <w:rFonts w:hint="eastAsia" w:ascii="仿宋_GB2312" w:hAnsi="仿宋_GB2312" w:eastAsia="仿宋_GB2312" w:cs="仿宋_GB2312"/>
          <w:b w:val="0"/>
          <w:sz w:val="32"/>
          <w:szCs w:val="32"/>
        </w:rPr>
        <w:t>强化规划权威性、严肃性，未经法定程序批准，不得随意调整各类规划。区发展规划确需调整修订时，专项规划、一般规划需按程序作出相应调整修订。规划编制部门要组织开展规划实施年度监测分析、中期评估和总结评估，鼓励开展第三方评估，强化监测评估结果运用。建立规划目标任务落实情况绩效考核机制，强化结果运用，自觉接受人大监督、审计监督和社会监督。</w:t>
      </w:r>
    </w:p>
    <w:p>
      <w:pPr>
        <w:pageBreakBefore w:val="0"/>
        <w:widowControl w:val="0"/>
        <w:kinsoku/>
        <w:wordWrap/>
        <w:overflowPunct/>
        <w:topLinePunct w:val="0"/>
        <w:autoSpaceDE/>
        <w:autoSpaceDN/>
        <w:bidi w:val="0"/>
        <w:adjustRightInd/>
        <w:snapToGrid/>
        <w:spacing w:line="600" w:lineRule="exact"/>
        <w:ind w:firstLine="0" w:firstLineChars="0"/>
        <w:textAlignment w:val="auto"/>
        <w:rPr>
          <w:sz w:val="32"/>
          <w:szCs w:val="32"/>
        </w:rPr>
      </w:pPr>
    </w:p>
    <w:p>
      <w:pPr>
        <w:pStyle w:val="4"/>
        <w:pageBreakBefore w:val="0"/>
        <w:widowControl w:val="0"/>
        <w:kinsoku/>
        <w:wordWrap/>
        <w:overflowPunct/>
        <w:topLinePunct w:val="0"/>
        <w:autoSpaceDE/>
        <w:autoSpaceDN/>
        <w:bidi w:val="0"/>
        <w:adjustRightInd/>
        <w:snapToGrid/>
        <w:spacing w:line="600" w:lineRule="exact"/>
        <w:textAlignment w:val="auto"/>
        <w:rPr>
          <w:sz w:val="32"/>
          <w:szCs w:val="32"/>
        </w:rPr>
      </w:pPr>
      <w:bookmarkStart w:id="394" w:name="_Toc26043"/>
      <w:bookmarkStart w:id="395" w:name="_Toc710"/>
      <w:bookmarkStart w:id="396" w:name="_Toc14524"/>
      <w:bookmarkStart w:id="397" w:name="_Toc4565"/>
      <w:bookmarkStart w:id="398" w:name="_Toc10668"/>
      <w:bookmarkStart w:id="399" w:name="_Toc3687"/>
      <w:bookmarkStart w:id="400" w:name="_Toc14844"/>
      <w:r>
        <w:rPr>
          <w:rFonts w:hint="eastAsia"/>
          <w:sz w:val="32"/>
          <w:szCs w:val="32"/>
        </w:rPr>
        <w:t>第四节  强化重要政策和重大项目支撑</w:t>
      </w:r>
      <w:bookmarkEnd w:id="394"/>
      <w:bookmarkEnd w:id="395"/>
      <w:bookmarkEnd w:id="396"/>
      <w:bookmarkEnd w:id="397"/>
      <w:bookmarkEnd w:id="398"/>
      <w:bookmarkEnd w:id="399"/>
      <w:bookmarkEnd w:id="400"/>
    </w:p>
    <w:p>
      <w:pPr>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p>
    <w:p>
      <w:pPr>
        <w:pStyle w:val="8"/>
        <w:keepNext w:val="0"/>
        <w:keepLines w:val="0"/>
        <w:pageBreakBefore w:val="0"/>
        <w:widowControl w:val="0"/>
        <w:kinsoku/>
        <w:wordWrap/>
        <w:overflowPunct/>
        <w:topLinePunct w:val="0"/>
        <w:autoSpaceDE/>
        <w:autoSpaceDN/>
        <w:bidi w:val="0"/>
        <w:adjustRightInd/>
        <w:snapToGrid/>
        <w:spacing w:before="0" w:after="0" w:line="600" w:lineRule="exact"/>
        <w:ind w:firstLine="640"/>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构建各类政策与规划的协调协同机制，研究制定一系列政策举措，积极争取上级政策支持，建设一批重大项目，有力保障规划实施。</w:t>
      </w:r>
    </w:p>
    <w:p>
      <w:pPr>
        <w:pStyle w:val="8"/>
        <w:keepNext w:val="0"/>
        <w:keepLines w:val="0"/>
        <w:pageBreakBefore w:val="0"/>
        <w:widowControl w:val="0"/>
        <w:kinsoku/>
        <w:wordWrap/>
        <w:overflowPunct/>
        <w:topLinePunct w:val="0"/>
        <w:autoSpaceDE/>
        <w:autoSpaceDN/>
        <w:bidi w:val="0"/>
        <w:adjustRightInd/>
        <w:snapToGrid/>
        <w:spacing w:before="0" w:after="0" w:line="600" w:lineRule="exact"/>
        <w:ind w:firstLine="643"/>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sz w:val="32"/>
          <w:szCs w:val="32"/>
        </w:rPr>
        <w:t>强化财政金融支撑保障。</w:t>
      </w:r>
      <w:r>
        <w:rPr>
          <w:rFonts w:hint="eastAsia" w:ascii="仿宋_GB2312" w:hAnsi="仿宋_GB2312" w:eastAsia="仿宋_GB2312" w:cs="仿宋_GB2312"/>
          <w:b w:val="0"/>
          <w:bCs w:val="0"/>
          <w:sz w:val="32"/>
          <w:szCs w:val="32"/>
        </w:rPr>
        <w:t>加强区级财政预算与规划实施的衔接协调，统筹财力可能合理安排财政支出规模和结构。区级财政性资金优先投向发展规划确定的重大任务和重大工程项目。引导金融要素资源向发展规划明确的重点领域和发展短板倾斜，引导和鼓励各类金融机构重点支持区发展规划确定的重大战略、重大工程和重大项目。</w:t>
      </w:r>
    </w:p>
    <w:p>
      <w:pPr>
        <w:pStyle w:val="8"/>
        <w:keepNext w:val="0"/>
        <w:keepLines w:val="0"/>
        <w:pageBreakBefore w:val="0"/>
        <w:widowControl w:val="0"/>
        <w:kinsoku/>
        <w:wordWrap/>
        <w:overflowPunct/>
        <w:topLinePunct w:val="0"/>
        <w:autoSpaceDE/>
        <w:autoSpaceDN/>
        <w:bidi w:val="0"/>
        <w:adjustRightInd/>
        <w:snapToGrid/>
        <w:spacing w:before="0" w:after="0" w:line="600" w:lineRule="exact"/>
        <w:ind w:firstLine="643"/>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sz w:val="32"/>
          <w:szCs w:val="32"/>
        </w:rPr>
        <w:t>加强政策研究制定。</w:t>
      </w:r>
      <w:r>
        <w:rPr>
          <w:rFonts w:hint="eastAsia" w:ascii="仿宋_GB2312" w:hAnsi="仿宋_GB2312" w:eastAsia="仿宋_GB2312" w:cs="仿宋_GB2312"/>
          <w:b w:val="0"/>
          <w:sz w:val="32"/>
          <w:szCs w:val="32"/>
        </w:rPr>
        <w:t>围绕发展重点领域，研究制定一系列能够有效解决突出矛盾、营造公平环境、激发社会活力的政策举措，为规划实施提供有力支撑。积极争取上级政策支持。</w:t>
      </w:r>
    </w:p>
    <w:p>
      <w:pPr>
        <w:pageBreakBefore w:val="0"/>
        <w:widowControl w:val="0"/>
        <w:kinsoku/>
        <w:wordWrap/>
        <w:overflowPunct/>
        <w:topLinePunct w:val="0"/>
        <w:autoSpaceDE/>
        <w:autoSpaceDN/>
        <w:bidi w:val="0"/>
        <w:adjustRightInd/>
        <w:snapToGrid/>
        <w:spacing w:line="600" w:lineRule="exact"/>
        <w:ind w:firstLine="643"/>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b/>
          <w:bCs/>
          <w:sz w:val="32"/>
          <w:szCs w:val="32"/>
        </w:rPr>
        <w:t>强化重大项目支撑。</w:t>
      </w:r>
      <w:r>
        <w:rPr>
          <w:rFonts w:hint="eastAsia" w:ascii="仿宋_GB2312" w:hAnsi="仿宋_GB2312" w:eastAsia="仿宋_GB2312" w:cs="仿宋_GB2312"/>
          <w:sz w:val="32"/>
          <w:szCs w:val="32"/>
        </w:rPr>
        <w:t>以规划引导重大项目建设，以重大项目实施促进规划落实，围绕规划既定目标和主要任务，谋划推进一批全局性、基础性、战略性重大项目，合理安排重大项目布局，有序推进项目开工建设，做好发展规划与重点项目年度计划的衔接。加强对区重点项目建设的政策支持，强化资源要素保障，集中力量保证重大项目在用地指标、资金落实、征地</w:t>
      </w:r>
      <w:r>
        <w:rPr>
          <w:rFonts w:hint="eastAsia" w:ascii="仿宋_GB2312" w:hAnsi="仿宋_GB2312" w:eastAsia="仿宋_GB2312" w:cs="仿宋_GB2312"/>
          <w:sz w:val="32"/>
          <w:szCs w:val="32"/>
          <w:lang w:eastAsia="zh-CN"/>
        </w:rPr>
        <w:t>拆迁</w:t>
      </w:r>
      <w:r>
        <w:rPr>
          <w:rFonts w:hint="eastAsia" w:ascii="仿宋_GB2312" w:hAnsi="仿宋_GB2312" w:eastAsia="仿宋_GB2312" w:cs="仿宋_GB2312"/>
          <w:sz w:val="32"/>
          <w:szCs w:val="32"/>
        </w:rPr>
        <w:t>、环境容量、人员投入等方面的优先保障，排除影响项目建设进度的各种障碍。科学编制区重点项目年度计划，合理安排建设进度，保障规划目标任务顺利完成，形成“建成投产一批、启动建设一批、储备一批”的滚动发展机制。积极争取市以上重大项目和大湾区转移项目落户武江。</w:t>
      </w:r>
    </w:p>
    <w:bookmarkEnd w:id="244"/>
    <w:p>
      <w:pPr>
        <w:pageBreakBefore w:val="0"/>
        <w:widowControl w:val="0"/>
        <w:kinsoku/>
        <w:wordWrap/>
        <w:overflowPunct/>
        <w:topLinePunct w:val="0"/>
        <w:autoSpaceDE/>
        <w:autoSpaceDN/>
        <w:bidi w:val="0"/>
        <w:adjustRightInd/>
        <w:snapToGrid/>
        <w:spacing w:line="600" w:lineRule="exact"/>
        <w:ind w:left="2240" w:leftChars="200" w:hanging="1600" w:hangingChars="500"/>
        <w:textAlignment w:val="auto"/>
        <w:rPr>
          <w:rFonts w:hint="eastAsia" w:ascii="仿宋_GB2312" w:hAnsi="仿宋_GB2312" w:eastAsia="仿宋_GB2312" w:cs="仿宋_GB2312"/>
          <w:sz w:val="32"/>
          <w:szCs w:val="32"/>
        </w:rPr>
      </w:pPr>
    </w:p>
    <w:p>
      <w:pPr>
        <w:pStyle w:val="18"/>
        <w:ind w:firstLine="0" w:firstLineChars="0"/>
      </w:pPr>
    </w:p>
    <w:p>
      <w:pPr>
        <w:ind w:left="0" w:leftChars="0" w:firstLine="0" w:firstLineChars="0"/>
      </w:pPr>
    </w:p>
    <w:p>
      <w:pPr>
        <w:pStyle w:val="2"/>
      </w:pPr>
    </w:p>
    <w:p>
      <w:pPr>
        <w:pStyle w:val="2"/>
      </w:pPr>
    </w:p>
    <w:p>
      <w:pPr>
        <w:pStyle w:val="2"/>
        <w:ind w:left="0" w:leftChars="0" w:firstLine="0" w:firstLineChars="0"/>
      </w:pPr>
    </w:p>
    <w:p>
      <w:pPr>
        <w:pStyle w:val="2"/>
        <w:ind w:left="0" w:leftChars="0" w:firstLine="0" w:firstLineChars="0"/>
      </w:pPr>
    </w:p>
    <w:p>
      <w:pPr>
        <w:pStyle w:val="2"/>
        <w:ind w:left="0" w:leftChars="0" w:firstLine="0" w:firstLineChars="0"/>
      </w:pPr>
    </w:p>
    <w:p>
      <w:pPr>
        <w:pStyle w:val="18"/>
        <w:ind w:firstLine="0" w:firstLineChars="0"/>
      </w:pPr>
    </w:p>
    <w:sectPr>
      <w:footerReference r:id="rId8" w:type="default"/>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roman"/>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楷体_GBK">
    <w:panose1 w:val="02000000000000000000"/>
    <w:charset w:val="86"/>
    <w:family w:val="script"/>
    <w:pitch w:val="default"/>
    <w:sig w:usb0="A00002BF" w:usb1="38CF7CFA" w:usb2="00082016" w:usb3="00000000" w:csb0="00040001" w:csb1="00000000"/>
  </w:font>
  <w:font w:name="楷体_GB2312">
    <w:panose1 w:val="02010609030101010101"/>
    <w:charset w:val="86"/>
    <w:family w:val="modern"/>
    <w:pitch w:val="default"/>
    <w:sig w:usb0="00000001" w:usb1="080E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r>
      <w:rPr>
        <w:sz w:val="18"/>
      </w:rPr>
      <w:pict>
        <v:shape id="_x0000_s1031" o:spid="_x0000_s103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3"/>
                  <w:rPr>
                    <w:rFonts w:hint="eastAsia" w:eastAsia="仿宋"/>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- 2 -</w:t>
                </w:r>
                <w:r>
                  <w:rPr>
                    <w:rFonts w:hint="eastAsia" w:ascii="仿宋_GB2312" w:hAnsi="仿宋_GB2312" w:eastAsia="仿宋_GB2312" w:cs="仿宋_GB2312"/>
                    <w:sz w:val="28"/>
                    <w:szCs w:val="28"/>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r>
      <w:rPr>
        <w:sz w:val="18"/>
      </w:rPr>
      <w:pict>
        <v:shape id="_x0000_s1029" o:spid="_x0000_s102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3"/>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- 1 -</w:t>
                </w:r>
                <w:r>
                  <w:rPr>
                    <w:rFonts w:hint="eastAsia" w:ascii="仿宋_GB2312" w:hAnsi="仿宋_GB2312" w:eastAsia="仿宋_GB2312" w:cs="仿宋_GB2312"/>
                    <w:sz w:val="28"/>
                    <w:szCs w:val="28"/>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r>
      <w:rPr>
        <w:sz w:val="18"/>
      </w:rPr>
      <w:pict>
        <v:shape id="_x0000_s1033" o:spid="_x0000_s1033"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II</w:t>
                </w:r>
                <w:r>
                  <w:rPr>
                    <w:rFonts w:hint="eastAsia" w:ascii="宋体" w:hAnsi="宋体" w:eastAsia="宋体" w:cs="宋体"/>
                    <w:sz w:val="28"/>
                    <w:szCs w:val="28"/>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7DE3C8"/>
    <w:multiLevelType w:val="singleLevel"/>
    <w:tmpl w:val="657DE3C8"/>
    <w:lvl w:ilvl="0" w:tentative="0">
      <w:start w:val="1"/>
      <w:numFmt w:val="chineseCounting"/>
      <w:suff w:val="space"/>
      <w:lvlText w:val="第%1节"/>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NhODI1OTAzNTAwNjdhMWU2ODVmYTMwYjRhMWFmNGEifQ=="/>
  </w:docVars>
  <w:rsids>
    <w:rsidRoot w:val="3CD128C8"/>
    <w:rsid w:val="00071638"/>
    <w:rsid w:val="000D49C1"/>
    <w:rsid w:val="000E201A"/>
    <w:rsid w:val="000E3AEF"/>
    <w:rsid w:val="0013748F"/>
    <w:rsid w:val="00155A4C"/>
    <w:rsid w:val="0019016A"/>
    <w:rsid w:val="001D0EAE"/>
    <w:rsid w:val="00215BC3"/>
    <w:rsid w:val="00222622"/>
    <w:rsid w:val="0028770D"/>
    <w:rsid w:val="002C6BB8"/>
    <w:rsid w:val="002E7F09"/>
    <w:rsid w:val="003262CA"/>
    <w:rsid w:val="00336399"/>
    <w:rsid w:val="0034356D"/>
    <w:rsid w:val="0038426A"/>
    <w:rsid w:val="00391540"/>
    <w:rsid w:val="00435B51"/>
    <w:rsid w:val="004A1158"/>
    <w:rsid w:val="00510082"/>
    <w:rsid w:val="00512EEA"/>
    <w:rsid w:val="005B639B"/>
    <w:rsid w:val="005C13EC"/>
    <w:rsid w:val="005C6056"/>
    <w:rsid w:val="005D7202"/>
    <w:rsid w:val="005E13EC"/>
    <w:rsid w:val="00646373"/>
    <w:rsid w:val="006A0650"/>
    <w:rsid w:val="00755B74"/>
    <w:rsid w:val="0077730F"/>
    <w:rsid w:val="00794A9A"/>
    <w:rsid w:val="007D153F"/>
    <w:rsid w:val="007E5F86"/>
    <w:rsid w:val="007F0EC3"/>
    <w:rsid w:val="00845437"/>
    <w:rsid w:val="00853351"/>
    <w:rsid w:val="00854036"/>
    <w:rsid w:val="00864DA5"/>
    <w:rsid w:val="008752A0"/>
    <w:rsid w:val="008967EE"/>
    <w:rsid w:val="008A16DC"/>
    <w:rsid w:val="008C27EB"/>
    <w:rsid w:val="008C55FA"/>
    <w:rsid w:val="008D00DE"/>
    <w:rsid w:val="008E39C6"/>
    <w:rsid w:val="00A4308A"/>
    <w:rsid w:val="00A4596A"/>
    <w:rsid w:val="00A92911"/>
    <w:rsid w:val="00AE05C0"/>
    <w:rsid w:val="00B07B5E"/>
    <w:rsid w:val="00B91AB5"/>
    <w:rsid w:val="00C062EA"/>
    <w:rsid w:val="00CB6A97"/>
    <w:rsid w:val="00D04F47"/>
    <w:rsid w:val="00D37759"/>
    <w:rsid w:val="00D42B76"/>
    <w:rsid w:val="00D90F35"/>
    <w:rsid w:val="00DA686A"/>
    <w:rsid w:val="00E51E8F"/>
    <w:rsid w:val="00E95948"/>
    <w:rsid w:val="00EF62AD"/>
    <w:rsid w:val="00F17B52"/>
    <w:rsid w:val="00FC168E"/>
    <w:rsid w:val="01457E69"/>
    <w:rsid w:val="01466805"/>
    <w:rsid w:val="014E6B9B"/>
    <w:rsid w:val="016D1F95"/>
    <w:rsid w:val="01950A0E"/>
    <w:rsid w:val="01A96E2C"/>
    <w:rsid w:val="01B94985"/>
    <w:rsid w:val="01ED0070"/>
    <w:rsid w:val="01ED0C3C"/>
    <w:rsid w:val="01FA6DA3"/>
    <w:rsid w:val="01FB423E"/>
    <w:rsid w:val="02044D81"/>
    <w:rsid w:val="0207527A"/>
    <w:rsid w:val="02192662"/>
    <w:rsid w:val="021C7352"/>
    <w:rsid w:val="022030A7"/>
    <w:rsid w:val="026043B7"/>
    <w:rsid w:val="026E6D42"/>
    <w:rsid w:val="02CF13E4"/>
    <w:rsid w:val="030B339D"/>
    <w:rsid w:val="03137079"/>
    <w:rsid w:val="032C09C5"/>
    <w:rsid w:val="033A45E6"/>
    <w:rsid w:val="034B1B6A"/>
    <w:rsid w:val="03567B34"/>
    <w:rsid w:val="039A3FAA"/>
    <w:rsid w:val="03C022E9"/>
    <w:rsid w:val="03C45A08"/>
    <w:rsid w:val="040B1322"/>
    <w:rsid w:val="04144C16"/>
    <w:rsid w:val="044868E3"/>
    <w:rsid w:val="0475516F"/>
    <w:rsid w:val="04837547"/>
    <w:rsid w:val="04856BA5"/>
    <w:rsid w:val="04B873C9"/>
    <w:rsid w:val="051745E0"/>
    <w:rsid w:val="05485E32"/>
    <w:rsid w:val="055B5D37"/>
    <w:rsid w:val="055E06E0"/>
    <w:rsid w:val="056606DA"/>
    <w:rsid w:val="059704FE"/>
    <w:rsid w:val="05B25ABD"/>
    <w:rsid w:val="05EC7C97"/>
    <w:rsid w:val="06052B48"/>
    <w:rsid w:val="064F42EB"/>
    <w:rsid w:val="06700D80"/>
    <w:rsid w:val="068401C9"/>
    <w:rsid w:val="06AE217A"/>
    <w:rsid w:val="06D24DCC"/>
    <w:rsid w:val="0763205A"/>
    <w:rsid w:val="07725430"/>
    <w:rsid w:val="0783013A"/>
    <w:rsid w:val="078B5C0E"/>
    <w:rsid w:val="078F7E93"/>
    <w:rsid w:val="07E0058D"/>
    <w:rsid w:val="07F61AC7"/>
    <w:rsid w:val="080B4D9C"/>
    <w:rsid w:val="080F6BF8"/>
    <w:rsid w:val="081D3B05"/>
    <w:rsid w:val="081E43F4"/>
    <w:rsid w:val="084D0917"/>
    <w:rsid w:val="085E26D8"/>
    <w:rsid w:val="087C15DE"/>
    <w:rsid w:val="08941F53"/>
    <w:rsid w:val="08BD4E71"/>
    <w:rsid w:val="093A6FD0"/>
    <w:rsid w:val="09403BB1"/>
    <w:rsid w:val="094658A3"/>
    <w:rsid w:val="09881705"/>
    <w:rsid w:val="09942493"/>
    <w:rsid w:val="09AC3FE5"/>
    <w:rsid w:val="09AF2BBB"/>
    <w:rsid w:val="09BD5134"/>
    <w:rsid w:val="09CB21C7"/>
    <w:rsid w:val="09D16F3E"/>
    <w:rsid w:val="09F22094"/>
    <w:rsid w:val="0A2D1E5D"/>
    <w:rsid w:val="0A803697"/>
    <w:rsid w:val="0A816EA3"/>
    <w:rsid w:val="0AAE4D7F"/>
    <w:rsid w:val="0B1C5984"/>
    <w:rsid w:val="0B646105"/>
    <w:rsid w:val="0B71492D"/>
    <w:rsid w:val="0B815C0D"/>
    <w:rsid w:val="0B9E5457"/>
    <w:rsid w:val="0BD52E07"/>
    <w:rsid w:val="0BE46C66"/>
    <w:rsid w:val="0BF26B4B"/>
    <w:rsid w:val="0BFC7209"/>
    <w:rsid w:val="0C011485"/>
    <w:rsid w:val="0C172563"/>
    <w:rsid w:val="0C2826DF"/>
    <w:rsid w:val="0C2958A9"/>
    <w:rsid w:val="0C336DD3"/>
    <w:rsid w:val="0C972532"/>
    <w:rsid w:val="0CC20900"/>
    <w:rsid w:val="0CCA4463"/>
    <w:rsid w:val="0CEA68E7"/>
    <w:rsid w:val="0CFA3E51"/>
    <w:rsid w:val="0D137703"/>
    <w:rsid w:val="0D264190"/>
    <w:rsid w:val="0D2F0F9C"/>
    <w:rsid w:val="0D385686"/>
    <w:rsid w:val="0D80016D"/>
    <w:rsid w:val="0D80680F"/>
    <w:rsid w:val="0DCD0AD4"/>
    <w:rsid w:val="0E043844"/>
    <w:rsid w:val="0E6328F6"/>
    <w:rsid w:val="0EA80F6A"/>
    <w:rsid w:val="0ECE62A4"/>
    <w:rsid w:val="0EEA1F4D"/>
    <w:rsid w:val="0F0853AC"/>
    <w:rsid w:val="0F387BC6"/>
    <w:rsid w:val="0F3C70EB"/>
    <w:rsid w:val="0F6F3EE6"/>
    <w:rsid w:val="0F7F3CB2"/>
    <w:rsid w:val="0FB52407"/>
    <w:rsid w:val="0FFC2CC9"/>
    <w:rsid w:val="0FFF6AAB"/>
    <w:rsid w:val="1033671D"/>
    <w:rsid w:val="105F4DEC"/>
    <w:rsid w:val="1073655F"/>
    <w:rsid w:val="10C2540E"/>
    <w:rsid w:val="10D156EF"/>
    <w:rsid w:val="10FE7D30"/>
    <w:rsid w:val="113E0C3B"/>
    <w:rsid w:val="114E58B0"/>
    <w:rsid w:val="118628AD"/>
    <w:rsid w:val="119F002F"/>
    <w:rsid w:val="11BA04D2"/>
    <w:rsid w:val="11C27D2C"/>
    <w:rsid w:val="11DD6D79"/>
    <w:rsid w:val="11F43FB2"/>
    <w:rsid w:val="12155AF0"/>
    <w:rsid w:val="12A95EDC"/>
    <w:rsid w:val="12BF494E"/>
    <w:rsid w:val="12E05B96"/>
    <w:rsid w:val="13135C2D"/>
    <w:rsid w:val="13467F60"/>
    <w:rsid w:val="135D59A4"/>
    <w:rsid w:val="136B36F1"/>
    <w:rsid w:val="136C775C"/>
    <w:rsid w:val="137F16E5"/>
    <w:rsid w:val="1380112C"/>
    <w:rsid w:val="13886B57"/>
    <w:rsid w:val="13B45806"/>
    <w:rsid w:val="13BF7D6E"/>
    <w:rsid w:val="13EE62AC"/>
    <w:rsid w:val="13F17D85"/>
    <w:rsid w:val="140C0286"/>
    <w:rsid w:val="146403B6"/>
    <w:rsid w:val="14A12CD7"/>
    <w:rsid w:val="14C57C82"/>
    <w:rsid w:val="14E86410"/>
    <w:rsid w:val="15303B82"/>
    <w:rsid w:val="15326699"/>
    <w:rsid w:val="15E44195"/>
    <w:rsid w:val="162D4D12"/>
    <w:rsid w:val="163A425A"/>
    <w:rsid w:val="16572CE9"/>
    <w:rsid w:val="16D64A3F"/>
    <w:rsid w:val="17061A3D"/>
    <w:rsid w:val="174E0C5E"/>
    <w:rsid w:val="17510621"/>
    <w:rsid w:val="176A0BCB"/>
    <w:rsid w:val="176F0BE4"/>
    <w:rsid w:val="17750E93"/>
    <w:rsid w:val="17773A7F"/>
    <w:rsid w:val="17867158"/>
    <w:rsid w:val="179A1EC8"/>
    <w:rsid w:val="17E54CA6"/>
    <w:rsid w:val="17E95DB6"/>
    <w:rsid w:val="18006130"/>
    <w:rsid w:val="1839116D"/>
    <w:rsid w:val="188C438E"/>
    <w:rsid w:val="189C5D26"/>
    <w:rsid w:val="18A11C22"/>
    <w:rsid w:val="18B4713D"/>
    <w:rsid w:val="18B800A1"/>
    <w:rsid w:val="19197A95"/>
    <w:rsid w:val="1932053D"/>
    <w:rsid w:val="195E2DC9"/>
    <w:rsid w:val="196F649A"/>
    <w:rsid w:val="198E4944"/>
    <w:rsid w:val="19AB2EA3"/>
    <w:rsid w:val="19B609B9"/>
    <w:rsid w:val="19CE1FD9"/>
    <w:rsid w:val="19DA747F"/>
    <w:rsid w:val="19E77AA2"/>
    <w:rsid w:val="1A3702AF"/>
    <w:rsid w:val="1A5074E3"/>
    <w:rsid w:val="1A5B61E0"/>
    <w:rsid w:val="1A5C2990"/>
    <w:rsid w:val="1A8066F3"/>
    <w:rsid w:val="1A89340B"/>
    <w:rsid w:val="1A9B5C4D"/>
    <w:rsid w:val="1A9D1955"/>
    <w:rsid w:val="1AB4102D"/>
    <w:rsid w:val="1AD9639D"/>
    <w:rsid w:val="1B311561"/>
    <w:rsid w:val="1B55246F"/>
    <w:rsid w:val="1B681E5F"/>
    <w:rsid w:val="1B6C6431"/>
    <w:rsid w:val="1B8758B5"/>
    <w:rsid w:val="1BD0590E"/>
    <w:rsid w:val="1C197B8A"/>
    <w:rsid w:val="1C5D25B5"/>
    <w:rsid w:val="1CAD6E74"/>
    <w:rsid w:val="1D2F3E8B"/>
    <w:rsid w:val="1D7226A5"/>
    <w:rsid w:val="1D7A335D"/>
    <w:rsid w:val="1D841BF6"/>
    <w:rsid w:val="1DAF0E98"/>
    <w:rsid w:val="1DE04A65"/>
    <w:rsid w:val="1DE82CB8"/>
    <w:rsid w:val="1E146EA5"/>
    <w:rsid w:val="1E47636B"/>
    <w:rsid w:val="1E657B2F"/>
    <w:rsid w:val="1E87093E"/>
    <w:rsid w:val="1EE42C5C"/>
    <w:rsid w:val="1EF640E3"/>
    <w:rsid w:val="1F1D2DB5"/>
    <w:rsid w:val="1F55187B"/>
    <w:rsid w:val="1FAF00C5"/>
    <w:rsid w:val="1FB97E41"/>
    <w:rsid w:val="1FC4185B"/>
    <w:rsid w:val="20280FE5"/>
    <w:rsid w:val="20331435"/>
    <w:rsid w:val="205B7D22"/>
    <w:rsid w:val="20725A4E"/>
    <w:rsid w:val="207F3FF8"/>
    <w:rsid w:val="209F0AEC"/>
    <w:rsid w:val="20FD18B5"/>
    <w:rsid w:val="21311C64"/>
    <w:rsid w:val="21EE4EA9"/>
    <w:rsid w:val="22003EC3"/>
    <w:rsid w:val="223F2208"/>
    <w:rsid w:val="22440D56"/>
    <w:rsid w:val="225273B7"/>
    <w:rsid w:val="22542338"/>
    <w:rsid w:val="22892378"/>
    <w:rsid w:val="22A279DC"/>
    <w:rsid w:val="22A334CC"/>
    <w:rsid w:val="22A86127"/>
    <w:rsid w:val="22AE7F88"/>
    <w:rsid w:val="22D24F67"/>
    <w:rsid w:val="22FE05B2"/>
    <w:rsid w:val="23120552"/>
    <w:rsid w:val="23212D00"/>
    <w:rsid w:val="232A0C3D"/>
    <w:rsid w:val="232F5A05"/>
    <w:rsid w:val="23381B43"/>
    <w:rsid w:val="2343644F"/>
    <w:rsid w:val="23A943C6"/>
    <w:rsid w:val="23AF4E51"/>
    <w:rsid w:val="243C300E"/>
    <w:rsid w:val="24876FA6"/>
    <w:rsid w:val="248B26BE"/>
    <w:rsid w:val="24DD3346"/>
    <w:rsid w:val="24E3671F"/>
    <w:rsid w:val="2505221E"/>
    <w:rsid w:val="250B3E30"/>
    <w:rsid w:val="2547088E"/>
    <w:rsid w:val="255702B3"/>
    <w:rsid w:val="255F38D8"/>
    <w:rsid w:val="256949D4"/>
    <w:rsid w:val="258902F0"/>
    <w:rsid w:val="25C00A29"/>
    <w:rsid w:val="25E20748"/>
    <w:rsid w:val="262E2BF0"/>
    <w:rsid w:val="26570056"/>
    <w:rsid w:val="26603E08"/>
    <w:rsid w:val="26970E89"/>
    <w:rsid w:val="26A01175"/>
    <w:rsid w:val="26C65906"/>
    <w:rsid w:val="26E96ED2"/>
    <w:rsid w:val="26ED45D0"/>
    <w:rsid w:val="271D00F9"/>
    <w:rsid w:val="27331111"/>
    <w:rsid w:val="273F4B3B"/>
    <w:rsid w:val="27792E2D"/>
    <w:rsid w:val="279C2F76"/>
    <w:rsid w:val="27D57156"/>
    <w:rsid w:val="27D6065E"/>
    <w:rsid w:val="27D653AF"/>
    <w:rsid w:val="27D70179"/>
    <w:rsid w:val="27D75CDC"/>
    <w:rsid w:val="28361F03"/>
    <w:rsid w:val="28A50385"/>
    <w:rsid w:val="28CC5005"/>
    <w:rsid w:val="28F8587E"/>
    <w:rsid w:val="290343AE"/>
    <w:rsid w:val="291160C6"/>
    <w:rsid w:val="2939572B"/>
    <w:rsid w:val="297C76C1"/>
    <w:rsid w:val="29AC43A1"/>
    <w:rsid w:val="29AF761D"/>
    <w:rsid w:val="29D820FF"/>
    <w:rsid w:val="2A0E5C1D"/>
    <w:rsid w:val="2A2B2DDC"/>
    <w:rsid w:val="2A3D2F5C"/>
    <w:rsid w:val="2A3F5341"/>
    <w:rsid w:val="2A4D7420"/>
    <w:rsid w:val="2AA35BAA"/>
    <w:rsid w:val="2AD25B8D"/>
    <w:rsid w:val="2AEC71D9"/>
    <w:rsid w:val="2B2964C9"/>
    <w:rsid w:val="2B4246D1"/>
    <w:rsid w:val="2B4F7C97"/>
    <w:rsid w:val="2B7A4C52"/>
    <w:rsid w:val="2B89699D"/>
    <w:rsid w:val="2BDA65D4"/>
    <w:rsid w:val="2BEE56F0"/>
    <w:rsid w:val="2BFB11C0"/>
    <w:rsid w:val="2C3C08FD"/>
    <w:rsid w:val="2CC504CB"/>
    <w:rsid w:val="2CD233EC"/>
    <w:rsid w:val="2CFD645D"/>
    <w:rsid w:val="2D68464F"/>
    <w:rsid w:val="2D744FCC"/>
    <w:rsid w:val="2D8D24F6"/>
    <w:rsid w:val="2DBD4C6D"/>
    <w:rsid w:val="2DD87A0D"/>
    <w:rsid w:val="2DE01C7C"/>
    <w:rsid w:val="2DF31461"/>
    <w:rsid w:val="2E1003F2"/>
    <w:rsid w:val="2E1904FA"/>
    <w:rsid w:val="2E2E2CCE"/>
    <w:rsid w:val="2E6013E3"/>
    <w:rsid w:val="2E925077"/>
    <w:rsid w:val="2E987B02"/>
    <w:rsid w:val="2ED82E95"/>
    <w:rsid w:val="2EF554FD"/>
    <w:rsid w:val="2EF75477"/>
    <w:rsid w:val="2EFE4D16"/>
    <w:rsid w:val="2F2F5D1B"/>
    <w:rsid w:val="2F345EBC"/>
    <w:rsid w:val="2F3D1CE7"/>
    <w:rsid w:val="2FB77A9A"/>
    <w:rsid w:val="300C130C"/>
    <w:rsid w:val="30431877"/>
    <w:rsid w:val="30995254"/>
    <w:rsid w:val="30AB2728"/>
    <w:rsid w:val="30CD7E07"/>
    <w:rsid w:val="312205FC"/>
    <w:rsid w:val="3164238B"/>
    <w:rsid w:val="319025A2"/>
    <w:rsid w:val="31B75AED"/>
    <w:rsid w:val="31CE4602"/>
    <w:rsid w:val="325B64C4"/>
    <w:rsid w:val="32906B68"/>
    <w:rsid w:val="32A1483C"/>
    <w:rsid w:val="32E6265B"/>
    <w:rsid w:val="332C5129"/>
    <w:rsid w:val="33461B27"/>
    <w:rsid w:val="3347384D"/>
    <w:rsid w:val="33535FC7"/>
    <w:rsid w:val="3395576F"/>
    <w:rsid w:val="33997FDF"/>
    <w:rsid w:val="33CE53C0"/>
    <w:rsid w:val="33D864FD"/>
    <w:rsid w:val="34064989"/>
    <w:rsid w:val="342744C3"/>
    <w:rsid w:val="344835E3"/>
    <w:rsid w:val="344941FE"/>
    <w:rsid w:val="345A7545"/>
    <w:rsid w:val="34D65155"/>
    <w:rsid w:val="34F855AD"/>
    <w:rsid w:val="35032FA3"/>
    <w:rsid w:val="35096F16"/>
    <w:rsid w:val="354437FF"/>
    <w:rsid w:val="354A571D"/>
    <w:rsid w:val="355C63E1"/>
    <w:rsid w:val="35BA3DB7"/>
    <w:rsid w:val="35D40E96"/>
    <w:rsid w:val="3607441D"/>
    <w:rsid w:val="361D76C6"/>
    <w:rsid w:val="362959E9"/>
    <w:rsid w:val="36355258"/>
    <w:rsid w:val="369B7605"/>
    <w:rsid w:val="36BB265B"/>
    <w:rsid w:val="36D12FA1"/>
    <w:rsid w:val="36FC1727"/>
    <w:rsid w:val="372D1482"/>
    <w:rsid w:val="37436607"/>
    <w:rsid w:val="37632096"/>
    <w:rsid w:val="37676F1A"/>
    <w:rsid w:val="378843AC"/>
    <w:rsid w:val="378975FA"/>
    <w:rsid w:val="379A15C5"/>
    <w:rsid w:val="37D379A4"/>
    <w:rsid w:val="37F346E3"/>
    <w:rsid w:val="37FD43B5"/>
    <w:rsid w:val="380E2158"/>
    <w:rsid w:val="381D7DCD"/>
    <w:rsid w:val="3820716D"/>
    <w:rsid w:val="38310DAF"/>
    <w:rsid w:val="387E6470"/>
    <w:rsid w:val="38866519"/>
    <w:rsid w:val="388F62E6"/>
    <w:rsid w:val="38F13CFD"/>
    <w:rsid w:val="391F544D"/>
    <w:rsid w:val="39314985"/>
    <w:rsid w:val="39793035"/>
    <w:rsid w:val="39814222"/>
    <w:rsid w:val="39B52BA7"/>
    <w:rsid w:val="3A3D0A2A"/>
    <w:rsid w:val="3A6D1D60"/>
    <w:rsid w:val="3AD30E1A"/>
    <w:rsid w:val="3B3971C9"/>
    <w:rsid w:val="3B784D70"/>
    <w:rsid w:val="3BAB6B72"/>
    <w:rsid w:val="3C0A463C"/>
    <w:rsid w:val="3CD128C8"/>
    <w:rsid w:val="3CE77AC7"/>
    <w:rsid w:val="3CEA4E60"/>
    <w:rsid w:val="3CFC5999"/>
    <w:rsid w:val="3D335B22"/>
    <w:rsid w:val="3D95583D"/>
    <w:rsid w:val="3DF83CC0"/>
    <w:rsid w:val="3E273E7E"/>
    <w:rsid w:val="3E557116"/>
    <w:rsid w:val="3E6B7DEA"/>
    <w:rsid w:val="3E945256"/>
    <w:rsid w:val="3EAD7504"/>
    <w:rsid w:val="3EE62A84"/>
    <w:rsid w:val="3F1638BC"/>
    <w:rsid w:val="3F976F9F"/>
    <w:rsid w:val="40392C2F"/>
    <w:rsid w:val="404341A6"/>
    <w:rsid w:val="404615B2"/>
    <w:rsid w:val="407122E1"/>
    <w:rsid w:val="40832A40"/>
    <w:rsid w:val="40A9309D"/>
    <w:rsid w:val="40CE7A12"/>
    <w:rsid w:val="41096D40"/>
    <w:rsid w:val="411335A1"/>
    <w:rsid w:val="413A71B5"/>
    <w:rsid w:val="41500B60"/>
    <w:rsid w:val="41532419"/>
    <w:rsid w:val="41622502"/>
    <w:rsid w:val="41CC0D40"/>
    <w:rsid w:val="41F812D8"/>
    <w:rsid w:val="41F95BB4"/>
    <w:rsid w:val="42040480"/>
    <w:rsid w:val="421176EF"/>
    <w:rsid w:val="42257A17"/>
    <w:rsid w:val="425D6C3B"/>
    <w:rsid w:val="42825399"/>
    <w:rsid w:val="42991B37"/>
    <w:rsid w:val="431D6DB1"/>
    <w:rsid w:val="4333289D"/>
    <w:rsid w:val="43654641"/>
    <w:rsid w:val="436F452B"/>
    <w:rsid w:val="437B3CD7"/>
    <w:rsid w:val="43B10AB6"/>
    <w:rsid w:val="43B34E78"/>
    <w:rsid w:val="43EE2D4B"/>
    <w:rsid w:val="44057816"/>
    <w:rsid w:val="44150BF8"/>
    <w:rsid w:val="442E2A04"/>
    <w:rsid w:val="443C4D7E"/>
    <w:rsid w:val="44DE62E7"/>
    <w:rsid w:val="454E0359"/>
    <w:rsid w:val="45C63086"/>
    <w:rsid w:val="45D066BF"/>
    <w:rsid w:val="45D74BC7"/>
    <w:rsid w:val="460B40C9"/>
    <w:rsid w:val="462C77AC"/>
    <w:rsid w:val="465C2EA9"/>
    <w:rsid w:val="46760353"/>
    <w:rsid w:val="468A70E3"/>
    <w:rsid w:val="46A52DD5"/>
    <w:rsid w:val="46AF1B1A"/>
    <w:rsid w:val="46EC2271"/>
    <w:rsid w:val="474245EE"/>
    <w:rsid w:val="477B6EA9"/>
    <w:rsid w:val="47E21688"/>
    <w:rsid w:val="47EF69E7"/>
    <w:rsid w:val="480E3867"/>
    <w:rsid w:val="484E1B90"/>
    <w:rsid w:val="486F7C8F"/>
    <w:rsid w:val="48A352CC"/>
    <w:rsid w:val="48F14BA4"/>
    <w:rsid w:val="49170AD3"/>
    <w:rsid w:val="491915AF"/>
    <w:rsid w:val="49256C83"/>
    <w:rsid w:val="49372C47"/>
    <w:rsid w:val="49565D75"/>
    <w:rsid w:val="49750E77"/>
    <w:rsid w:val="498521A8"/>
    <w:rsid w:val="4A0015DD"/>
    <w:rsid w:val="4A2851EE"/>
    <w:rsid w:val="4A44724F"/>
    <w:rsid w:val="4A4D6101"/>
    <w:rsid w:val="4A630978"/>
    <w:rsid w:val="4A65004E"/>
    <w:rsid w:val="4A7C090F"/>
    <w:rsid w:val="4ABB3EE8"/>
    <w:rsid w:val="4AC83658"/>
    <w:rsid w:val="4B1D7D76"/>
    <w:rsid w:val="4B1E2E7E"/>
    <w:rsid w:val="4B3F2F81"/>
    <w:rsid w:val="4B4A3077"/>
    <w:rsid w:val="4B7E0087"/>
    <w:rsid w:val="4BD540F8"/>
    <w:rsid w:val="4BDF0E34"/>
    <w:rsid w:val="4BE430E1"/>
    <w:rsid w:val="4BEA1745"/>
    <w:rsid w:val="4BF13C75"/>
    <w:rsid w:val="4BF6722C"/>
    <w:rsid w:val="4C1D187B"/>
    <w:rsid w:val="4C3F25F0"/>
    <w:rsid w:val="4C724ACB"/>
    <w:rsid w:val="4C753FCB"/>
    <w:rsid w:val="4C9465B4"/>
    <w:rsid w:val="4CD511EF"/>
    <w:rsid w:val="4D015199"/>
    <w:rsid w:val="4D802FA2"/>
    <w:rsid w:val="4D9D4252"/>
    <w:rsid w:val="4DAA46C0"/>
    <w:rsid w:val="4DB0608D"/>
    <w:rsid w:val="4DC61A36"/>
    <w:rsid w:val="4DC81711"/>
    <w:rsid w:val="4DEB52F3"/>
    <w:rsid w:val="4E13249B"/>
    <w:rsid w:val="4E1B0EE7"/>
    <w:rsid w:val="4E262D0D"/>
    <w:rsid w:val="4E596709"/>
    <w:rsid w:val="4E62392E"/>
    <w:rsid w:val="4EAD3F70"/>
    <w:rsid w:val="4ED768D5"/>
    <w:rsid w:val="4EE74E2F"/>
    <w:rsid w:val="4F0476C8"/>
    <w:rsid w:val="4F0C1356"/>
    <w:rsid w:val="4F1264E9"/>
    <w:rsid w:val="4F8F43C4"/>
    <w:rsid w:val="4FC754FC"/>
    <w:rsid w:val="504F5CBA"/>
    <w:rsid w:val="5056191A"/>
    <w:rsid w:val="507065F0"/>
    <w:rsid w:val="507D0A4A"/>
    <w:rsid w:val="507D6D21"/>
    <w:rsid w:val="507E7EBC"/>
    <w:rsid w:val="50B52FC0"/>
    <w:rsid w:val="50D43331"/>
    <w:rsid w:val="50DA553D"/>
    <w:rsid w:val="50E16BEF"/>
    <w:rsid w:val="50EF7BF7"/>
    <w:rsid w:val="51046612"/>
    <w:rsid w:val="51173796"/>
    <w:rsid w:val="51297869"/>
    <w:rsid w:val="51340948"/>
    <w:rsid w:val="515447A4"/>
    <w:rsid w:val="516B54F4"/>
    <w:rsid w:val="51766359"/>
    <w:rsid w:val="51DA37CA"/>
    <w:rsid w:val="51E71171"/>
    <w:rsid w:val="520F5515"/>
    <w:rsid w:val="52192EE1"/>
    <w:rsid w:val="522F3481"/>
    <w:rsid w:val="52330B02"/>
    <w:rsid w:val="5279575E"/>
    <w:rsid w:val="52A3785A"/>
    <w:rsid w:val="52B1439A"/>
    <w:rsid w:val="52B14CB6"/>
    <w:rsid w:val="52DD72D7"/>
    <w:rsid w:val="530528C7"/>
    <w:rsid w:val="531E30DB"/>
    <w:rsid w:val="532E56AD"/>
    <w:rsid w:val="534619FE"/>
    <w:rsid w:val="53583E44"/>
    <w:rsid w:val="53A96614"/>
    <w:rsid w:val="53B43BDD"/>
    <w:rsid w:val="53B94349"/>
    <w:rsid w:val="540F1C1E"/>
    <w:rsid w:val="547F3303"/>
    <w:rsid w:val="54CF72FE"/>
    <w:rsid w:val="54E33BDB"/>
    <w:rsid w:val="54F22174"/>
    <w:rsid w:val="552F7F30"/>
    <w:rsid w:val="553F5041"/>
    <w:rsid w:val="55466F32"/>
    <w:rsid w:val="555F6894"/>
    <w:rsid w:val="55991913"/>
    <w:rsid w:val="55E362AE"/>
    <w:rsid w:val="5606663F"/>
    <w:rsid w:val="56501869"/>
    <w:rsid w:val="56733E26"/>
    <w:rsid w:val="56947083"/>
    <w:rsid w:val="56C45206"/>
    <w:rsid w:val="56FE05BE"/>
    <w:rsid w:val="57601A49"/>
    <w:rsid w:val="576277D6"/>
    <w:rsid w:val="57AD0326"/>
    <w:rsid w:val="57DA7C54"/>
    <w:rsid w:val="57E54C95"/>
    <w:rsid w:val="57EC66BA"/>
    <w:rsid w:val="58096F09"/>
    <w:rsid w:val="58222D29"/>
    <w:rsid w:val="585E638A"/>
    <w:rsid w:val="58617EE7"/>
    <w:rsid w:val="58640E0E"/>
    <w:rsid w:val="58A14734"/>
    <w:rsid w:val="58B820F5"/>
    <w:rsid w:val="58E75391"/>
    <w:rsid w:val="59202490"/>
    <w:rsid w:val="59406B65"/>
    <w:rsid w:val="59527E53"/>
    <w:rsid w:val="59940975"/>
    <w:rsid w:val="59963C3F"/>
    <w:rsid w:val="59C02DC6"/>
    <w:rsid w:val="59EE0AA9"/>
    <w:rsid w:val="5A177B67"/>
    <w:rsid w:val="5AA97152"/>
    <w:rsid w:val="5AB77C5A"/>
    <w:rsid w:val="5AF70539"/>
    <w:rsid w:val="5B3C75F7"/>
    <w:rsid w:val="5C141B2B"/>
    <w:rsid w:val="5C415BB6"/>
    <w:rsid w:val="5C5C1C6C"/>
    <w:rsid w:val="5C6473D3"/>
    <w:rsid w:val="5CBA586F"/>
    <w:rsid w:val="5CD87454"/>
    <w:rsid w:val="5CE6065A"/>
    <w:rsid w:val="5D1437BC"/>
    <w:rsid w:val="5D2239FC"/>
    <w:rsid w:val="5D322B93"/>
    <w:rsid w:val="5D583187"/>
    <w:rsid w:val="5D592D58"/>
    <w:rsid w:val="5D85035F"/>
    <w:rsid w:val="5D87126D"/>
    <w:rsid w:val="5D8B7293"/>
    <w:rsid w:val="5DCE595C"/>
    <w:rsid w:val="5DD942A1"/>
    <w:rsid w:val="5DE03E58"/>
    <w:rsid w:val="5E0617F5"/>
    <w:rsid w:val="5EF8201F"/>
    <w:rsid w:val="5EFC0892"/>
    <w:rsid w:val="5F493FC5"/>
    <w:rsid w:val="5FA376C7"/>
    <w:rsid w:val="5FC55938"/>
    <w:rsid w:val="5FEB577B"/>
    <w:rsid w:val="5FF14C77"/>
    <w:rsid w:val="5FF913C4"/>
    <w:rsid w:val="601C7E2C"/>
    <w:rsid w:val="601D105B"/>
    <w:rsid w:val="60291CDF"/>
    <w:rsid w:val="605B2654"/>
    <w:rsid w:val="606424D0"/>
    <w:rsid w:val="60756D9A"/>
    <w:rsid w:val="60D0687A"/>
    <w:rsid w:val="60DE2F38"/>
    <w:rsid w:val="60E739BF"/>
    <w:rsid w:val="60FF17F7"/>
    <w:rsid w:val="61123764"/>
    <w:rsid w:val="61311605"/>
    <w:rsid w:val="61530BDF"/>
    <w:rsid w:val="61CA2C9C"/>
    <w:rsid w:val="61E02374"/>
    <w:rsid w:val="61FB5754"/>
    <w:rsid w:val="62067F45"/>
    <w:rsid w:val="62210AF2"/>
    <w:rsid w:val="62676133"/>
    <w:rsid w:val="62734239"/>
    <w:rsid w:val="627A7836"/>
    <w:rsid w:val="62A54E77"/>
    <w:rsid w:val="62DB0617"/>
    <w:rsid w:val="63004774"/>
    <w:rsid w:val="632F49F4"/>
    <w:rsid w:val="633D0E7B"/>
    <w:rsid w:val="63487B67"/>
    <w:rsid w:val="634B05FC"/>
    <w:rsid w:val="6354494B"/>
    <w:rsid w:val="636C39A2"/>
    <w:rsid w:val="63C651A5"/>
    <w:rsid w:val="63E35389"/>
    <w:rsid w:val="63E47826"/>
    <w:rsid w:val="63F83826"/>
    <w:rsid w:val="640D51D9"/>
    <w:rsid w:val="64225244"/>
    <w:rsid w:val="64271B6A"/>
    <w:rsid w:val="645227E6"/>
    <w:rsid w:val="645D051D"/>
    <w:rsid w:val="646769FF"/>
    <w:rsid w:val="64736CCA"/>
    <w:rsid w:val="647A7F70"/>
    <w:rsid w:val="648770A9"/>
    <w:rsid w:val="648E2F9E"/>
    <w:rsid w:val="64DA5CA8"/>
    <w:rsid w:val="64DC43F8"/>
    <w:rsid w:val="64E870F9"/>
    <w:rsid w:val="64FA224C"/>
    <w:rsid w:val="6558052E"/>
    <w:rsid w:val="655E34FE"/>
    <w:rsid w:val="658B46C0"/>
    <w:rsid w:val="65966F79"/>
    <w:rsid w:val="65B5783A"/>
    <w:rsid w:val="65EE6532"/>
    <w:rsid w:val="65F62886"/>
    <w:rsid w:val="66011878"/>
    <w:rsid w:val="66063361"/>
    <w:rsid w:val="661139EB"/>
    <w:rsid w:val="66296DDA"/>
    <w:rsid w:val="66697AE3"/>
    <w:rsid w:val="668453F4"/>
    <w:rsid w:val="66970A7A"/>
    <w:rsid w:val="66E86068"/>
    <w:rsid w:val="6744688F"/>
    <w:rsid w:val="6750612E"/>
    <w:rsid w:val="6751271D"/>
    <w:rsid w:val="675A2700"/>
    <w:rsid w:val="675B0B65"/>
    <w:rsid w:val="676F7367"/>
    <w:rsid w:val="67C32D5F"/>
    <w:rsid w:val="67C72BA7"/>
    <w:rsid w:val="684857FF"/>
    <w:rsid w:val="684B3C23"/>
    <w:rsid w:val="68827231"/>
    <w:rsid w:val="68852C68"/>
    <w:rsid w:val="689C5B6E"/>
    <w:rsid w:val="68D872AA"/>
    <w:rsid w:val="68E02072"/>
    <w:rsid w:val="68E25C55"/>
    <w:rsid w:val="68EA22BE"/>
    <w:rsid w:val="69487D2B"/>
    <w:rsid w:val="694A2E19"/>
    <w:rsid w:val="69767F6A"/>
    <w:rsid w:val="6A040CAF"/>
    <w:rsid w:val="6A54552E"/>
    <w:rsid w:val="6A5A50DB"/>
    <w:rsid w:val="6A5D5F23"/>
    <w:rsid w:val="6A9378FB"/>
    <w:rsid w:val="6AA3581F"/>
    <w:rsid w:val="6AD2294A"/>
    <w:rsid w:val="6B202FC2"/>
    <w:rsid w:val="6B21363B"/>
    <w:rsid w:val="6B421FAA"/>
    <w:rsid w:val="6B6729F4"/>
    <w:rsid w:val="6B7A4E37"/>
    <w:rsid w:val="6B850F32"/>
    <w:rsid w:val="6B9F5FA3"/>
    <w:rsid w:val="6BE5741F"/>
    <w:rsid w:val="6BF8017B"/>
    <w:rsid w:val="6C10207E"/>
    <w:rsid w:val="6CBE5A19"/>
    <w:rsid w:val="6CE958D7"/>
    <w:rsid w:val="6D074E00"/>
    <w:rsid w:val="6D574FDD"/>
    <w:rsid w:val="6D8F464A"/>
    <w:rsid w:val="6DFC51BF"/>
    <w:rsid w:val="6E454D70"/>
    <w:rsid w:val="6E467DB9"/>
    <w:rsid w:val="6E515E19"/>
    <w:rsid w:val="6EA134B8"/>
    <w:rsid w:val="6EAA27C3"/>
    <w:rsid w:val="6EC04574"/>
    <w:rsid w:val="6EF924DB"/>
    <w:rsid w:val="6F171639"/>
    <w:rsid w:val="6F5F7F28"/>
    <w:rsid w:val="6F676825"/>
    <w:rsid w:val="6FA721A5"/>
    <w:rsid w:val="70217959"/>
    <w:rsid w:val="702A21C1"/>
    <w:rsid w:val="70473E9F"/>
    <w:rsid w:val="707F0080"/>
    <w:rsid w:val="70F55AED"/>
    <w:rsid w:val="71AD3967"/>
    <w:rsid w:val="71D15B57"/>
    <w:rsid w:val="721050D5"/>
    <w:rsid w:val="72A0381D"/>
    <w:rsid w:val="72CA51E0"/>
    <w:rsid w:val="72CF0769"/>
    <w:rsid w:val="73096AF0"/>
    <w:rsid w:val="7354018C"/>
    <w:rsid w:val="735A3FAC"/>
    <w:rsid w:val="73651125"/>
    <w:rsid w:val="73770314"/>
    <w:rsid w:val="73C568AD"/>
    <w:rsid w:val="73CD3C70"/>
    <w:rsid w:val="741F3553"/>
    <w:rsid w:val="74476746"/>
    <w:rsid w:val="745E7127"/>
    <w:rsid w:val="74627970"/>
    <w:rsid w:val="749C5F27"/>
    <w:rsid w:val="74A57CD0"/>
    <w:rsid w:val="74AD0D6D"/>
    <w:rsid w:val="74C253D8"/>
    <w:rsid w:val="74C74A76"/>
    <w:rsid w:val="74D2344C"/>
    <w:rsid w:val="74EA7873"/>
    <w:rsid w:val="74F15F0B"/>
    <w:rsid w:val="754B121E"/>
    <w:rsid w:val="754B3E30"/>
    <w:rsid w:val="75644329"/>
    <w:rsid w:val="757768CB"/>
    <w:rsid w:val="75D53E42"/>
    <w:rsid w:val="75E37B18"/>
    <w:rsid w:val="764A4E0F"/>
    <w:rsid w:val="76641B0F"/>
    <w:rsid w:val="767D5DDD"/>
    <w:rsid w:val="768E588C"/>
    <w:rsid w:val="76C64243"/>
    <w:rsid w:val="77DE3DB0"/>
    <w:rsid w:val="77E4129E"/>
    <w:rsid w:val="780D6FF3"/>
    <w:rsid w:val="781D265F"/>
    <w:rsid w:val="782C1AFF"/>
    <w:rsid w:val="78746941"/>
    <w:rsid w:val="7908733A"/>
    <w:rsid w:val="790E2C10"/>
    <w:rsid w:val="79980BC9"/>
    <w:rsid w:val="79985ACD"/>
    <w:rsid w:val="79AE6B67"/>
    <w:rsid w:val="79BB2D4D"/>
    <w:rsid w:val="79EC2EB5"/>
    <w:rsid w:val="7A011019"/>
    <w:rsid w:val="7A395F71"/>
    <w:rsid w:val="7A422B33"/>
    <w:rsid w:val="7A453306"/>
    <w:rsid w:val="7A487ABD"/>
    <w:rsid w:val="7A4A6A0E"/>
    <w:rsid w:val="7A4B667F"/>
    <w:rsid w:val="7AD37600"/>
    <w:rsid w:val="7B0505C0"/>
    <w:rsid w:val="7B331BF9"/>
    <w:rsid w:val="7B483F2C"/>
    <w:rsid w:val="7BAA7647"/>
    <w:rsid w:val="7BDD4737"/>
    <w:rsid w:val="7BDF5E3B"/>
    <w:rsid w:val="7BDF7A2F"/>
    <w:rsid w:val="7C562F29"/>
    <w:rsid w:val="7C7A4C29"/>
    <w:rsid w:val="7C831EB9"/>
    <w:rsid w:val="7C9B3781"/>
    <w:rsid w:val="7CAB423E"/>
    <w:rsid w:val="7CB31D54"/>
    <w:rsid w:val="7CCC32AC"/>
    <w:rsid w:val="7CEC3041"/>
    <w:rsid w:val="7D47493F"/>
    <w:rsid w:val="7DD43F1B"/>
    <w:rsid w:val="7E3A02DD"/>
    <w:rsid w:val="7E480B6A"/>
    <w:rsid w:val="7E701652"/>
    <w:rsid w:val="7E82063E"/>
    <w:rsid w:val="7ECA7C69"/>
    <w:rsid w:val="7ECE78E6"/>
    <w:rsid w:val="7EDD0C47"/>
    <w:rsid w:val="7EDF32D7"/>
    <w:rsid w:val="7EF01914"/>
    <w:rsid w:val="7F1A5678"/>
    <w:rsid w:val="7F2E5451"/>
    <w:rsid w:val="7F831C39"/>
    <w:rsid w:val="7FBC69C1"/>
    <w:rsid w:val="7FD708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420" w:firstLineChars="200"/>
      <w:jc w:val="both"/>
    </w:pPr>
    <w:rPr>
      <w:rFonts w:eastAsia="仿宋" w:asciiTheme="minorHAnsi" w:hAnsiTheme="minorHAnsi" w:cstheme="minorBidi"/>
      <w:kern w:val="2"/>
      <w:sz w:val="32"/>
      <w:szCs w:val="24"/>
      <w:lang w:val="en-US" w:eastAsia="zh-CN" w:bidi="ar-SA"/>
    </w:rPr>
  </w:style>
  <w:style w:type="paragraph" w:styleId="3">
    <w:name w:val="heading 1"/>
    <w:basedOn w:val="1"/>
    <w:next w:val="1"/>
    <w:link w:val="31"/>
    <w:qFormat/>
    <w:uiPriority w:val="0"/>
    <w:pPr>
      <w:keepNext/>
      <w:keepLines/>
      <w:spacing w:line="360" w:lineRule="auto"/>
      <w:ind w:firstLine="0" w:firstLineChars="0"/>
      <w:jc w:val="center"/>
      <w:outlineLvl w:val="0"/>
    </w:pPr>
    <w:rPr>
      <w:rFonts w:eastAsia="黑体"/>
      <w:kern w:val="44"/>
    </w:rPr>
  </w:style>
  <w:style w:type="paragraph" w:styleId="4">
    <w:name w:val="heading 2"/>
    <w:basedOn w:val="1"/>
    <w:next w:val="1"/>
    <w:link w:val="32"/>
    <w:unhideWhenUsed/>
    <w:qFormat/>
    <w:uiPriority w:val="0"/>
    <w:pPr>
      <w:keepNext/>
      <w:keepLines/>
      <w:spacing w:line="560" w:lineRule="exact"/>
      <w:ind w:firstLine="0" w:firstLineChars="0"/>
      <w:jc w:val="center"/>
      <w:outlineLvl w:val="1"/>
    </w:pPr>
    <w:rPr>
      <w:rFonts w:ascii="Arial" w:hAnsi="Arial" w:eastAsia="黑体"/>
    </w:rPr>
  </w:style>
  <w:style w:type="paragraph" w:styleId="5">
    <w:name w:val="heading 3"/>
    <w:basedOn w:val="1"/>
    <w:next w:val="1"/>
    <w:unhideWhenUsed/>
    <w:qFormat/>
    <w:uiPriority w:val="0"/>
    <w:pPr>
      <w:keepNext/>
      <w:keepLines/>
      <w:spacing w:line="560" w:lineRule="exact"/>
      <w:outlineLvl w:val="2"/>
    </w:pPr>
    <w:rPr>
      <w:rFonts w:eastAsia="楷体"/>
    </w:rPr>
  </w:style>
  <w:style w:type="paragraph" w:styleId="6">
    <w:name w:val="heading 4"/>
    <w:basedOn w:val="1"/>
    <w:next w:val="1"/>
    <w:unhideWhenUsed/>
    <w:qFormat/>
    <w:uiPriority w:val="0"/>
    <w:pPr>
      <w:keepNext/>
      <w:keepLines/>
      <w:ind w:firstLine="0" w:firstLineChars="0"/>
      <w:jc w:val="center"/>
      <w:outlineLvl w:val="3"/>
    </w:pPr>
    <w:rPr>
      <w:rFonts w:ascii="Arial" w:hAnsi="Arial" w:eastAsia="黑体"/>
      <w:sz w:val="28"/>
    </w:rPr>
  </w:style>
  <w:style w:type="paragraph" w:styleId="7">
    <w:name w:val="heading 5"/>
    <w:basedOn w:val="1"/>
    <w:next w:val="1"/>
    <w:semiHidden/>
    <w:unhideWhenUsed/>
    <w:qFormat/>
    <w:uiPriority w:val="0"/>
    <w:pPr>
      <w:keepNext/>
      <w:keepLines/>
      <w:spacing w:line="372" w:lineRule="auto"/>
      <w:outlineLvl w:val="4"/>
    </w:pPr>
    <w:rPr>
      <w:b/>
      <w:sz w:val="28"/>
    </w:rPr>
  </w:style>
  <w:style w:type="paragraph" w:styleId="8">
    <w:name w:val="heading 6"/>
    <w:basedOn w:val="1"/>
    <w:next w:val="1"/>
    <w:link w:val="30"/>
    <w:unhideWhenUsed/>
    <w:qFormat/>
    <w:uiPriority w:val="0"/>
    <w:pPr>
      <w:keepNext/>
      <w:keepLines/>
      <w:spacing w:before="240" w:after="64" w:line="320" w:lineRule="auto"/>
      <w:outlineLvl w:val="5"/>
    </w:pPr>
    <w:rPr>
      <w:rFonts w:asciiTheme="majorHAnsi" w:hAnsiTheme="majorHAnsi" w:eastAsiaTheme="majorEastAsia" w:cstheme="majorBidi"/>
      <w:b/>
      <w:bCs/>
      <w:sz w:val="24"/>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35"/>
    <w:qFormat/>
    <w:uiPriority w:val="0"/>
    <w:rPr>
      <w:rFonts w:hint="eastAsia" w:ascii="宋体" w:hAnsi="Courier New"/>
    </w:rPr>
  </w:style>
  <w:style w:type="paragraph" w:styleId="9">
    <w:name w:val="Normal Indent"/>
    <w:basedOn w:val="1"/>
    <w:next w:val="10"/>
    <w:qFormat/>
    <w:uiPriority w:val="0"/>
    <w:pPr>
      <w:spacing w:line="360" w:lineRule="auto"/>
      <w:ind w:firstLine="200"/>
    </w:pPr>
    <w:rPr>
      <w:rFonts w:ascii="Times New Roman" w:hAnsi="Times New Roman"/>
      <w:sz w:val="24"/>
    </w:rPr>
  </w:style>
  <w:style w:type="paragraph" w:styleId="10">
    <w:name w:val="toc 4"/>
    <w:basedOn w:val="1"/>
    <w:next w:val="1"/>
    <w:qFormat/>
    <w:uiPriority w:val="0"/>
    <w:pPr>
      <w:ind w:left="1260" w:leftChars="600"/>
    </w:pPr>
  </w:style>
  <w:style w:type="paragraph" w:styleId="11">
    <w:name w:val="Body Text"/>
    <w:basedOn w:val="1"/>
    <w:next w:val="1"/>
    <w:unhideWhenUsed/>
    <w:qFormat/>
    <w:uiPriority w:val="99"/>
  </w:style>
  <w:style w:type="paragraph" w:styleId="12">
    <w:name w:val="Balloon Text"/>
    <w:basedOn w:val="1"/>
    <w:link w:val="29"/>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qFormat/>
    <w:uiPriority w:val="0"/>
  </w:style>
  <w:style w:type="paragraph" w:styleId="16">
    <w:name w:val="footnote text"/>
    <w:basedOn w:val="1"/>
    <w:qFormat/>
    <w:uiPriority w:val="0"/>
    <w:pPr>
      <w:snapToGrid w:val="0"/>
      <w:jc w:val="left"/>
    </w:pPr>
    <w:rPr>
      <w:sz w:val="18"/>
    </w:rPr>
  </w:style>
  <w:style w:type="paragraph" w:styleId="17">
    <w:name w:val="toc 2"/>
    <w:basedOn w:val="1"/>
    <w:next w:val="1"/>
    <w:qFormat/>
    <w:uiPriority w:val="0"/>
    <w:pPr>
      <w:ind w:left="420" w:leftChars="200"/>
    </w:pPr>
  </w:style>
  <w:style w:type="paragraph" w:styleId="18">
    <w:name w:val="Body Text First Indent 2"/>
    <w:basedOn w:val="9"/>
    <w:qFormat/>
    <w:uiPriority w:val="0"/>
    <w:rPr>
      <w:rFonts w:eastAsia="宋体" w:cs="Times New Roman"/>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rPr>
  </w:style>
  <w:style w:type="character" w:styleId="23">
    <w:name w:val="Emphasis"/>
    <w:basedOn w:val="21"/>
    <w:qFormat/>
    <w:uiPriority w:val="20"/>
    <w:rPr>
      <w:i/>
    </w:rPr>
  </w:style>
  <w:style w:type="character" w:styleId="24">
    <w:name w:val="footnote reference"/>
    <w:basedOn w:val="21"/>
    <w:qFormat/>
    <w:uiPriority w:val="0"/>
    <w:rPr>
      <w:vertAlign w:val="superscript"/>
    </w:rPr>
  </w:style>
  <w:style w:type="paragraph" w:customStyle="1" w:styleId="25">
    <w:name w:val="表格内容"/>
    <w:basedOn w:val="1"/>
    <w:qFormat/>
    <w:uiPriority w:val="0"/>
    <w:pPr>
      <w:adjustRightInd w:val="0"/>
      <w:ind w:firstLine="0" w:firstLineChars="0"/>
      <w:jc w:val="center"/>
    </w:pPr>
    <w:rPr>
      <w:sz w:val="24"/>
    </w:rPr>
  </w:style>
  <w:style w:type="paragraph" w:customStyle="1" w:styleId="26">
    <w:name w:val="图表内容"/>
    <w:basedOn w:val="1"/>
    <w:qFormat/>
    <w:uiPriority w:val="0"/>
    <w:pPr>
      <w:ind w:firstLine="0" w:firstLineChars="0"/>
    </w:pPr>
    <w:rPr>
      <w:rFonts w:eastAsia="宋体"/>
      <w:sz w:val="24"/>
    </w:rPr>
  </w:style>
  <w:style w:type="paragraph" w:customStyle="1" w:styleId="27">
    <w:name w:val="WPSOffice手动目录 1"/>
    <w:qFormat/>
    <w:uiPriority w:val="0"/>
    <w:rPr>
      <w:rFonts w:asciiTheme="minorHAnsi" w:hAnsiTheme="minorHAnsi" w:eastAsiaTheme="minorEastAsia" w:cstheme="minorBidi"/>
      <w:lang w:val="en-US" w:eastAsia="zh-CN" w:bidi="ar-SA"/>
    </w:rPr>
  </w:style>
  <w:style w:type="paragraph" w:customStyle="1" w:styleId="28">
    <w:name w:val="WPSOffice手动目录 2"/>
    <w:qFormat/>
    <w:uiPriority w:val="0"/>
    <w:pPr>
      <w:ind w:left="200" w:leftChars="200"/>
    </w:pPr>
    <w:rPr>
      <w:rFonts w:asciiTheme="minorHAnsi" w:hAnsiTheme="minorHAnsi" w:eastAsiaTheme="minorEastAsia" w:cstheme="minorBidi"/>
      <w:lang w:val="en-US" w:eastAsia="zh-CN" w:bidi="ar-SA"/>
    </w:rPr>
  </w:style>
  <w:style w:type="character" w:customStyle="1" w:styleId="29">
    <w:name w:val="批注框文本 Char"/>
    <w:basedOn w:val="21"/>
    <w:link w:val="12"/>
    <w:qFormat/>
    <w:uiPriority w:val="0"/>
    <w:rPr>
      <w:rFonts w:eastAsia="仿宋" w:asciiTheme="minorHAnsi" w:hAnsiTheme="minorHAnsi" w:cstheme="minorBidi"/>
      <w:kern w:val="2"/>
      <w:sz w:val="18"/>
      <w:szCs w:val="18"/>
    </w:rPr>
  </w:style>
  <w:style w:type="character" w:customStyle="1" w:styleId="30">
    <w:name w:val="标题 6 Char"/>
    <w:basedOn w:val="21"/>
    <w:link w:val="8"/>
    <w:qFormat/>
    <w:uiPriority w:val="0"/>
    <w:rPr>
      <w:rFonts w:asciiTheme="majorHAnsi" w:hAnsiTheme="majorHAnsi" w:eastAsiaTheme="majorEastAsia" w:cstheme="majorBidi"/>
      <w:b/>
      <w:bCs/>
      <w:kern w:val="2"/>
      <w:sz w:val="24"/>
      <w:szCs w:val="24"/>
    </w:rPr>
  </w:style>
  <w:style w:type="character" w:customStyle="1" w:styleId="31">
    <w:name w:val="标题 1 Char"/>
    <w:basedOn w:val="21"/>
    <w:link w:val="3"/>
    <w:qFormat/>
    <w:uiPriority w:val="0"/>
    <w:rPr>
      <w:rFonts w:eastAsia="黑体" w:asciiTheme="minorHAnsi" w:hAnsiTheme="minorHAnsi" w:cstheme="minorBidi"/>
      <w:kern w:val="44"/>
      <w:sz w:val="32"/>
      <w:szCs w:val="24"/>
    </w:rPr>
  </w:style>
  <w:style w:type="character" w:customStyle="1" w:styleId="32">
    <w:name w:val="标题 2 Char"/>
    <w:basedOn w:val="21"/>
    <w:link w:val="4"/>
    <w:qFormat/>
    <w:uiPriority w:val="0"/>
    <w:rPr>
      <w:rFonts w:ascii="Arial" w:hAnsi="Arial" w:eastAsia="黑体" w:cstheme="minorBidi"/>
      <w:kern w:val="2"/>
      <w:sz w:val="32"/>
      <w:szCs w:val="24"/>
    </w:rPr>
  </w:style>
  <w:style w:type="paragraph" w:customStyle="1" w:styleId="33">
    <w:name w:val="正文首行缩进 21"/>
    <w:basedOn w:val="1"/>
    <w:qFormat/>
    <w:uiPriority w:val="0"/>
    <w:rPr>
      <w:rFonts w:ascii="Times New Roman" w:eastAsia="宋体"/>
      <w:sz w:val="24"/>
    </w:rPr>
  </w:style>
  <w:style w:type="character" w:customStyle="1" w:styleId="34">
    <w:name w:val="15"/>
    <w:qFormat/>
    <w:uiPriority w:val="0"/>
    <w:rPr>
      <w:rFonts w:hint="default" w:ascii="Times New Roman" w:hAnsi="Times New Roman" w:cs="Times New Roman"/>
      <w:sz w:val="20"/>
      <w:szCs w:val="20"/>
    </w:rPr>
  </w:style>
  <w:style w:type="character" w:customStyle="1" w:styleId="35">
    <w:name w:val="纯文本 Char"/>
    <w:basedOn w:val="21"/>
    <w:link w:val="2"/>
    <w:qFormat/>
    <w:uiPriority w:val="0"/>
    <w:rPr>
      <w:rFonts w:ascii="宋体" w:hAnsi="Courier New" w:eastAsia="仿宋" w:cstheme="minorBidi"/>
      <w:kern w:val="2"/>
      <w:sz w:val="32"/>
      <w:szCs w:val="24"/>
    </w:rPr>
  </w:style>
  <w:style w:type="character" w:customStyle="1" w:styleId="36">
    <w:name w:val="fontstyle01"/>
    <w:basedOn w:val="21"/>
    <w:qFormat/>
    <w:uiPriority w:val="0"/>
    <w:rPr>
      <w:rFonts w:hint="eastAsia" w:ascii="仿宋_GB2312" w:eastAsia="仿宋_GB2312"/>
      <w:color w:val="000000"/>
      <w:sz w:val="32"/>
      <w:szCs w:val="32"/>
    </w:rPr>
  </w:style>
  <w:style w:type="character" w:customStyle="1" w:styleId="37">
    <w:name w:val="fontstyle21"/>
    <w:basedOn w:val="21"/>
    <w:qFormat/>
    <w:uiPriority w:val="0"/>
    <w:rPr>
      <w:rFonts w:hint="eastAsia" w:ascii="宋体" w:hAnsi="宋体" w:eastAsia="宋体"/>
      <w:color w:val="000000"/>
      <w:sz w:val="28"/>
      <w:szCs w:val="28"/>
    </w:rPr>
  </w:style>
  <w:style w:type="character" w:customStyle="1" w:styleId="38">
    <w:name w:val="fontstyle31"/>
    <w:basedOn w:val="21"/>
    <w:qFormat/>
    <w:uiPriority w:val="0"/>
    <w:rPr>
      <w:rFonts w:hint="eastAsia" w:ascii="宋体" w:hAnsi="宋体" w:eastAsia="宋体"/>
      <w:color w:val="000000"/>
      <w:sz w:val="28"/>
      <w:szCs w:val="28"/>
    </w:rPr>
  </w:style>
  <w:style w:type="character" w:customStyle="1" w:styleId="39">
    <w:name w:val="fontstyle41"/>
    <w:basedOn w:val="21"/>
    <w:qFormat/>
    <w:uiPriority w:val="0"/>
    <w:rPr>
      <w:rFonts w:hint="eastAsia" w:ascii="宋体" w:hAnsi="宋体" w:eastAsia="宋体"/>
      <w:color w:val="000000"/>
      <w:sz w:val="28"/>
      <w:szCs w:val="28"/>
    </w:rPr>
  </w:style>
  <w:style w:type="paragraph" w:customStyle="1" w:styleId="40">
    <w:name w:val="Default"/>
    <w:next w:val="1"/>
    <w:qFormat/>
    <w:uiPriority w:val="0"/>
    <w:pPr>
      <w:widowControl w:val="0"/>
      <w:autoSpaceDE w:val="0"/>
      <w:autoSpaceDN w:val="0"/>
      <w:adjustRightInd w:val="0"/>
    </w:pPr>
    <w:rPr>
      <w:rFonts w:ascii="仿宋_GB2312" w:hAnsi="仿宋_GB2312" w:eastAsia="仿宋_GB2312"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31" textRotate="1"/>
    <customShpInfo spid="_x0000_s1029" textRotate="1"/>
    <customShpInfo spid="_x0000_s1033"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332ADA-357A-4F81-85F9-458942B9177E}">
  <ds:schemaRefs/>
</ds:datastoreItem>
</file>

<file path=docProps/app.xml><?xml version="1.0" encoding="utf-8"?>
<Properties xmlns="http://schemas.openxmlformats.org/officeDocument/2006/extended-properties" xmlns:vt="http://schemas.openxmlformats.org/officeDocument/2006/docPropsVTypes">
  <Template>Normal</Template>
  <Pages>76</Pages>
  <Words>36853</Words>
  <Characters>37108</Characters>
  <Lines>283</Lines>
  <Paragraphs>79</Paragraphs>
  <TotalTime>0</TotalTime>
  <ScaleCrop>false</ScaleCrop>
  <LinksUpToDate>false</LinksUpToDate>
  <CharactersWithSpaces>37482</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2020-07-31T00:03:00Z</dcterms:created>
  <dc:creator>清葵</dc:creator>
  <cp:lastModifiedBy>hjd</cp:lastModifiedBy>
  <cp:lastPrinted>2021-06-07T03:27:00Z</cp:lastPrinted>
  <dcterms:modified xsi:type="dcterms:W3CDTF">2023-03-30T05:44:22Z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ribbonExt">
    <vt:lpwstr>{"WPSExtOfficeTab":{"OnGetEnabled":false,"OnGetVisible":false}}</vt:lpwstr>
  </property>
  <property fmtid="{D5CDD505-2E9C-101B-9397-08002B2CF9AE}" pid="4" name="ICV">
    <vt:lpwstr>D8AE958FC2A543BAACDF6FAC7BB938C7</vt:lpwstr>
  </property>
</Properties>
</file>