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b/>
          <w:bCs/>
          <w:sz w:val="44"/>
          <w:szCs w:val="44"/>
        </w:rPr>
      </w:pPr>
    </w:p>
    <w:p>
      <w:pPr>
        <w:jc w:val="center"/>
        <w:rPr>
          <w:rFonts w:hint="eastAsia" w:ascii="仿宋" w:hAnsi="仿宋" w:eastAsia="仿宋"/>
          <w:b/>
          <w:bCs/>
          <w:sz w:val="44"/>
          <w:szCs w:val="44"/>
        </w:rPr>
      </w:pPr>
    </w:p>
    <w:p>
      <w:pPr>
        <w:pStyle w:val="5"/>
        <w:widowControl/>
        <w:spacing w:line="480" w:lineRule="auto"/>
        <w:ind w:left="74"/>
        <w:jc w:val="center"/>
        <w:rPr>
          <w:rFonts w:hint="eastAsia" w:ascii="仿宋_GB2312" w:hAnsi="仿宋_GB2312" w:cs="仿宋_GB2312"/>
          <w:sz w:val="32"/>
          <w:szCs w:val="32"/>
          <w:lang w:val="en-US" w:eastAsia="zh-CN"/>
        </w:rPr>
      </w:pPr>
      <w:r>
        <w:rPr>
          <w:rFonts w:hint="eastAsia" w:ascii="方正小标宋简体" w:hAnsi="方正小标宋简体" w:eastAsia="方正小标宋简体" w:cs="方正小标宋简体"/>
          <w:color w:val="000000"/>
          <w:kern w:val="0"/>
          <w:sz w:val="44"/>
          <w:szCs w:val="44"/>
          <w:shd w:val="clear" w:color="auto" w:fill="FFFFFF"/>
          <w:lang w:val="en-US" w:eastAsia="zh-CN"/>
        </w:rPr>
        <w:t>区城管局2019年度法治政府建设情况</w:t>
      </w:r>
    </w:p>
    <w:p>
      <w:pPr>
        <w:pStyle w:val="5"/>
        <w:widowControl/>
        <w:spacing w:line="480" w:lineRule="auto"/>
        <w:ind w:firstLine="640" w:firstLineChars="200"/>
        <w:jc w:val="left"/>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 xml:space="preserve">   </w:t>
      </w:r>
    </w:p>
    <w:p>
      <w:pPr>
        <w:pStyle w:val="5"/>
        <w:widowControl/>
        <w:spacing w:line="480" w:lineRule="auto"/>
        <w:ind w:firstLine="640" w:firstLineChars="200"/>
        <w:jc w:val="left"/>
        <w:rPr>
          <w:rFonts w:hint="eastAsia" w:ascii="仿宋_GB2312" w:hAnsi="仿宋_GB2312" w:eastAsia="仿宋_GB2312" w:cs="仿宋_GB2312"/>
          <w:b w:val="0"/>
          <w:bCs w:val="0"/>
          <w:i w:val="0"/>
          <w:caps w:val="0"/>
          <w:color w:val="auto"/>
          <w:spacing w:val="0"/>
          <w:kern w:val="2"/>
          <w:sz w:val="32"/>
          <w:szCs w:val="32"/>
          <w:highlight w:val="none"/>
          <w:shd w:val="clear" w:color="070000" w:fill="FFFFFF"/>
          <w:lang w:val="en-US" w:eastAsia="zh-CN" w:bidi="ar-SA"/>
        </w:rPr>
      </w:pPr>
      <w:r>
        <w:rPr>
          <w:rFonts w:hint="eastAsia" w:ascii="仿宋_GB2312" w:hAnsi="仿宋_GB2312" w:eastAsia="仿宋_GB2312" w:cs="仿宋_GB2312"/>
          <w:b w:val="0"/>
          <w:bCs w:val="0"/>
          <w:i w:val="0"/>
          <w:caps w:val="0"/>
          <w:color w:val="auto"/>
          <w:spacing w:val="0"/>
          <w:kern w:val="2"/>
          <w:sz w:val="32"/>
          <w:szCs w:val="32"/>
          <w:highlight w:val="none"/>
          <w:shd w:val="clear" w:color="070000" w:fill="FFFFFF"/>
          <w:lang w:val="en-US" w:eastAsia="zh-CN" w:bidi="ar-SA"/>
        </w:rPr>
        <w:t>武江区城市管理和综合执法局的行政执法工作在上级部门的指导下，坚持党的十九大和科学发展观重要思想为指导，结合城管局工作的实际情况，把行政执法工作列入重要日程，深入贯彻《法治政府建设实施纲要（2015-2020）》、《法制广东建设第二个五年规划（2016-2020年）》，围绕城管行政执法工作，开展了关于法治政府建设的相关工作，现将我局2019年度法治政府建设情况汇报如下：</w:t>
      </w:r>
    </w:p>
    <w:p>
      <w:pPr>
        <w:pStyle w:val="5"/>
        <w:widowControl/>
        <w:spacing w:line="480" w:lineRule="auto"/>
        <w:ind w:firstLine="640" w:firstLineChars="200"/>
        <w:jc w:val="left"/>
        <w:rPr>
          <w:rFonts w:hint="eastAsia" w:ascii="仿宋_GB2312" w:hAnsi="仿宋_GB2312" w:eastAsia="仿宋_GB2312" w:cs="仿宋_GB2312"/>
          <w:b w:val="0"/>
          <w:bCs w:val="0"/>
          <w:i w:val="0"/>
          <w:caps w:val="0"/>
          <w:color w:val="auto"/>
          <w:spacing w:val="0"/>
          <w:kern w:val="2"/>
          <w:sz w:val="32"/>
          <w:szCs w:val="32"/>
          <w:highlight w:val="none"/>
          <w:shd w:val="clear" w:color="070000" w:fill="FFFFFF"/>
          <w:lang w:val="en-US" w:eastAsia="zh-CN" w:bidi="ar-SA"/>
        </w:rPr>
      </w:pPr>
      <w:r>
        <w:rPr>
          <w:rFonts w:hint="eastAsia" w:ascii="仿宋_GB2312" w:hAnsi="仿宋_GB2312" w:eastAsia="仿宋_GB2312" w:cs="仿宋_GB2312"/>
          <w:b w:val="0"/>
          <w:bCs w:val="0"/>
          <w:i w:val="0"/>
          <w:caps w:val="0"/>
          <w:color w:val="auto"/>
          <w:spacing w:val="0"/>
          <w:kern w:val="2"/>
          <w:sz w:val="32"/>
          <w:szCs w:val="32"/>
          <w:highlight w:val="none"/>
          <w:shd w:val="clear" w:color="070000" w:fill="FFFFFF"/>
          <w:lang w:val="en-US" w:eastAsia="zh-CN" w:bidi="ar-SA"/>
        </w:rPr>
        <w:t>一、主要工作</w:t>
      </w:r>
    </w:p>
    <w:p>
      <w:pPr>
        <w:pStyle w:val="5"/>
        <w:widowControl/>
        <w:spacing w:line="480" w:lineRule="auto"/>
        <w:ind w:firstLine="640" w:firstLineChars="200"/>
        <w:jc w:val="left"/>
        <w:rPr>
          <w:rFonts w:hint="eastAsia" w:ascii="仿宋_GB2312" w:hAnsi="仿宋_GB2312" w:eastAsia="仿宋_GB2312" w:cs="仿宋_GB2312"/>
          <w:b w:val="0"/>
          <w:bCs w:val="0"/>
          <w:i w:val="0"/>
          <w:caps w:val="0"/>
          <w:color w:val="auto"/>
          <w:spacing w:val="0"/>
          <w:kern w:val="2"/>
          <w:sz w:val="32"/>
          <w:szCs w:val="32"/>
          <w:highlight w:val="none"/>
          <w:shd w:val="clear" w:color="070000" w:fill="FFFFFF"/>
          <w:lang w:val="en-US" w:eastAsia="zh-CN" w:bidi="ar-SA"/>
        </w:rPr>
      </w:pPr>
      <w:r>
        <w:rPr>
          <w:rFonts w:hint="eastAsia" w:ascii="仿宋_GB2312" w:hAnsi="仿宋_GB2312" w:eastAsia="仿宋_GB2312" w:cs="仿宋_GB2312"/>
          <w:b w:val="0"/>
          <w:bCs w:val="0"/>
          <w:i w:val="0"/>
          <w:caps w:val="0"/>
          <w:color w:val="auto"/>
          <w:spacing w:val="0"/>
          <w:kern w:val="2"/>
          <w:sz w:val="32"/>
          <w:szCs w:val="32"/>
          <w:highlight w:val="none"/>
          <w:shd w:val="clear" w:color="070000" w:fill="FFFFFF"/>
          <w:lang w:val="en-US" w:eastAsia="zh-CN" w:bidi="ar-SA"/>
        </w:rPr>
        <w:t>区城管局法治政府建设工作在中共韶关市武江区委全面依法治区委员会办公室的指导下，结合依法行政工作要求，以依法行政、规范执法、贯彻落实行政执法责任制，严格考核，以铸造新型城管行政执法队伍为目标，着力提高执法人员的依法行政能力，规范执法队伍依法行政行为。</w:t>
      </w:r>
    </w:p>
    <w:p>
      <w:pPr>
        <w:pStyle w:val="5"/>
        <w:widowControl/>
        <w:spacing w:line="480" w:lineRule="auto"/>
        <w:ind w:firstLine="640" w:firstLineChars="200"/>
        <w:jc w:val="left"/>
        <w:rPr>
          <w:rFonts w:hint="eastAsia" w:ascii="仿宋_GB2312" w:hAnsi="仿宋_GB2312" w:eastAsia="仿宋_GB2312" w:cs="仿宋_GB2312"/>
          <w:b w:val="0"/>
          <w:bCs w:val="0"/>
          <w:i w:val="0"/>
          <w:caps w:val="0"/>
          <w:color w:val="auto"/>
          <w:spacing w:val="0"/>
          <w:kern w:val="2"/>
          <w:sz w:val="32"/>
          <w:szCs w:val="32"/>
          <w:highlight w:val="none"/>
          <w:shd w:val="clear" w:color="070000" w:fill="FFFFFF"/>
          <w:lang w:val="en-US" w:eastAsia="zh-CN" w:bidi="ar-SA"/>
        </w:rPr>
      </w:pPr>
      <w:r>
        <w:rPr>
          <w:rFonts w:hint="eastAsia" w:ascii="仿宋_GB2312" w:hAnsi="仿宋_GB2312" w:eastAsia="仿宋_GB2312" w:cs="仿宋_GB2312"/>
          <w:b w:val="0"/>
          <w:bCs w:val="0"/>
          <w:i w:val="0"/>
          <w:caps w:val="0"/>
          <w:color w:val="auto"/>
          <w:spacing w:val="0"/>
          <w:kern w:val="2"/>
          <w:sz w:val="32"/>
          <w:szCs w:val="32"/>
          <w:highlight w:val="none"/>
          <w:shd w:val="clear" w:color="070000" w:fill="FFFFFF"/>
          <w:lang w:val="en-US" w:eastAsia="zh-CN" w:bidi="ar-SA"/>
        </w:rPr>
        <w:t>一是抓学习。坚持领导干部学法制度，学习党的十九大和科学发展观重要思想，学习习近平重要讲话，学专业知识。特别是党员干部积极学习中国共产党廉洁自律准则，全局干部职工积极参加各种形式的学习活动，在思想和行动上提高对党的十九大重要思想的认识。同时，针对单位职责多，整体素质需要提高等问题，加强执法人员对《行政诉讼法》、《行政许可法》、《行政处罚法》、《行政强制法》、《城乡规划法》和《广东省城市市容和环境管理条例》等法律、法规知识的培训。</w:t>
      </w:r>
    </w:p>
    <w:p>
      <w:pPr>
        <w:pStyle w:val="5"/>
        <w:widowControl/>
        <w:spacing w:line="480" w:lineRule="auto"/>
        <w:ind w:firstLine="640" w:firstLineChars="200"/>
        <w:jc w:val="left"/>
        <w:rPr>
          <w:rFonts w:hint="eastAsia" w:ascii="仿宋_GB2312" w:hAnsi="仿宋_GB2312" w:eastAsia="仿宋_GB2312" w:cs="仿宋_GB2312"/>
          <w:b w:val="0"/>
          <w:bCs w:val="0"/>
          <w:i w:val="0"/>
          <w:caps w:val="0"/>
          <w:color w:val="auto"/>
          <w:spacing w:val="0"/>
          <w:kern w:val="2"/>
          <w:sz w:val="32"/>
          <w:szCs w:val="32"/>
          <w:highlight w:val="none"/>
          <w:shd w:val="clear" w:color="070000" w:fill="FFFFFF"/>
          <w:lang w:val="en-US" w:eastAsia="zh-CN" w:bidi="ar-SA"/>
        </w:rPr>
      </w:pPr>
      <w:r>
        <w:rPr>
          <w:rFonts w:hint="eastAsia" w:ascii="仿宋_GB2312" w:hAnsi="仿宋_GB2312" w:eastAsia="仿宋_GB2312" w:cs="仿宋_GB2312"/>
          <w:b w:val="0"/>
          <w:bCs w:val="0"/>
          <w:i w:val="0"/>
          <w:caps w:val="0"/>
          <w:color w:val="auto"/>
          <w:spacing w:val="0"/>
          <w:kern w:val="2"/>
          <w:sz w:val="32"/>
          <w:szCs w:val="32"/>
          <w:highlight w:val="none"/>
          <w:shd w:val="clear" w:color="070000" w:fill="FFFFFF"/>
          <w:lang w:val="en-US" w:eastAsia="zh-CN" w:bidi="ar-SA"/>
        </w:rPr>
        <w:t>二是抓制度。健全内部管理制度。对全体工作人员进行《意识形态培训：舆情控制》，制定出台了《武江区城市管理和综合执法局暂扣物品管理规定》和《武江区城市管理和综合执法局易燃易爆危险物品应急预案》等各种管理制度，以制度约束人，以制度规范人。为树立和保持城管行政执法队伍的良好形象，为促进依法行政提供保障。</w:t>
      </w:r>
    </w:p>
    <w:p>
      <w:pPr>
        <w:pStyle w:val="5"/>
        <w:widowControl/>
        <w:spacing w:line="480" w:lineRule="auto"/>
        <w:ind w:firstLine="640" w:firstLineChars="200"/>
        <w:jc w:val="left"/>
        <w:rPr>
          <w:rFonts w:hint="eastAsia" w:ascii="仿宋_GB2312" w:hAnsi="仿宋_GB2312" w:eastAsia="仿宋_GB2312" w:cs="仿宋_GB2312"/>
          <w:b w:val="0"/>
          <w:bCs w:val="0"/>
          <w:i w:val="0"/>
          <w:caps w:val="0"/>
          <w:color w:val="auto"/>
          <w:spacing w:val="0"/>
          <w:kern w:val="2"/>
          <w:sz w:val="32"/>
          <w:szCs w:val="32"/>
          <w:highlight w:val="none"/>
          <w:shd w:val="clear" w:color="070000" w:fill="FFFFFF"/>
          <w:lang w:val="en-US" w:eastAsia="zh-CN" w:bidi="ar-SA"/>
        </w:rPr>
      </w:pPr>
      <w:r>
        <w:rPr>
          <w:rFonts w:hint="eastAsia" w:ascii="仿宋_GB2312" w:hAnsi="仿宋_GB2312" w:eastAsia="仿宋_GB2312" w:cs="仿宋_GB2312"/>
          <w:b w:val="0"/>
          <w:bCs w:val="0"/>
          <w:i w:val="0"/>
          <w:caps w:val="0"/>
          <w:color w:val="auto"/>
          <w:spacing w:val="0"/>
          <w:kern w:val="2"/>
          <w:sz w:val="32"/>
          <w:szCs w:val="32"/>
          <w:highlight w:val="none"/>
          <w:shd w:val="clear" w:color="070000" w:fill="FFFFFF"/>
          <w:lang w:val="en-US" w:eastAsia="zh-CN" w:bidi="ar-SA"/>
        </w:rPr>
        <w:t>三是抓程序。2019年全年立案90宗，发出《处罚决定书》95份，罚款3652182.45元元，已全部缴入武江区财政</w:t>
      </w:r>
      <w:bookmarkStart w:id="0" w:name="_GoBack"/>
      <w:bookmarkEnd w:id="0"/>
      <w:r>
        <w:rPr>
          <w:rFonts w:hint="eastAsia" w:ascii="仿宋_GB2312" w:hAnsi="仿宋_GB2312" w:eastAsia="仿宋_GB2312" w:cs="仿宋_GB2312"/>
          <w:b w:val="0"/>
          <w:bCs w:val="0"/>
          <w:i w:val="0"/>
          <w:caps w:val="0"/>
          <w:color w:val="auto"/>
          <w:spacing w:val="0"/>
          <w:kern w:val="2"/>
          <w:sz w:val="32"/>
          <w:szCs w:val="32"/>
          <w:highlight w:val="none"/>
          <w:shd w:val="clear" w:color="070000" w:fill="FFFFFF"/>
          <w:lang w:val="en-US" w:eastAsia="zh-CN" w:bidi="ar-SA"/>
        </w:rPr>
        <w:t>局账户。我局在执法过程中严格遵守《行政处罚法》、《行政许可法》、《行政强制法》、《行政复议法》和《行政诉讼法》，做到依法行政、依法办事。在处理违法、违章案件时遵守以下几个原则：1、公开原则。2、程序合法原则。3、执法人员必须具备执法证，且每宗案件必须指派2名以上执法人员执行。4、注重证据的真实性及完备性原则。5、加强案件遵守时效性原则，合理适用法律。</w:t>
      </w:r>
    </w:p>
    <w:p>
      <w:pPr>
        <w:pStyle w:val="5"/>
        <w:widowControl/>
        <w:spacing w:line="480" w:lineRule="auto"/>
        <w:ind w:firstLine="640" w:firstLineChars="200"/>
        <w:jc w:val="left"/>
        <w:rPr>
          <w:rFonts w:hint="eastAsia" w:ascii="仿宋_GB2312" w:hAnsi="仿宋_GB2312" w:eastAsia="仿宋_GB2312" w:cs="仿宋_GB2312"/>
          <w:b w:val="0"/>
          <w:bCs w:val="0"/>
          <w:i w:val="0"/>
          <w:caps w:val="0"/>
          <w:color w:val="auto"/>
          <w:spacing w:val="0"/>
          <w:kern w:val="2"/>
          <w:sz w:val="32"/>
          <w:szCs w:val="32"/>
          <w:highlight w:val="none"/>
          <w:shd w:val="clear" w:color="070000" w:fill="FFFFFF"/>
          <w:lang w:val="en-US" w:eastAsia="zh-CN" w:bidi="ar-SA"/>
        </w:rPr>
      </w:pPr>
      <w:r>
        <w:rPr>
          <w:rFonts w:hint="eastAsia" w:ascii="仿宋_GB2312" w:hAnsi="仿宋_GB2312" w:eastAsia="仿宋_GB2312" w:cs="仿宋_GB2312"/>
          <w:b w:val="0"/>
          <w:bCs w:val="0"/>
          <w:i w:val="0"/>
          <w:caps w:val="0"/>
          <w:color w:val="auto"/>
          <w:spacing w:val="0"/>
          <w:kern w:val="2"/>
          <w:sz w:val="32"/>
          <w:szCs w:val="32"/>
          <w:highlight w:val="none"/>
          <w:shd w:val="clear" w:color="070000" w:fill="FFFFFF"/>
          <w:lang w:val="en-US" w:eastAsia="zh-CN" w:bidi="ar-SA"/>
        </w:rPr>
        <w:t>二、存在问题</w:t>
      </w:r>
    </w:p>
    <w:p>
      <w:pPr>
        <w:pStyle w:val="5"/>
        <w:widowControl/>
        <w:spacing w:line="480" w:lineRule="auto"/>
        <w:ind w:firstLine="640" w:firstLineChars="200"/>
        <w:jc w:val="left"/>
        <w:rPr>
          <w:rFonts w:hint="eastAsia" w:ascii="仿宋_GB2312" w:hAnsi="仿宋_GB2312" w:eastAsia="仿宋_GB2312" w:cs="仿宋_GB2312"/>
          <w:b w:val="0"/>
          <w:bCs w:val="0"/>
          <w:i w:val="0"/>
          <w:caps w:val="0"/>
          <w:color w:val="auto"/>
          <w:spacing w:val="0"/>
          <w:kern w:val="2"/>
          <w:sz w:val="32"/>
          <w:szCs w:val="32"/>
          <w:highlight w:val="none"/>
          <w:shd w:val="clear" w:color="070000" w:fill="FFFFFF"/>
          <w:lang w:val="en-US" w:eastAsia="zh-CN" w:bidi="ar-SA"/>
        </w:rPr>
      </w:pPr>
      <w:r>
        <w:rPr>
          <w:rFonts w:hint="eastAsia" w:ascii="仿宋_GB2312" w:hAnsi="仿宋_GB2312" w:eastAsia="仿宋_GB2312" w:cs="仿宋_GB2312"/>
          <w:b w:val="0"/>
          <w:bCs w:val="0"/>
          <w:i w:val="0"/>
          <w:caps w:val="0"/>
          <w:color w:val="auto"/>
          <w:spacing w:val="0"/>
          <w:kern w:val="2"/>
          <w:sz w:val="32"/>
          <w:szCs w:val="32"/>
          <w:highlight w:val="none"/>
          <w:shd w:val="clear" w:color="070000" w:fill="FFFFFF"/>
          <w:lang w:val="en-US" w:eastAsia="zh-CN" w:bidi="ar-SA"/>
        </w:rPr>
        <w:t>一是理论学习不够深入，不够系统。理论学习不够积极主动，重业务、轻学习的思想依旧存在。对科学发展观等重要理论思想的学习不够深入，不够全面，理论联系实际的深度和广度也不够，分析问题和解决问题的理论知识也不够，各项法律法规学习不深，对法律法规研究不够。</w:t>
      </w:r>
    </w:p>
    <w:p>
      <w:pPr>
        <w:pStyle w:val="5"/>
        <w:widowControl/>
        <w:spacing w:line="480" w:lineRule="auto"/>
        <w:ind w:firstLine="640" w:firstLineChars="200"/>
        <w:jc w:val="left"/>
        <w:rPr>
          <w:rFonts w:hint="eastAsia" w:ascii="仿宋_GB2312" w:hAnsi="仿宋_GB2312" w:eastAsia="仿宋_GB2312" w:cs="仿宋_GB2312"/>
          <w:b w:val="0"/>
          <w:bCs w:val="0"/>
          <w:i w:val="0"/>
          <w:caps w:val="0"/>
          <w:color w:val="auto"/>
          <w:spacing w:val="0"/>
          <w:kern w:val="2"/>
          <w:sz w:val="32"/>
          <w:szCs w:val="32"/>
          <w:highlight w:val="none"/>
          <w:shd w:val="clear" w:color="070000" w:fill="FFFFFF"/>
          <w:lang w:val="en-US" w:eastAsia="zh-CN" w:bidi="ar-SA"/>
        </w:rPr>
      </w:pPr>
      <w:r>
        <w:rPr>
          <w:rFonts w:hint="eastAsia" w:ascii="仿宋_GB2312" w:hAnsi="仿宋_GB2312" w:eastAsia="仿宋_GB2312" w:cs="仿宋_GB2312"/>
          <w:b w:val="0"/>
          <w:bCs w:val="0"/>
          <w:i w:val="0"/>
          <w:caps w:val="0"/>
          <w:color w:val="auto"/>
          <w:spacing w:val="0"/>
          <w:kern w:val="2"/>
          <w:sz w:val="32"/>
          <w:szCs w:val="32"/>
          <w:highlight w:val="none"/>
          <w:shd w:val="clear" w:color="070000" w:fill="FFFFFF"/>
          <w:lang w:val="en-US" w:eastAsia="zh-CN" w:bidi="ar-SA"/>
        </w:rPr>
        <w:t xml:space="preserve">二是城管执法人员综合素质还有待于进一步提高。现有执法队伍整体素质参差不齐，为满足现代化城市管理的需要，执法人员整体素质亟需提高。                                  </w:t>
      </w:r>
    </w:p>
    <w:p>
      <w:pPr>
        <w:pStyle w:val="5"/>
        <w:widowControl/>
        <w:spacing w:line="480" w:lineRule="auto"/>
        <w:ind w:firstLine="640" w:firstLineChars="200"/>
        <w:jc w:val="left"/>
        <w:rPr>
          <w:rFonts w:hint="eastAsia" w:ascii="仿宋_GB2312" w:hAnsi="仿宋_GB2312" w:eastAsia="仿宋_GB2312" w:cs="仿宋_GB2312"/>
          <w:b w:val="0"/>
          <w:bCs w:val="0"/>
          <w:i w:val="0"/>
          <w:caps w:val="0"/>
          <w:color w:val="auto"/>
          <w:spacing w:val="0"/>
          <w:kern w:val="2"/>
          <w:sz w:val="32"/>
          <w:szCs w:val="32"/>
          <w:highlight w:val="none"/>
          <w:shd w:val="clear" w:color="070000" w:fill="FFFFFF"/>
          <w:lang w:val="en-US" w:eastAsia="zh-CN" w:bidi="ar-SA"/>
        </w:rPr>
      </w:pPr>
      <w:r>
        <w:rPr>
          <w:rFonts w:hint="eastAsia" w:ascii="仿宋_GB2312" w:hAnsi="仿宋_GB2312" w:eastAsia="仿宋_GB2312" w:cs="仿宋_GB2312"/>
          <w:b w:val="0"/>
          <w:bCs w:val="0"/>
          <w:i w:val="0"/>
          <w:caps w:val="0"/>
          <w:color w:val="auto"/>
          <w:spacing w:val="0"/>
          <w:kern w:val="2"/>
          <w:sz w:val="32"/>
          <w:szCs w:val="32"/>
          <w:highlight w:val="none"/>
          <w:shd w:val="clear" w:color="070000" w:fill="FFFFFF"/>
          <w:lang w:val="en-US" w:eastAsia="zh-CN" w:bidi="ar-SA"/>
        </w:rPr>
        <w:t>三是制度不健全，法规不完善。城管是个年轻的部门，成立只有短短的十多年，国务院没有出台专门的关于城市管理方面的法律法规，特别是对于违章建筑的出发方面只能依据《城乡规划法》，对于群众反映强烈的热点难点问题出发起来没有法律依据，致使很多问题难以解决。</w:t>
      </w:r>
    </w:p>
    <w:p>
      <w:pPr>
        <w:pStyle w:val="5"/>
        <w:widowControl/>
        <w:spacing w:line="480" w:lineRule="auto"/>
        <w:ind w:firstLine="640" w:firstLineChars="200"/>
        <w:jc w:val="left"/>
        <w:rPr>
          <w:rFonts w:hint="eastAsia" w:ascii="仿宋_GB2312" w:hAnsi="仿宋_GB2312" w:eastAsia="仿宋_GB2312" w:cs="仿宋_GB2312"/>
          <w:b w:val="0"/>
          <w:bCs w:val="0"/>
          <w:i w:val="0"/>
          <w:caps w:val="0"/>
          <w:color w:val="auto"/>
          <w:spacing w:val="0"/>
          <w:kern w:val="2"/>
          <w:sz w:val="32"/>
          <w:szCs w:val="32"/>
          <w:highlight w:val="none"/>
          <w:shd w:val="clear" w:color="070000" w:fill="FFFFFF"/>
          <w:lang w:val="en-US" w:eastAsia="zh-CN" w:bidi="ar-SA"/>
        </w:rPr>
      </w:pPr>
      <w:r>
        <w:rPr>
          <w:rFonts w:hint="eastAsia" w:ascii="仿宋_GB2312" w:hAnsi="仿宋_GB2312" w:eastAsia="仿宋_GB2312" w:cs="仿宋_GB2312"/>
          <w:b w:val="0"/>
          <w:bCs w:val="0"/>
          <w:i w:val="0"/>
          <w:caps w:val="0"/>
          <w:color w:val="auto"/>
          <w:spacing w:val="0"/>
          <w:kern w:val="2"/>
          <w:sz w:val="32"/>
          <w:szCs w:val="32"/>
          <w:highlight w:val="none"/>
          <w:shd w:val="clear" w:color="070000" w:fill="FFFFFF"/>
          <w:lang w:val="en-US" w:eastAsia="zh-CN" w:bidi="ar-SA"/>
        </w:rPr>
        <w:t>三、下一步工作计划</w:t>
      </w:r>
    </w:p>
    <w:p>
      <w:pPr>
        <w:pStyle w:val="5"/>
        <w:widowControl/>
        <w:spacing w:line="480" w:lineRule="auto"/>
        <w:ind w:firstLine="640" w:firstLineChars="200"/>
        <w:jc w:val="left"/>
        <w:rPr>
          <w:rFonts w:hint="eastAsia" w:ascii="仿宋_GB2312" w:hAnsi="仿宋_GB2312" w:eastAsia="仿宋_GB2312" w:cs="仿宋_GB2312"/>
          <w:b w:val="0"/>
          <w:bCs w:val="0"/>
          <w:i w:val="0"/>
          <w:caps w:val="0"/>
          <w:color w:val="auto"/>
          <w:spacing w:val="0"/>
          <w:kern w:val="2"/>
          <w:sz w:val="32"/>
          <w:szCs w:val="32"/>
          <w:highlight w:val="none"/>
          <w:shd w:val="clear" w:color="070000" w:fill="FFFFFF"/>
          <w:lang w:val="en-US" w:eastAsia="zh-CN" w:bidi="ar-SA"/>
        </w:rPr>
      </w:pPr>
      <w:r>
        <w:rPr>
          <w:rFonts w:hint="eastAsia" w:ascii="仿宋_GB2312" w:hAnsi="仿宋_GB2312" w:eastAsia="仿宋_GB2312" w:cs="仿宋_GB2312"/>
          <w:b w:val="0"/>
          <w:bCs w:val="0"/>
          <w:i w:val="0"/>
          <w:caps w:val="0"/>
          <w:color w:val="auto"/>
          <w:spacing w:val="0"/>
          <w:kern w:val="2"/>
          <w:sz w:val="32"/>
          <w:szCs w:val="32"/>
          <w:highlight w:val="none"/>
          <w:shd w:val="clear" w:color="070000" w:fill="FFFFFF"/>
          <w:lang w:val="en-US" w:eastAsia="zh-CN" w:bidi="ar-SA"/>
        </w:rPr>
        <w:t>一是继续抓好学习，在加大法律宣传和培训上下功夫。充分调动班子成员的能动作用，增加板子的凝聚力和战斗力，为全局规划建设提供坚强组织保障；定期组织干部职工进行法律知识、专业知识培训，做到人人能执法，个个过得硬；进一步引入人才竞争机制，充实城管队伍，加强城管力量，切实提高城市管理工作水平。</w:t>
      </w:r>
    </w:p>
    <w:p>
      <w:pPr>
        <w:pStyle w:val="5"/>
        <w:widowControl/>
        <w:spacing w:line="480" w:lineRule="auto"/>
        <w:ind w:firstLine="640" w:firstLineChars="200"/>
        <w:jc w:val="left"/>
        <w:rPr>
          <w:rFonts w:hint="eastAsia" w:ascii="仿宋_GB2312" w:hAnsi="仿宋_GB2312" w:eastAsia="仿宋_GB2312" w:cs="仿宋_GB2312"/>
          <w:b w:val="0"/>
          <w:bCs w:val="0"/>
          <w:i w:val="0"/>
          <w:caps w:val="0"/>
          <w:color w:val="auto"/>
          <w:spacing w:val="0"/>
          <w:kern w:val="2"/>
          <w:sz w:val="32"/>
          <w:szCs w:val="32"/>
          <w:highlight w:val="none"/>
          <w:shd w:val="clear" w:color="070000" w:fill="FFFFFF"/>
          <w:lang w:val="en-US" w:eastAsia="zh-CN" w:bidi="ar-SA"/>
        </w:rPr>
      </w:pPr>
      <w:r>
        <w:rPr>
          <w:rFonts w:hint="eastAsia" w:ascii="仿宋_GB2312" w:hAnsi="仿宋_GB2312" w:eastAsia="仿宋_GB2312" w:cs="仿宋_GB2312"/>
          <w:b w:val="0"/>
          <w:bCs w:val="0"/>
          <w:i w:val="0"/>
          <w:caps w:val="0"/>
          <w:color w:val="auto"/>
          <w:spacing w:val="0"/>
          <w:kern w:val="2"/>
          <w:sz w:val="32"/>
          <w:szCs w:val="32"/>
          <w:highlight w:val="none"/>
          <w:shd w:val="clear" w:color="070000" w:fill="FFFFFF"/>
          <w:lang w:val="en-US" w:eastAsia="zh-CN" w:bidi="ar-SA"/>
        </w:rPr>
        <w:t>二是在强化队伍建设，提升整体素质上下功夫。我们不断强化队伍建设，采取多种方式进行执法业务培训，执法人员综合素质有了明显提升，但是执法队伍与自身建设和依法行政水平上还存在着差距和不足，下一步我们要实行行政执法公开透明制度，同时，指定一系列的制度规章，以各种形式向社会公示，接受群众的监督，认真执行违法责任追究制度，对有过错的执法人员要严格醉酒责任，进一步深入城管执法的法律法规的学习和执法队伍的培训，内墙素质，外树形象。</w:t>
      </w:r>
    </w:p>
    <w:p>
      <w:pPr>
        <w:pStyle w:val="5"/>
        <w:widowControl/>
        <w:spacing w:line="480" w:lineRule="auto"/>
        <w:ind w:firstLine="640" w:firstLineChars="200"/>
        <w:jc w:val="left"/>
        <w:rPr>
          <w:rFonts w:hint="eastAsia" w:ascii="仿宋_GB2312" w:hAnsi="仿宋_GB2312" w:eastAsia="仿宋_GB2312" w:cs="仿宋_GB2312"/>
          <w:b w:val="0"/>
          <w:bCs w:val="0"/>
          <w:i w:val="0"/>
          <w:caps w:val="0"/>
          <w:color w:val="auto"/>
          <w:spacing w:val="0"/>
          <w:kern w:val="2"/>
          <w:sz w:val="32"/>
          <w:szCs w:val="32"/>
          <w:highlight w:val="none"/>
          <w:shd w:val="clear" w:color="070000" w:fill="FFFFFF"/>
          <w:lang w:val="en-US" w:eastAsia="zh-CN" w:bidi="ar-SA"/>
        </w:rPr>
      </w:pPr>
      <w:r>
        <w:rPr>
          <w:rFonts w:hint="eastAsia" w:ascii="仿宋_GB2312" w:hAnsi="仿宋_GB2312" w:eastAsia="仿宋_GB2312" w:cs="仿宋_GB2312"/>
          <w:b w:val="0"/>
          <w:bCs w:val="0"/>
          <w:i w:val="0"/>
          <w:caps w:val="0"/>
          <w:color w:val="auto"/>
          <w:spacing w:val="0"/>
          <w:kern w:val="2"/>
          <w:sz w:val="32"/>
          <w:szCs w:val="32"/>
          <w:highlight w:val="none"/>
          <w:shd w:val="clear" w:color="070000" w:fill="FFFFFF"/>
          <w:lang w:val="en-US" w:eastAsia="zh-CN" w:bidi="ar-SA"/>
        </w:rPr>
        <w:t>三是加强制度的建设，在增强执法队伍责任感上下功夫。举行了《舆情控制思想培训》等一系列思想培训。认真贯彻《法治政府建设实施纲要（2015-2020）》、《法制广东建设第二个五年规划(2016-2020年)》、《广东省法治政府建设情况定期报告规定》（粤府法治办[2016]7号）的具体工作要求。做好行政许可法的贯彻落实工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等线">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6E1"/>
    <w:rsid w:val="003436E1"/>
    <w:rsid w:val="00397A3D"/>
    <w:rsid w:val="003D586B"/>
    <w:rsid w:val="004A2FA5"/>
    <w:rsid w:val="00661208"/>
    <w:rsid w:val="006D0849"/>
    <w:rsid w:val="006D1775"/>
    <w:rsid w:val="008744A3"/>
    <w:rsid w:val="009F206E"/>
    <w:rsid w:val="009F344E"/>
    <w:rsid w:val="00A64D13"/>
    <w:rsid w:val="00A71498"/>
    <w:rsid w:val="00A72DE0"/>
    <w:rsid w:val="00AA4D1E"/>
    <w:rsid w:val="00C70CDB"/>
    <w:rsid w:val="00C735E8"/>
    <w:rsid w:val="00DD373B"/>
    <w:rsid w:val="00E354AB"/>
    <w:rsid w:val="00F04EB7"/>
    <w:rsid w:val="00F32C50"/>
    <w:rsid w:val="016D1ED1"/>
    <w:rsid w:val="55E42A85"/>
    <w:rsid w:val="6ADD5F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 w:type="paragraph" w:customStyle="1" w:styleId="5">
    <w:name w:val="正文 New New New New New New"/>
    <w:qFormat/>
    <w:uiPriority w:val="0"/>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4AE82-D587-457D-A4B1-9FE2AD60A0D0}">
  <ds:schemaRefs/>
</ds:datastoreItem>
</file>

<file path=docProps/app.xml><?xml version="1.0" encoding="utf-8"?>
<Properties xmlns="http://schemas.openxmlformats.org/officeDocument/2006/extended-properties" xmlns:vt="http://schemas.openxmlformats.org/officeDocument/2006/docPropsVTypes">
  <Template>Normal</Template>
  <Pages>4</Pages>
  <Words>272</Words>
  <Characters>1552</Characters>
  <Lines>12</Lines>
  <Paragraphs>3</Paragraphs>
  <TotalTime>59</TotalTime>
  <ScaleCrop>false</ScaleCrop>
  <LinksUpToDate>false</LinksUpToDate>
  <CharactersWithSpaces>1821</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2019-12-04T16:42:00Z</dcterms:created>
  <dc:creator>18675171417@163.com</dc:creator>
  <cp:lastModifiedBy>Administrator</cp:lastModifiedBy>
  <dcterms:modified xsi:type="dcterms:W3CDTF">2023-04-18T07:23:52Z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1B44EF94CA9047D4B13955EEB15DA695</vt:lpwstr>
  </property>
</Properties>
</file>