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color w:val="FF0000"/>
          <w:spacing w:val="28"/>
          <w:w w:val="102"/>
          <w:kern w:val="15"/>
          <w:sz w:val="72"/>
          <w:szCs w:val="72"/>
          <w:lang w:val="en-US" w:eastAsia="zh-CN"/>
        </w:rPr>
      </w:pPr>
      <w:r>
        <w:rPr>
          <w:rFonts w:hint="eastAsia" w:ascii="新宋体" w:hAnsi="新宋体" w:eastAsia="新宋体" w:cs="新宋体"/>
          <w:b/>
          <w:bCs/>
          <w:color w:val="FF0000"/>
          <w:spacing w:val="28"/>
          <w:w w:val="102"/>
          <w:kern w:val="15"/>
          <w:sz w:val="72"/>
          <w:szCs w:val="72"/>
          <w:lang w:eastAsia="zh-CN"/>
        </w:rPr>
        <w:t>韶关市</w:t>
      </w:r>
      <w:r>
        <w:rPr>
          <w:rFonts w:hint="eastAsia" w:ascii="新宋体" w:hAnsi="新宋体" w:eastAsia="新宋体" w:cs="新宋体"/>
          <w:b/>
          <w:bCs/>
          <w:color w:val="FF0000"/>
          <w:spacing w:val="28"/>
          <w:w w:val="102"/>
          <w:kern w:val="15"/>
          <w:sz w:val="72"/>
          <w:szCs w:val="72"/>
          <w:lang w:val="en-US" w:eastAsia="zh-CN"/>
        </w:rPr>
        <w:t>武江区医疗保障局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159385</wp:posOffset>
                </wp:positionV>
                <wp:extent cx="5540375" cy="1270"/>
                <wp:effectExtent l="0" t="28575" r="3175" b="46355"/>
                <wp:wrapNone/>
                <wp:docPr id="1" name="直接连接符 1"/>
                <wp:cNvGraphicFramePr/>
                <a:graphic xmlns:a="http://schemas.openxmlformats.org/drawingml/2006/main">
                  <a:graphicData uri="http://schemas.microsoft.com/office/word/2010/wordprocessingShape">
                    <wps:wsp>
                      <wps:cNvCnPr/>
                      <wps:spPr>
                        <a:xfrm>
                          <a:off x="0" y="0"/>
                          <a:ext cx="5540375" cy="127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2.55pt;height:0.1pt;width:436.25pt;z-index:251659264;mso-width-relative:page;mso-height-relative:page;" filled="f" stroked="t" coordsize="21600,21600" o:gfxdata="UEsDBAoAAAAAAIdO4kAAAAAAAAAAAAAAAAAEAAAAZHJzL1BLAwQUAAAACACHTuJAZQhVuNMAAAAH&#10;AQAADwAAAGRycy9kb3ducmV2LnhtbE2OwU7DMBBE70j8g7VI3KidlDZViNMDEmdoy4GjG2+TqPE6&#10;sp2m/Xu2J7jNzoxmX7W9ukFcMMTek4ZsoUAgNd721Gr4Pny8bEDEZMiawRNquGGEbf34UJnS+pl2&#10;eNmnVvAIxdJo6FIaSylj06EzceFHJM5OPjiT+AyttMHMPO4GmSu1ls70xB86M+J7h815PzkNP0Ug&#10;P+8+T1/LiW4xH8+HfKW0fn7K1BuIhNf0V4Y7PqNDzUxHP5GNYtDwuuaihnyVgeB4UxQsjndjCbKu&#10;5H/++hdQSwMEFAAAAAgAh07iQGunUs//AQAA7gMAAA4AAABkcnMvZTJvRG9jLnhtbK1TzY7TMBC+&#10;I/EOlu80SaEURU33sKVcEFRieYCp7TQW/pPtNu1L8AJI3ODEkfu+DctjMHZCF5ZLD+TgjD3jb+b7&#10;Zry4OmpFDsIHaU1Dq0lJiTDMcml2DX1/s37ygpIQwXBQ1oiGnkSgV8vHjxa9q8XUdlZx4QmCmFD3&#10;rqFdjK4uisA6oSFMrBMGna31GiJu/a7gHnpE16qYluXzoreeO2+ZCAFPV4OTjoj+EkDbtpKJlWV7&#10;LUwcUL1QEJFS6KQLdJmrbVvB4tu2DSIS1VBkGvOKSdDeprVYLqDeeXCdZGMJcEkJDzhpkAaTnqFW&#10;EIHsvfwHSkvmbbBtnDCri4FIVgRZVOUDbd514ETmglIHdxY9/D9Y9uaw8URynARKDGhs+N2n7z8+&#10;fvl5+xnXu29fSZVE6l2oMfbabPy4C27jE+Nj63X6IxdyzMKezsKKYyQMD2ezZ+XT+YwShr5qOs+6&#10;F/d3nQ/xlbCaJKOhSppEG2o4vA4R82Ho75B0rAzpEXRezbCNDHAIW2w+mtohkYit/HDTjQ0JVkm+&#10;lkqli8HvttfKkwPgOKzXJX6JHML/FZZyrSB0Q1x2DYPSCeAvDSfx5FAog++Dpkq04JQogc8pWQgI&#10;dQSpLonE1MpgBUnfQdFkbS0/YVv2zstdh4LkFuQYHINc7ziyac7+3Gek+2e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CFW40wAAAAcBAAAPAAAAAAAAAAEAIAAAACIAAABkcnMvZG93bnJldi54&#10;bWxQSwECFAAUAAAACACHTuJAa6dSz/8BAADuAwAADgAAAAAAAAABACAAAAAiAQAAZHJzL2Uyb0Rv&#10;Yy54bWxQSwUGAAAAAAYABgBZAQAAkwU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武江区医保局关于“十四五”以来推进新型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城镇化工作总结及下一步工作计划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为落实</w:t>
      </w:r>
      <w:bookmarkStart w:id="0" w:name="_GoBack"/>
      <w:bookmarkEnd w:id="0"/>
      <w:r>
        <w:rPr>
          <w:rFonts w:ascii="仿宋_GB2312" w:hAnsi="宋体" w:eastAsia="仿宋_GB2312" w:cs="仿宋_GB2312"/>
          <w:color w:val="000000"/>
          <w:kern w:val="0"/>
          <w:sz w:val="31"/>
          <w:szCs w:val="31"/>
          <w:lang w:val="en-US" w:eastAsia="zh-CN" w:bidi="ar"/>
        </w:rPr>
        <w:t>《广东省新型城镇化规划（2021-2035）》</w:t>
      </w:r>
      <w:r>
        <w:rPr>
          <w:rFonts w:hint="eastAsia" w:ascii="仿宋_GB2312" w:hAnsi="宋体" w:eastAsia="仿宋_GB2312" w:cs="仿宋_GB2312"/>
          <w:color w:val="000000"/>
          <w:kern w:val="0"/>
          <w:sz w:val="31"/>
          <w:szCs w:val="31"/>
          <w:lang w:val="en-US" w:eastAsia="zh-CN" w:bidi="ar"/>
        </w:rPr>
        <w:t>和</w:t>
      </w:r>
      <w:r>
        <w:rPr>
          <w:rFonts w:ascii="仿宋_GB2312" w:hAnsi="宋体" w:eastAsia="仿宋_GB2312" w:cs="仿宋_GB2312"/>
          <w:color w:val="000000"/>
          <w:kern w:val="0"/>
          <w:sz w:val="31"/>
          <w:szCs w:val="31"/>
          <w:lang w:val="en-US" w:eastAsia="zh-CN" w:bidi="ar"/>
        </w:rPr>
        <w:t>《广东</w:t>
      </w:r>
      <w:r>
        <w:rPr>
          <w:rFonts w:hint="eastAsia" w:ascii="仿宋_GB2312" w:hAnsi="宋体" w:eastAsia="仿宋_GB2312" w:cs="仿宋_GB2312"/>
          <w:color w:val="000000"/>
          <w:kern w:val="0"/>
          <w:sz w:val="31"/>
          <w:szCs w:val="31"/>
          <w:lang w:val="en-US" w:eastAsia="zh-CN" w:bidi="ar"/>
        </w:rPr>
        <w:t>省“十四五”新型城镇化实施方案》工作要求，</w:t>
      </w:r>
      <w:r>
        <w:rPr>
          <w:rFonts w:hint="eastAsia" w:ascii="仿宋_GB2312" w:hAnsi="仿宋_GB2312" w:eastAsia="仿宋_GB2312" w:cs="仿宋_GB2312"/>
          <w:sz w:val="32"/>
          <w:szCs w:val="32"/>
          <w:highlight w:val="none"/>
          <w:lang w:val="en-US" w:eastAsia="zh-CN"/>
        </w:rPr>
        <w:t>深入贯彻韶关市促进农业转移人口市民化加快新型城镇化决策部署，</w:t>
      </w:r>
      <w:r>
        <w:rPr>
          <w:rFonts w:hint="eastAsia" w:ascii="仿宋_GB2312" w:hAnsi="宋体" w:eastAsia="仿宋_GB2312" w:cs="仿宋_GB2312"/>
          <w:color w:val="000000"/>
          <w:kern w:val="0"/>
          <w:sz w:val="31"/>
          <w:szCs w:val="31"/>
          <w:lang w:val="en-US" w:eastAsia="zh-CN" w:bidi="ar"/>
        </w:rPr>
        <w:t>“十四五”以来，</w:t>
      </w:r>
      <w:r>
        <w:rPr>
          <w:rFonts w:hint="eastAsia" w:ascii="仿宋_GB2312" w:hAnsi="仿宋_GB2312" w:eastAsia="仿宋_GB2312" w:cs="仿宋_GB2312"/>
          <w:sz w:val="32"/>
          <w:szCs w:val="32"/>
          <w:highlight w:val="none"/>
          <w:lang w:val="en-US" w:eastAsia="zh-CN"/>
        </w:rPr>
        <w:t>武江区医保局</w:t>
      </w:r>
      <w:r>
        <w:rPr>
          <w:rFonts w:ascii="仿宋_GB2312" w:hAnsi="宋体" w:eastAsia="仿宋_GB2312" w:cs="仿宋_GB2312"/>
          <w:color w:val="000000"/>
          <w:kern w:val="0"/>
          <w:sz w:val="31"/>
          <w:szCs w:val="31"/>
          <w:lang w:val="en-US" w:eastAsia="zh-CN" w:bidi="ar"/>
        </w:rPr>
        <w:t>把推进新型城镇化作为</w:t>
      </w:r>
      <w:r>
        <w:rPr>
          <w:rFonts w:hint="eastAsia" w:ascii="仿宋_GB2312" w:hAnsi="宋体" w:eastAsia="仿宋_GB2312" w:cs="仿宋_GB2312"/>
          <w:color w:val="000000"/>
          <w:kern w:val="0"/>
          <w:sz w:val="31"/>
          <w:szCs w:val="31"/>
          <w:lang w:val="en-US" w:eastAsia="zh-CN" w:bidi="ar"/>
        </w:rPr>
        <w:t>重要任务来抓，持续推进</w:t>
      </w:r>
      <w:r>
        <w:rPr>
          <w:rFonts w:ascii="仿宋_GB2312" w:hAnsi="宋体" w:eastAsia="仿宋_GB2312" w:cs="仿宋_GB2312"/>
          <w:color w:val="000000"/>
          <w:kern w:val="0"/>
          <w:sz w:val="31"/>
          <w:szCs w:val="31"/>
          <w:lang w:val="en-US" w:eastAsia="zh-CN" w:bidi="ar"/>
        </w:rPr>
        <w:t>城乡居民</w:t>
      </w:r>
      <w:r>
        <w:rPr>
          <w:rFonts w:hint="eastAsia" w:ascii="仿宋_GB2312" w:hAnsi="宋体" w:eastAsia="仿宋_GB2312" w:cs="仿宋_GB2312"/>
          <w:color w:val="000000"/>
          <w:kern w:val="0"/>
          <w:sz w:val="31"/>
          <w:szCs w:val="31"/>
          <w:lang w:val="en-US" w:eastAsia="zh-CN" w:bidi="ar"/>
        </w:rPr>
        <w:t>参保缴费</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严格落实城乡居民基本医疗保险和困难群众医疗救助政策，努力提升医保关系转移和异地就医报销等服务，现将相关工作总结如下：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一、做法和亮点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highlight w:val="none"/>
          <w:lang w:eastAsia="zh-CN"/>
        </w:rPr>
      </w:pPr>
      <w:r>
        <w:rPr>
          <w:rFonts w:hint="eastAsia" w:ascii="楷体" w:hAnsi="楷体" w:eastAsia="楷体" w:cs="楷体"/>
          <w:sz w:val="32"/>
          <w:szCs w:val="32"/>
          <w:highlight w:val="none"/>
          <w:lang w:val="en-US" w:eastAsia="zh-CN"/>
        </w:rPr>
        <w:t>（一）</w:t>
      </w:r>
      <w:r>
        <w:rPr>
          <w:rFonts w:hint="default" w:ascii="楷体" w:hAnsi="楷体" w:eastAsia="楷体" w:cs="楷体"/>
          <w:sz w:val="32"/>
          <w:szCs w:val="32"/>
          <w:highlight w:val="none"/>
          <w:lang w:eastAsia="zh-CN"/>
        </w:rPr>
        <w:t>继续做好</w:t>
      </w:r>
      <w:r>
        <w:rPr>
          <w:rFonts w:hint="eastAsia" w:ascii="楷体" w:hAnsi="楷体" w:eastAsia="楷体" w:cs="楷体"/>
          <w:sz w:val="32"/>
          <w:szCs w:val="32"/>
          <w:highlight w:val="none"/>
          <w:lang w:val="en-US" w:eastAsia="zh-CN"/>
        </w:rPr>
        <w:t>城乡居民基本医保</w:t>
      </w:r>
      <w:r>
        <w:rPr>
          <w:rFonts w:hint="default" w:ascii="楷体" w:hAnsi="楷体" w:eastAsia="楷体" w:cs="楷体"/>
          <w:sz w:val="32"/>
          <w:szCs w:val="32"/>
          <w:highlight w:val="none"/>
          <w:lang w:eastAsia="zh-CN"/>
        </w:rPr>
        <w:t>参保工作</w:t>
      </w:r>
      <w:r>
        <w:rPr>
          <w:rFonts w:hint="eastAsia" w:ascii="楷体" w:hAnsi="楷体" w:eastAsia="楷体" w:cs="楷体"/>
          <w:sz w:val="32"/>
          <w:szCs w:val="32"/>
          <w:highlight w:val="none"/>
          <w:lang w:val="en-US" w:eastAsia="zh-CN"/>
        </w:rPr>
        <w:t>，实现应保尽保。</w:t>
      </w:r>
      <w:r>
        <w:rPr>
          <w:rFonts w:hint="eastAsia" w:ascii="仿宋_GB2312" w:hAnsi="仿宋_GB2312" w:eastAsia="仿宋_GB2312" w:cs="仿宋_GB2312"/>
          <w:b w:val="0"/>
          <w:bCs w:val="0"/>
          <w:color w:val="000000"/>
          <w:kern w:val="2"/>
          <w:sz w:val="32"/>
          <w:szCs w:val="32"/>
          <w:lang w:val="en-US" w:eastAsia="zh-CN" w:bidi="ar-SA"/>
        </w:rPr>
        <w:t>深入实施全民参保计划，通过发放资料、媒体宣传、推送短信等多种形式，加大宣传力度，不断提高全民参保意识。要求</w:t>
      </w:r>
      <w:r>
        <w:rPr>
          <w:rFonts w:hint="eastAsia" w:ascii="仿宋_GB2312" w:hAnsi="仿宋_GB2312" w:eastAsia="仿宋_GB2312" w:cs="仿宋_GB2312"/>
          <w:sz w:val="32"/>
          <w:szCs w:val="32"/>
          <w:highlight w:val="none"/>
          <w:lang w:val="en-US" w:eastAsia="zh-CN"/>
        </w:rPr>
        <w:t>各</w:t>
      </w:r>
      <w:r>
        <w:rPr>
          <w:rFonts w:hint="default" w:ascii="仿宋_GB2312" w:hAnsi="仿宋_GB2312" w:eastAsia="仿宋_GB2312" w:cs="仿宋_GB2312"/>
          <w:sz w:val="32"/>
          <w:szCs w:val="32"/>
          <w:highlight w:val="none"/>
          <w:lang w:eastAsia="zh-CN"/>
        </w:rPr>
        <w:t>乡镇（街道办）做好符合条件中途参保工作。</w:t>
      </w:r>
      <w:r>
        <w:rPr>
          <w:rFonts w:hint="eastAsia" w:ascii="仿宋_GB2312" w:hAnsi="仿宋_GB2312" w:eastAsia="仿宋_GB2312" w:cs="仿宋_GB2312"/>
          <w:sz w:val="32"/>
          <w:szCs w:val="32"/>
          <w:highlight w:val="none"/>
          <w:lang w:val="en-US" w:eastAsia="zh-CN"/>
        </w:rPr>
        <w:t>2022年度、</w:t>
      </w:r>
      <w:r>
        <w:rPr>
          <w:rFonts w:hint="eastAsia" w:ascii="仿宋_GB2312" w:hAnsi="仿宋_GB2312" w:eastAsia="仿宋_GB2312" w:cs="仿宋_GB2312"/>
          <w:color w:val="auto"/>
          <w:sz w:val="32"/>
          <w:szCs w:val="32"/>
          <w:highlight w:val="none"/>
          <w:lang w:val="en-US" w:eastAsia="zh-CN"/>
        </w:rPr>
        <w:t>2023年度全区参加城乡居民基本医疗保险人数分别为143217、144055人</w:t>
      </w:r>
      <w:r>
        <w:rPr>
          <w:rFonts w:hint="default" w:ascii="仿宋_GB2312" w:hAnsi="仿宋_GB2312" w:eastAsia="仿宋_GB2312" w:cs="仿宋_GB2312"/>
          <w:color w:val="auto"/>
          <w:sz w:val="32"/>
          <w:szCs w:val="32"/>
          <w:highlight w:val="none"/>
          <w:lang w:eastAsia="zh-CN"/>
        </w:rPr>
        <w:t>，参保</w:t>
      </w:r>
      <w:r>
        <w:rPr>
          <w:rFonts w:hint="eastAsia" w:ascii="仿宋_GB2312" w:hAnsi="仿宋_GB2312" w:eastAsia="仿宋_GB2312" w:cs="仿宋_GB2312"/>
          <w:color w:val="auto"/>
          <w:sz w:val="32"/>
          <w:szCs w:val="32"/>
          <w:highlight w:val="none"/>
          <w:lang w:val="en-US" w:eastAsia="zh-CN"/>
        </w:rPr>
        <w:t>任务完成</w:t>
      </w:r>
      <w:r>
        <w:rPr>
          <w:rFonts w:hint="default" w:ascii="仿宋_GB2312" w:hAnsi="仿宋_GB2312" w:eastAsia="仿宋_GB2312" w:cs="仿宋_GB2312"/>
          <w:color w:val="auto"/>
          <w:sz w:val="32"/>
          <w:szCs w:val="32"/>
          <w:highlight w:val="none"/>
          <w:lang w:eastAsia="zh-CN"/>
        </w:rPr>
        <w:t>率</w:t>
      </w:r>
      <w:r>
        <w:rPr>
          <w:rFonts w:hint="eastAsia" w:ascii="仿宋_GB2312" w:hAnsi="仿宋_GB2312" w:eastAsia="仿宋_GB2312" w:cs="仿宋_GB2312"/>
          <w:color w:val="auto"/>
          <w:sz w:val="32"/>
          <w:szCs w:val="32"/>
          <w:highlight w:val="none"/>
          <w:lang w:val="en-US" w:eastAsia="zh-CN"/>
        </w:rPr>
        <w:t>持续排名全市第一</w:t>
      </w:r>
      <w:r>
        <w:rPr>
          <w:rFonts w:hint="default" w:ascii="仿宋_GB2312" w:hAnsi="仿宋_GB2312" w:eastAsia="仿宋_GB2312" w:cs="仿宋_GB2312"/>
          <w:color w:val="auto"/>
          <w:sz w:val="32"/>
          <w:szCs w:val="32"/>
          <w:highlight w:val="none"/>
          <w:lang w:eastAsia="zh-CN"/>
        </w:rPr>
        <w:t>。</w:t>
      </w:r>
    </w:p>
    <w:p>
      <w:pPr>
        <w:pStyle w:val="4"/>
        <w:keepNext w:val="0"/>
        <w:keepLines w:val="0"/>
        <w:pageBreakBefore w:val="0"/>
        <w:kinsoku/>
        <w:wordWrap/>
        <w:overflowPunct/>
        <w:topLinePunct w:val="0"/>
        <w:autoSpaceDN/>
        <w:bidi w:val="0"/>
        <w:spacing w:line="560" w:lineRule="exact"/>
        <w:textAlignment w:val="auto"/>
        <w:rPr>
          <w:rFonts w:hint="default"/>
          <w:color w:val="000000"/>
          <w:sz w:val="32"/>
          <w:szCs w:val="32"/>
          <w:lang w:val="en-US" w:eastAsia="zh-CN"/>
        </w:rPr>
      </w:pPr>
      <w:r>
        <w:rPr>
          <w:rFonts w:hint="eastAsia" w:ascii="楷体" w:hAnsi="楷体" w:eastAsia="楷体" w:cs="楷体"/>
          <w:sz w:val="32"/>
          <w:szCs w:val="32"/>
          <w:highlight w:val="none"/>
          <w:lang w:val="en-US" w:eastAsia="zh-CN"/>
        </w:rPr>
        <w:t>（二）完善城乡居民基本医疗保险和困难群众医疗救助政策。</w:t>
      </w:r>
      <w:r>
        <w:rPr>
          <w:rFonts w:hint="eastAsia" w:ascii="仿宋_GB2312" w:hAnsi="仿宋_GB2312" w:eastAsia="仿宋_GB2312" w:cs="仿宋_GB2312"/>
          <w:sz w:val="32"/>
          <w:szCs w:val="32"/>
          <w:highlight w:val="none"/>
          <w:lang w:val="en-US" w:eastAsia="zh-CN"/>
        </w:rPr>
        <w:t>全区共有9000余名特殊群体符合资助参保，均由财政资助参加城乡居民医疗保险，参保率达100%；合规医疗费用报销比例已超过85%。持续开展医疗救助工作，</w:t>
      </w:r>
      <w:r>
        <w:rPr>
          <w:rFonts w:hint="eastAsia" w:ascii="仿宋_GB2312" w:hAnsi="仿宋_GB2312" w:eastAsia="仿宋_GB2312" w:cs="仿宋_GB2312"/>
          <w:color w:val="000000"/>
          <w:sz w:val="32"/>
          <w:szCs w:val="32"/>
          <w:lang w:val="en-US" w:eastAsia="zh-CN"/>
        </w:rPr>
        <w:t>积极组织镇（街）</w:t>
      </w:r>
      <w:r>
        <w:rPr>
          <w:rFonts w:hint="eastAsia" w:ascii="仿宋_GB2312" w:hAnsi="仿宋_GB2312" w:eastAsia="仿宋_GB2312" w:cs="仿宋_GB2312"/>
          <w:color w:val="000000"/>
          <w:sz w:val="32"/>
          <w:szCs w:val="32"/>
        </w:rPr>
        <w:t>开展</w:t>
      </w:r>
      <w:r>
        <w:rPr>
          <w:rFonts w:hint="eastAsia" w:ascii="仿宋_GB2312" w:hAnsi="仿宋_GB2312" w:eastAsia="仿宋_GB2312" w:cs="仿宋_GB2312"/>
          <w:color w:val="000000"/>
          <w:sz w:val="32"/>
          <w:szCs w:val="32"/>
          <w:lang w:eastAsia="zh-CN"/>
        </w:rPr>
        <w:t>医疗救助</w:t>
      </w:r>
      <w:r>
        <w:rPr>
          <w:rFonts w:hint="eastAsia" w:ascii="仿宋_GB2312" w:hAnsi="仿宋_GB2312" w:eastAsia="仿宋_GB2312" w:cs="仿宋_GB2312"/>
          <w:color w:val="000000"/>
          <w:sz w:val="32"/>
          <w:szCs w:val="32"/>
        </w:rPr>
        <w:t>政策宣传</w:t>
      </w:r>
      <w:r>
        <w:rPr>
          <w:rFonts w:hint="eastAsia" w:ascii="仿宋_GB2312" w:hAnsi="仿宋_GB2312" w:eastAsia="仿宋_GB2312" w:cs="仿宋_GB2312"/>
          <w:color w:val="000000"/>
          <w:sz w:val="32"/>
          <w:szCs w:val="32"/>
          <w:lang w:val="en-US" w:eastAsia="zh-CN"/>
        </w:rPr>
        <w:t>和医疗救助业务培训，</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确保符合条件的困难群众能及时得到有效救助，做到“应救尽救、不落一户”。2021年手工救助救助60人次，共救助75.76万元。2022年手工救助27人次，共救助63.28元。2023年救助19人次，共救助49.97万元。</w:t>
      </w:r>
      <w:r>
        <w:rPr>
          <w:rFonts w:hint="eastAsia" w:ascii="仿宋_GB2312" w:hAnsi="仿宋_GB2312" w:eastAsia="仿宋_GB2312" w:cs="仿宋_GB2312"/>
          <w:color w:val="000000"/>
          <w:sz w:val="32"/>
          <w:szCs w:val="32"/>
          <w:lang w:eastAsia="zh-CN"/>
        </w:rPr>
        <w:t>切实防止因病致贫、因病返贫，助力乡村振兴。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（三）大力推行基本医疗保险、大病保险与医疗救助”一站式“结算。</w:t>
      </w:r>
      <w:r>
        <w:rPr>
          <w:rFonts w:hint="eastAsia" w:ascii="仿宋_GB2312" w:hAnsi="仿宋_GB2312" w:eastAsia="仿宋_GB2312" w:cs="仿宋_GB2312"/>
          <w:sz w:val="32"/>
          <w:szCs w:val="32"/>
          <w:highlight w:val="none"/>
          <w:lang w:val="en-US" w:eastAsia="zh-CN"/>
        </w:rPr>
        <w:t>目前，基本实现了医疗救助与医保报销系统无缝对接、同步”一站式“结算、省内异地医疗救助“一站式“结算。免去了出院后凭发票到户口所在地办理医疗救助审核审批手续的复杂程序，减轻了救助对象垫付资金的压力，简化了医疗救助手续，极大地方便了困难群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（四）加快推进异地联网结算，方便群众异地就医。</w:t>
      </w:r>
      <w:r>
        <w:rPr>
          <w:rFonts w:hint="eastAsia" w:ascii="仿宋_GB2312" w:hAnsi="仿宋_GB2312" w:eastAsia="仿宋_GB2312" w:cs="仿宋_GB2312"/>
          <w:sz w:val="32"/>
          <w:szCs w:val="32"/>
          <w:highlight w:val="none"/>
          <w:lang w:val="en-US" w:eastAsia="zh-CN"/>
        </w:rPr>
        <w:t>为促进农业人口有序转移，确保农业转移人口享受医保待遇，结合韶关市医疗保障政策和区工作实际，加快推进异地联网结算，方便群众异地就医。进一步优化参保人异地就医备案服务。一方面加强异地就医的政策宣传和备案指导，督促医保经办机构和定点医疗机构严格按照有关规定做好异地就医备案审核和医保接口改造工作。同时拓宽备案渠道，让参保人可以通过国家医保APP、粤省事、粤医保等平台线上办理异地就医备案登记服务，2022年、2023年1-6月办理异地备案登记分别为486、714人，有效提升异地就医服务效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（五）推进职工生育医疗费用直接结算。</w:t>
      </w:r>
      <w:r>
        <w:rPr>
          <w:rFonts w:hint="eastAsia" w:ascii="仿宋_GB2312" w:hAnsi="仿宋_GB2312" w:eastAsia="仿宋_GB2312" w:cs="仿宋_GB2312"/>
          <w:sz w:val="32"/>
          <w:szCs w:val="32"/>
          <w:highlight w:val="none"/>
          <w:lang w:val="en-US" w:eastAsia="zh-CN"/>
        </w:rPr>
        <w:t>自2022年5月1日起，我市享受职工生育保险待遇的参保人在本市或省内异地定点医疗机构进行产前检查、住院生育、终止妊娠、实施计划生育手术等发生的门诊或住院医疗费用可以在定点医疗机构享受直接结算服务，无需垫付费用。为方便参保人“一站式”办事，我市将生育登记备案权限下放至各定点医疗机构，参保人在选定的医疗机构备案后即可享受生育医疗费用直接结算。2023年上半年，我区参保人职工生育医疗直接结算3029人次，医保基金支付金额为175.17万元，极大减轻了参保职工生育医疗费用垫支负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二下半年工作计划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（一）健全医保工作保障体系，形成补齐医保工作短板合力。</w:t>
      </w:r>
      <w:r>
        <w:rPr>
          <w:rFonts w:hint="eastAsia" w:ascii="仿宋_GB2312" w:hAnsi="仿宋_GB2312" w:eastAsia="仿宋_GB2312" w:cs="仿宋_GB2312"/>
          <w:sz w:val="32"/>
          <w:szCs w:val="32"/>
          <w:highlight w:val="none"/>
          <w:lang w:val="en-US" w:eastAsia="zh-CN"/>
        </w:rPr>
        <w:t>完善区、镇（街）、村（居）和部门协同参与的医疗保障机制，健全镇（街）医保经办，加强业务知识学习，努力提升医保经办人员的业务技能，维护医保基金安全和可持续，促进医保、医疗、医药协同发展。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（二）扎实开展城乡居民医保征缴工作，推进基本医疗保险全覆盖。</w:t>
      </w:r>
      <w:r>
        <w:rPr>
          <w:rFonts w:hint="eastAsia" w:ascii="仿宋_GB2312" w:hAnsi="仿宋_GB2312" w:eastAsia="仿宋_GB2312" w:cs="仿宋_GB2312"/>
          <w:sz w:val="32"/>
          <w:szCs w:val="32"/>
          <w:highlight w:val="none"/>
          <w:lang w:val="en-US" w:eastAsia="zh-CN"/>
        </w:rPr>
        <w:t>强化参保管理，做好与税务部门和国家医保系统项目部的对接，共同做好2024年城乡医保征缴工作。积极与市局对接，完善医保系统，导出未参保数据，分解任务，压实各镇街责任，及时反馈参保数据，力争应缴尽缴、应保尽保、不缺一户、不漏一人，力争全区基本医疗保险总体参保率稳定在98%以上，确保完成每年度参保目标任务，基本实现医保全覆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（三）助力乡村振兴，做好困难群众医疗救助工作。</w:t>
      </w:r>
      <w:r>
        <w:rPr>
          <w:rFonts w:hint="eastAsia" w:ascii="仿宋_GB2312" w:hAnsi="仿宋_GB2312" w:eastAsia="仿宋_GB2312" w:cs="仿宋_GB2312"/>
          <w:sz w:val="32"/>
          <w:szCs w:val="32"/>
          <w:highlight w:val="none"/>
          <w:lang w:val="en-US" w:eastAsia="zh-CN"/>
        </w:rPr>
        <w:t xml:space="preserve">每月与民政局衔接，及时掌握我区困难群众就医信息和一站式救助系统救助信息，对符合救助条件但未救助困难群众实施医疗救助和二次医疗救助，对有返贫风险的脱贫人口及时反馈给乡村振兴局，实行动态管理，确保困难群众得到医疗救助，切实解决困难群众医疗难题。  </w:t>
      </w:r>
    </w:p>
    <w:p>
      <w:pPr>
        <w:pStyle w:val="17"/>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 xml:space="preserve"> </w:t>
      </w:r>
      <w:r>
        <w:rPr>
          <w:rFonts w:hint="eastAsia" w:ascii="楷体" w:hAnsi="楷体" w:eastAsia="楷体" w:cs="楷体"/>
          <w:kern w:val="2"/>
          <w:sz w:val="32"/>
          <w:szCs w:val="32"/>
          <w:highlight w:val="none"/>
          <w:lang w:val="en-US" w:eastAsia="zh-CN" w:bidi="ar-SA"/>
        </w:rPr>
        <w:t>（四）强化医疗机构的医保服务能力，提升医保的服务效率。</w:t>
      </w:r>
      <w:r>
        <w:rPr>
          <w:rFonts w:hint="eastAsia" w:ascii="仿宋_GB2312" w:hAnsi="仿宋_GB2312" w:eastAsia="仿宋_GB2312" w:cs="仿宋_GB2312"/>
          <w:b w:val="0"/>
          <w:bCs/>
          <w:kern w:val="2"/>
          <w:sz w:val="32"/>
          <w:szCs w:val="32"/>
          <w:highlight w:val="none"/>
          <w:lang w:val="en-US" w:eastAsia="zh-CN" w:bidi="ar-SA"/>
        </w:rPr>
        <w:t>加强医保政策宣传，提高参保群众医保知识的知晓率，进一步增强医疗保障服务意识，提高工作效率，提升群众满意度。</w:t>
      </w:r>
    </w:p>
    <w:p>
      <w:pPr>
        <w:pStyle w:val="18"/>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sz w:val="32"/>
          <w:szCs w:val="32"/>
          <w:highlight w:val="none"/>
          <w:lang w:val="en-US"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Chars="200" w:right="0" w:rightChars="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 xml:space="preserve">                           韶关市武江区医疗保障局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2023年7月3日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highlight w:val="none"/>
          <w:lang w:val="en-US" w:eastAsia="zh-CN"/>
        </w:rPr>
      </w:pPr>
    </w:p>
    <w:p>
      <w:pPr>
        <w:pStyle w:val="2"/>
        <w:rPr>
          <w:rFonts w:hint="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YmQ0YjA2NTNkNWNjZDRjZDEzMDJjMWM5MWIyMTAifQ=="/>
  </w:docVars>
  <w:rsids>
    <w:rsidRoot w:val="00000000"/>
    <w:rsid w:val="00033E4D"/>
    <w:rsid w:val="000F1AB5"/>
    <w:rsid w:val="018549D0"/>
    <w:rsid w:val="02793B0F"/>
    <w:rsid w:val="02BB1521"/>
    <w:rsid w:val="07AD0756"/>
    <w:rsid w:val="0E4B63E2"/>
    <w:rsid w:val="0E9D6C3E"/>
    <w:rsid w:val="10811ACC"/>
    <w:rsid w:val="11701DC2"/>
    <w:rsid w:val="12046FD4"/>
    <w:rsid w:val="12C123E1"/>
    <w:rsid w:val="13C656A6"/>
    <w:rsid w:val="15917E5E"/>
    <w:rsid w:val="172F40AF"/>
    <w:rsid w:val="18203F97"/>
    <w:rsid w:val="189E7D63"/>
    <w:rsid w:val="19061883"/>
    <w:rsid w:val="19BC42DA"/>
    <w:rsid w:val="1BAA3C5C"/>
    <w:rsid w:val="1D790CB7"/>
    <w:rsid w:val="1DD86FC5"/>
    <w:rsid w:val="1E536404"/>
    <w:rsid w:val="1EE32613"/>
    <w:rsid w:val="214E2BE4"/>
    <w:rsid w:val="22EC1AEA"/>
    <w:rsid w:val="238B1709"/>
    <w:rsid w:val="24362490"/>
    <w:rsid w:val="27231F6B"/>
    <w:rsid w:val="277A121B"/>
    <w:rsid w:val="2BCB5E23"/>
    <w:rsid w:val="2D2537F5"/>
    <w:rsid w:val="2E6870C8"/>
    <w:rsid w:val="2F3E773C"/>
    <w:rsid w:val="31807FCD"/>
    <w:rsid w:val="31D165C7"/>
    <w:rsid w:val="343E3106"/>
    <w:rsid w:val="35616F42"/>
    <w:rsid w:val="366C6D72"/>
    <w:rsid w:val="38557837"/>
    <w:rsid w:val="38DC3B37"/>
    <w:rsid w:val="3A080DCA"/>
    <w:rsid w:val="3B295598"/>
    <w:rsid w:val="3C0D35B3"/>
    <w:rsid w:val="3E0A4A4F"/>
    <w:rsid w:val="3EA056A6"/>
    <w:rsid w:val="3F7020CB"/>
    <w:rsid w:val="4001677D"/>
    <w:rsid w:val="413B3AB4"/>
    <w:rsid w:val="415346A4"/>
    <w:rsid w:val="41652D3C"/>
    <w:rsid w:val="42347BC6"/>
    <w:rsid w:val="42741814"/>
    <w:rsid w:val="436E5A17"/>
    <w:rsid w:val="43703837"/>
    <w:rsid w:val="44CD30D2"/>
    <w:rsid w:val="45696319"/>
    <w:rsid w:val="45DE6432"/>
    <w:rsid w:val="48D531D0"/>
    <w:rsid w:val="49D942C7"/>
    <w:rsid w:val="4B6A0FD8"/>
    <w:rsid w:val="4CA17B66"/>
    <w:rsid w:val="4CC67421"/>
    <w:rsid w:val="4D063102"/>
    <w:rsid w:val="4E0717B1"/>
    <w:rsid w:val="4E4F2D6C"/>
    <w:rsid w:val="4F365D17"/>
    <w:rsid w:val="4F5B578B"/>
    <w:rsid w:val="502C78E1"/>
    <w:rsid w:val="52376773"/>
    <w:rsid w:val="524732FD"/>
    <w:rsid w:val="52F60377"/>
    <w:rsid w:val="55D4219C"/>
    <w:rsid w:val="57821F7D"/>
    <w:rsid w:val="5A23732C"/>
    <w:rsid w:val="5BAC3123"/>
    <w:rsid w:val="5D663C6C"/>
    <w:rsid w:val="5DF7771D"/>
    <w:rsid w:val="5E452A01"/>
    <w:rsid w:val="5FA21B6B"/>
    <w:rsid w:val="5FA23FE8"/>
    <w:rsid w:val="5FAD5B82"/>
    <w:rsid w:val="607F53ED"/>
    <w:rsid w:val="61DA6B38"/>
    <w:rsid w:val="62C456BC"/>
    <w:rsid w:val="63A4729C"/>
    <w:rsid w:val="678C5840"/>
    <w:rsid w:val="680C671B"/>
    <w:rsid w:val="687C6F49"/>
    <w:rsid w:val="687D0CF0"/>
    <w:rsid w:val="691F7308"/>
    <w:rsid w:val="6A356EA0"/>
    <w:rsid w:val="6A8B34D2"/>
    <w:rsid w:val="6CDC7AC9"/>
    <w:rsid w:val="6EE4528A"/>
    <w:rsid w:val="702459EC"/>
    <w:rsid w:val="71507640"/>
    <w:rsid w:val="75162A3D"/>
    <w:rsid w:val="76AA1F0F"/>
    <w:rsid w:val="78D1250F"/>
    <w:rsid w:val="79F41F96"/>
    <w:rsid w:val="7A923D39"/>
    <w:rsid w:val="7C4F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 w:val="21"/>
    </w:rPr>
  </w:style>
  <w:style w:type="paragraph" w:styleId="4">
    <w:name w:val="Normal Indent"/>
    <w:basedOn w:val="1"/>
    <w:qFormat/>
    <w:uiPriority w:val="0"/>
    <w:pPr>
      <w:ind w:firstLine="420" w:firstLineChars="200"/>
    </w:pPr>
    <w:rPr>
      <w:rFonts w:ascii="Calibri" w:hAnsi="Calibri"/>
      <w:sz w:val="21"/>
      <w:szCs w:val="24"/>
    </w:rPr>
  </w:style>
  <w:style w:type="paragraph" w:styleId="5">
    <w:name w:val="Body Text"/>
    <w:basedOn w:val="1"/>
    <w:qFormat/>
    <w:uiPriority w:val="1"/>
    <w:rPr>
      <w:rFonts w:ascii="宋体" w:hAnsi="宋体" w:eastAsia="宋体" w:cs="宋体"/>
      <w:sz w:val="32"/>
      <w:szCs w:val="32"/>
    </w:rPr>
  </w:style>
  <w:style w:type="paragraph" w:styleId="6">
    <w:name w:val="footer"/>
    <w:basedOn w:val="1"/>
    <w:unhideWhenUsed/>
    <w:qFormat/>
    <w:uiPriority w:val="99"/>
    <w:pPr>
      <w:tabs>
        <w:tab w:val="center" w:pos="4680"/>
        <w:tab w:val="right" w:pos="9360"/>
      </w:tabs>
      <w:spacing w:after="0" w:line="240" w:lineRule="auto"/>
    </w:pPr>
  </w:style>
  <w:style w:type="paragraph" w:customStyle="1" w:styleId="9">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List Paragraph"/>
    <w:basedOn w:val="1"/>
    <w:qFormat/>
    <w:uiPriority w:val="34"/>
    <w:pPr>
      <w:ind w:firstLine="420" w:firstLineChars="200"/>
    </w:pPr>
  </w:style>
  <w:style w:type="paragraph" w:customStyle="1" w:styleId="12">
    <w:name w:val="Normal New New"/>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4">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w:qFormat/>
    <w:uiPriority w:val="0"/>
    <w:pPr>
      <w:widowControl w:val="0"/>
      <w:jc w:val="both"/>
    </w:pPr>
    <w:rPr>
      <w:rFonts w:ascii="Times New Roman" w:hAnsi="Times New Roman" w:eastAsia="宋体" w:cs="黑体"/>
      <w:kern w:val="2"/>
      <w:sz w:val="21"/>
      <w:lang w:val="en-US" w:eastAsia="zh-CN" w:bidi="ar-SA"/>
    </w:rPr>
  </w:style>
  <w:style w:type="character" w:customStyle="1" w:styleId="16">
    <w:name w:val="NormalCharacter"/>
    <w:semiHidden/>
    <w:qFormat/>
    <w:uiPriority w:val="0"/>
    <w:rPr>
      <w:rFonts w:ascii="仿宋_GB2312" w:eastAsia="仿宋_GB2312"/>
      <w:kern w:val="2"/>
      <w:sz w:val="32"/>
      <w:szCs w:val="24"/>
      <w:lang w:val="en-US" w:eastAsia="zh-CN" w:bidi="ar-SA"/>
    </w:rPr>
  </w:style>
  <w:style w:type="paragraph" w:customStyle="1" w:styleId="17">
    <w:name w:val="正文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8">
    <w:name w:val="Normal Indent"/>
    <w:basedOn w:val="1"/>
    <w:qFormat/>
    <w:uiPriority w:val="0"/>
    <w:pPr>
      <w:spacing w:line="360" w:lineRule="auto"/>
      <w:ind w:firstLine="200"/>
    </w:pPr>
    <w:rPr>
      <w:rFonts w:ascii="Times New Roman" w:hAnsi="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199</Words>
  <Characters>215</Characters>
  <Lines>0</Lines>
  <Paragraphs>0</Paragraphs>
  <TotalTime>2</TotalTime>
  <ScaleCrop>false</ScaleCrop>
  <LinksUpToDate>false</LinksUpToDate>
  <CharactersWithSpaces>215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cp:lastModifiedBy>
  <cp:lastPrinted>2021-09-17T07:54:00Z</cp:lastPrinted>
  <dcterms:modified xsi:type="dcterms:W3CDTF">2023-07-03T07:20:28Z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0C5FC238677A4E2BBE64E698F92E573B</vt:lpwstr>
  </property>
</Properties>
</file>