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left="0" w:leftChars="0" w:firstLine="0" w:firstLineChars="0"/>
        <w:jc w:val="center"/>
        <w:rPr>
          <w:rFonts w:hint="eastAsia" w:ascii="黑体" w:hAnsi="黑体" w:eastAsia="黑体" w:cs="黑体"/>
          <w:b/>
          <w:bCs/>
          <w:strike w:val="0"/>
          <w:dstrike w:val="0"/>
          <w:sz w:val="44"/>
          <w:szCs w:val="44"/>
        </w:rPr>
      </w:pPr>
    </w:p>
    <w:p>
      <w:pPr>
        <w:spacing w:line="720" w:lineRule="auto"/>
        <w:ind w:left="0" w:leftChars="0" w:firstLine="0" w:firstLineChars="0"/>
        <w:jc w:val="center"/>
        <w:rPr>
          <w:rFonts w:hint="eastAsia" w:ascii="黑体" w:hAnsi="黑体" w:eastAsia="黑体" w:cs="黑体"/>
          <w:b/>
          <w:bCs/>
          <w:strike w:val="0"/>
          <w:dstrike w:val="0"/>
          <w:sz w:val="44"/>
          <w:szCs w:val="44"/>
        </w:rPr>
      </w:pPr>
    </w:p>
    <w:p>
      <w:pPr>
        <w:spacing w:line="720" w:lineRule="auto"/>
        <w:ind w:left="0" w:leftChars="0" w:firstLine="0" w:firstLineChars="0"/>
        <w:jc w:val="center"/>
        <w:outlineLvl w:val="9"/>
        <w:rPr>
          <w:rFonts w:hint="eastAsia" w:ascii="黑体" w:hAnsi="黑体" w:eastAsia="黑体" w:cs="黑体"/>
          <w:b/>
          <w:bCs/>
          <w:strike w:val="0"/>
          <w:dstrike w:val="0"/>
          <w:sz w:val="44"/>
          <w:szCs w:val="44"/>
        </w:rPr>
      </w:pPr>
      <w:bookmarkStart w:id="0" w:name="_Toc9751"/>
      <w:r>
        <w:rPr>
          <w:rFonts w:hint="eastAsia" w:ascii="黑体" w:hAnsi="黑体" w:eastAsia="黑体" w:cs="黑体"/>
          <w:b/>
          <w:bCs/>
          <w:strike w:val="0"/>
          <w:dstrike w:val="0"/>
          <w:sz w:val="44"/>
          <w:szCs w:val="44"/>
        </w:rPr>
        <w:t>韶关市武江区卫生健康事业发展</w:t>
      </w:r>
      <w:bookmarkEnd w:id="0"/>
    </w:p>
    <w:p>
      <w:pPr>
        <w:spacing w:line="720" w:lineRule="auto"/>
        <w:ind w:left="0" w:leftChars="0" w:firstLine="0" w:firstLineChars="0"/>
        <w:jc w:val="center"/>
        <w:outlineLvl w:val="9"/>
        <w:rPr>
          <w:rFonts w:hint="eastAsia" w:ascii="黑体" w:hAnsi="黑体" w:eastAsia="黑体" w:cs="黑体"/>
          <w:b/>
          <w:bCs/>
          <w:strike w:val="0"/>
          <w:dstrike w:val="0"/>
          <w:sz w:val="44"/>
          <w:szCs w:val="44"/>
        </w:rPr>
      </w:pPr>
      <w:bookmarkStart w:id="1" w:name="_Toc12097"/>
      <w:r>
        <w:rPr>
          <w:rFonts w:hint="eastAsia" w:ascii="黑体" w:hAnsi="黑体" w:eastAsia="黑体" w:cs="黑体"/>
          <w:b/>
          <w:bCs/>
          <w:strike w:val="0"/>
          <w:dstrike w:val="0"/>
          <w:sz w:val="44"/>
          <w:szCs w:val="44"/>
          <w:lang w:val="en-US" w:eastAsia="zh-CN"/>
        </w:rPr>
        <w:t>第</w:t>
      </w:r>
      <w:r>
        <w:rPr>
          <w:rFonts w:hint="eastAsia" w:ascii="黑体" w:hAnsi="黑体" w:eastAsia="黑体" w:cs="黑体"/>
          <w:b/>
          <w:bCs/>
          <w:strike w:val="0"/>
          <w:dstrike w:val="0"/>
          <w:sz w:val="44"/>
          <w:szCs w:val="44"/>
        </w:rPr>
        <w:t>十四</w:t>
      </w:r>
      <w:r>
        <w:rPr>
          <w:rFonts w:hint="eastAsia" w:ascii="黑体" w:hAnsi="黑体" w:eastAsia="黑体" w:cs="黑体"/>
          <w:b/>
          <w:bCs/>
          <w:strike w:val="0"/>
          <w:dstrike w:val="0"/>
          <w:sz w:val="44"/>
          <w:szCs w:val="44"/>
          <w:lang w:val="en-US" w:eastAsia="zh-CN"/>
        </w:rPr>
        <w:t>个</w:t>
      </w:r>
      <w:r>
        <w:rPr>
          <w:rFonts w:hint="eastAsia" w:ascii="黑体" w:hAnsi="黑体" w:eastAsia="黑体" w:cs="黑体"/>
          <w:b/>
          <w:bCs/>
          <w:strike w:val="0"/>
          <w:dstrike w:val="0"/>
          <w:sz w:val="44"/>
          <w:szCs w:val="44"/>
        </w:rPr>
        <w:t>五</w:t>
      </w:r>
      <w:r>
        <w:rPr>
          <w:rFonts w:hint="eastAsia" w:ascii="黑体" w:hAnsi="黑体" w:eastAsia="黑体" w:cs="黑体"/>
          <w:b/>
          <w:bCs/>
          <w:strike w:val="0"/>
          <w:dstrike w:val="0"/>
          <w:sz w:val="44"/>
          <w:szCs w:val="44"/>
          <w:lang w:val="en-US" w:eastAsia="zh-CN"/>
        </w:rPr>
        <w:t>年</w:t>
      </w:r>
      <w:r>
        <w:rPr>
          <w:rFonts w:hint="eastAsia" w:ascii="黑体" w:hAnsi="黑体" w:eastAsia="黑体" w:cs="黑体"/>
          <w:b/>
          <w:bCs/>
          <w:strike w:val="0"/>
          <w:dstrike w:val="0"/>
          <w:sz w:val="44"/>
          <w:szCs w:val="44"/>
        </w:rPr>
        <w:t>规划</w:t>
      </w:r>
      <w:bookmarkEnd w:id="1"/>
    </w:p>
    <w:p>
      <w:pPr>
        <w:spacing w:line="720" w:lineRule="auto"/>
        <w:ind w:left="0" w:leftChars="0" w:firstLine="0" w:firstLineChars="0"/>
        <w:jc w:val="center"/>
        <w:outlineLvl w:val="9"/>
        <w:rPr>
          <w:rFonts w:hint="eastAsia" w:ascii="黑体" w:hAnsi="黑体" w:eastAsia="黑体" w:cs="黑体"/>
          <w:b/>
          <w:bCs/>
          <w:strike w:val="0"/>
          <w:dstrike w:val="0"/>
          <w:sz w:val="44"/>
          <w:szCs w:val="44"/>
          <w:lang w:eastAsia="zh-CN"/>
        </w:rPr>
      </w:pPr>
      <w:r>
        <w:rPr>
          <w:rFonts w:hint="eastAsia" w:ascii="黑体" w:hAnsi="黑体" w:eastAsia="黑体" w:cs="黑体"/>
          <w:b/>
          <w:bCs/>
          <w:strike w:val="0"/>
          <w:dstrike w:val="0"/>
          <w:sz w:val="44"/>
          <w:szCs w:val="44"/>
          <w:lang w:eastAsia="zh-CN"/>
        </w:rPr>
        <w:t>（</w:t>
      </w:r>
      <w:r>
        <w:rPr>
          <w:rFonts w:hint="eastAsia" w:ascii="黑体" w:hAnsi="黑体" w:eastAsia="黑体" w:cs="黑体"/>
          <w:b/>
          <w:bCs/>
          <w:strike w:val="0"/>
          <w:dstrike w:val="0"/>
          <w:sz w:val="44"/>
          <w:szCs w:val="44"/>
          <w:lang w:val="en-US" w:eastAsia="zh-CN"/>
        </w:rPr>
        <w:t>征求意见稿</w:t>
      </w:r>
      <w:r>
        <w:rPr>
          <w:rFonts w:hint="eastAsia" w:ascii="黑体" w:hAnsi="黑体" w:eastAsia="黑体" w:cs="黑体"/>
          <w:b/>
          <w:bCs/>
          <w:strike w:val="0"/>
          <w:dstrike w:val="0"/>
          <w:sz w:val="44"/>
          <w:szCs w:val="44"/>
          <w:lang w:eastAsia="zh-CN"/>
        </w:rPr>
        <w:t>）</w:t>
      </w:r>
    </w:p>
    <w:p>
      <w:pPr>
        <w:spacing w:line="720" w:lineRule="auto"/>
        <w:ind w:firstLine="883"/>
        <w:jc w:val="center"/>
        <w:rPr>
          <w:rFonts w:ascii="黑体" w:hAnsi="黑体" w:eastAsia="黑体" w:cs="黑体"/>
          <w:b/>
          <w:bCs/>
          <w:strike w:val="0"/>
          <w:dstrike w:val="0"/>
          <w:sz w:val="44"/>
          <w:szCs w:val="44"/>
        </w:rPr>
      </w:pPr>
    </w:p>
    <w:p>
      <w:pPr>
        <w:spacing w:line="720" w:lineRule="auto"/>
        <w:ind w:firstLine="883"/>
        <w:jc w:val="center"/>
        <w:rPr>
          <w:rFonts w:ascii="黑体" w:hAnsi="黑体" w:eastAsia="黑体" w:cs="黑体"/>
          <w:b/>
          <w:bCs/>
          <w:strike w:val="0"/>
          <w:dstrike w:val="0"/>
          <w:sz w:val="44"/>
          <w:szCs w:val="44"/>
        </w:rPr>
      </w:pPr>
    </w:p>
    <w:p>
      <w:pPr>
        <w:spacing w:line="720" w:lineRule="auto"/>
        <w:ind w:firstLine="883"/>
        <w:jc w:val="center"/>
        <w:rPr>
          <w:rFonts w:ascii="黑体" w:hAnsi="黑体" w:eastAsia="黑体" w:cs="黑体"/>
          <w:b/>
          <w:bCs/>
          <w:strike w:val="0"/>
          <w:dstrike w:val="0"/>
          <w:sz w:val="44"/>
          <w:szCs w:val="44"/>
        </w:rPr>
      </w:pPr>
    </w:p>
    <w:p>
      <w:pPr>
        <w:spacing w:line="720" w:lineRule="auto"/>
        <w:ind w:firstLine="883"/>
        <w:jc w:val="center"/>
        <w:rPr>
          <w:rFonts w:ascii="黑体" w:hAnsi="黑体" w:eastAsia="黑体" w:cs="黑体"/>
          <w:b/>
          <w:bCs/>
          <w:strike w:val="0"/>
          <w:dstrike w:val="0"/>
          <w:sz w:val="44"/>
          <w:szCs w:val="44"/>
        </w:rPr>
      </w:pPr>
    </w:p>
    <w:p>
      <w:pPr>
        <w:pStyle w:val="2"/>
        <w:rPr>
          <w:rFonts w:ascii="黑体" w:hAnsi="黑体" w:eastAsia="黑体" w:cs="黑体"/>
          <w:b/>
          <w:bCs/>
          <w:strike w:val="0"/>
          <w:dstrike w:val="0"/>
          <w:sz w:val="44"/>
          <w:szCs w:val="44"/>
        </w:rPr>
      </w:pPr>
    </w:p>
    <w:p>
      <w:pPr>
        <w:rPr>
          <w:rFonts w:ascii="黑体" w:hAnsi="黑体" w:eastAsia="黑体" w:cs="黑体"/>
          <w:b/>
          <w:bCs/>
          <w:strike w:val="0"/>
          <w:dstrike w:val="0"/>
          <w:sz w:val="44"/>
          <w:szCs w:val="44"/>
        </w:rPr>
      </w:pPr>
    </w:p>
    <w:p>
      <w:pPr>
        <w:pStyle w:val="2"/>
        <w:rPr>
          <w:rFonts w:ascii="黑体" w:hAnsi="黑体" w:eastAsia="黑体" w:cs="黑体"/>
          <w:b/>
          <w:bCs/>
          <w:strike w:val="0"/>
          <w:dstrike w:val="0"/>
          <w:sz w:val="44"/>
          <w:szCs w:val="44"/>
        </w:rPr>
      </w:pPr>
    </w:p>
    <w:p>
      <w:pPr>
        <w:rPr>
          <w:rFonts w:ascii="黑体" w:hAnsi="黑体" w:eastAsia="黑体" w:cs="黑体"/>
          <w:b/>
          <w:bCs/>
          <w:strike w:val="0"/>
          <w:dstrike w:val="0"/>
          <w:sz w:val="44"/>
          <w:szCs w:val="44"/>
        </w:rPr>
      </w:pPr>
    </w:p>
    <w:p>
      <w:pPr>
        <w:pStyle w:val="2"/>
        <w:rPr>
          <w:rFonts w:ascii="黑体" w:hAnsi="黑体" w:eastAsia="黑体" w:cs="黑体"/>
          <w:b/>
          <w:bCs/>
          <w:strike w:val="0"/>
          <w:dstrike w:val="0"/>
          <w:sz w:val="44"/>
          <w:szCs w:val="44"/>
        </w:rPr>
      </w:pPr>
    </w:p>
    <w:p>
      <w:pPr>
        <w:spacing w:line="720" w:lineRule="auto"/>
        <w:ind w:left="0" w:leftChars="0" w:firstLine="0" w:firstLineChars="0"/>
        <w:jc w:val="both"/>
        <w:rPr>
          <w:rFonts w:ascii="黑体" w:hAnsi="黑体" w:eastAsia="黑体" w:cs="黑体"/>
          <w:b/>
          <w:bCs/>
          <w:strike w:val="0"/>
          <w:dstrike w:val="0"/>
          <w:sz w:val="44"/>
          <w:szCs w:val="44"/>
        </w:rPr>
      </w:pPr>
    </w:p>
    <w:p>
      <w:pPr>
        <w:jc w:val="center"/>
        <w:rPr>
          <w:rFonts w:hint="default" w:ascii="Times New Roman" w:hAnsi="Times New Roman" w:eastAsia="楷体" w:cs="Times New Roman"/>
          <w:strike w:val="0"/>
          <w:dstrike w:val="0"/>
          <w:sz w:val="44"/>
          <w:szCs w:val="44"/>
          <w:lang w:val="en-US" w:eastAsia="zh-CN"/>
        </w:rPr>
      </w:pPr>
      <w:r>
        <w:rPr>
          <w:rFonts w:hint="eastAsia" w:eastAsia="楷体" w:cs="Times New Roman"/>
          <w:strike w:val="0"/>
          <w:dstrike w:val="0"/>
          <w:sz w:val="44"/>
          <w:szCs w:val="44"/>
          <w:lang w:val="en-US" w:eastAsia="zh-CN"/>
        </w:rPr>
        <w:t>二〇二三</w:t>
      </w:r>
      <w:r>
        <w:rPr>
          <w:rFonts w:hint="default" w:ascii="Times New Roman" w:hAnsi="Times New Roman" w:eastAsia="楷体" w:cs="Times New Roman"/>
          <w:strike w:val="0"/>
          <w:dstrike w:val="0"/>
          <w:sz w:val="44"/>
          <w:szCs w:val="44"/>
          <w:lang w:val="en-US" w:eastAsia="zh-CN"/>
        </w:rPr>
        <w:t>年</w:t>
      </w:r>
      <w:r>
        <w:rPr>
          <w:rFonts w:hint="eastAsia" w:eastAsia="楷体" w:cs="Times New Roman"/>
          <w:strike w:val="0"/>
          <w:dstrike w:val="0"/>
          <w:sz w:val="44"/>
          <w:szCs w:val="44"/>
          <w:lang w:val="en-US" w:eastAsia="zh-CN"/>
        </w:rPr>
        <w:t>七</w:t>
      </w:r>
      <w:r>
        <w:rPr>
          <w:rFonts w:hint="default" w:ascii="Times New Roman" w:hAnsi="Times New Roman" w:eastAsia="楷体" w:cs="Times New Roman"/>
          <w:strike w:val="0"/>
          <w:dstrike w:val="0"/>
          <w:sz w:val="44"/>
          <w:szCs w:val="44"/>
          <w:lang w:val="en-US" w:eastAsia="zh-CN"/>
        </w:rPr>
        <w:t>月</w:t>
      </w:r>
    </w:p>
    <w:p>
      <w:pPr>
        <w:ind w:left="0" w:leftChars="0" w:firstLine="0" w:firstLineChars="0"/>
        <w:rPr>
          <w:rFonts w:hint="eastAsia"/>
          <w:strike w:val="0"/>
          <w:dstrike w:val="0"/>
          <w:sz w:val="36"/>
          <w:szCs w:val="36"/>
        </w:rPr>
      </w:pPr>
    </w:p>
    <w:p>
      <w:pPr>
        <w:pStyle w:val="2"/>
        <w:rPr>
          <w:rFonts w:hint="eastAsia"/>
          <w:strike w:val="0"/>
          <w:dstrike w:val="0"/>
        </w:rPr>
        <w:sectPr>
          <w:footerReference r:id="rId5" w:type="default"/>
          <w:pgSz w:w="11906" w:h="16838"/>
          <w:pgMar w:top="1417" w:right="1304" w:bottom="1417" w:left="1304" w:header="851" w:footer="992" w:gutter="0"/>
          <w:cols w:space="720" w:num="1"/>
          <w:docGrid w:type="lines" w:linePitch="312" w:charSpace="0"/>
        </w:sectPr>
      </w:pPr>
    </w:p>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2" w:name="_Toc16481"/>
      <w:bookmarkStart w:id="3" w:name="_Toc20421"/>
      <w:bookmarkStart w:id="4" w:name="_Toc7015"/>
      <w:bookmarkStart w:id="5" w:name="_Toc8597"/>
      <w:bookmarkStart w:id="6" w:name="_Toc18368"/>
      <w:r>
        <w:rPr>
          <w:rFonts w:hint="eastAsia" w:ascii="黑体" w:hAnsi="黑体" w:eastAsia="黑体" w:cs="黑体"/>
          <w:sz w:val="44"/>
          <w:szCs w:val="44"/>
        </w:rPr>
        <w:t>目录</w:t>
      </w:r>
    </w:p>
    <w:p>
      <w:pPr>
        <w:pStyle w:val="9"/>
        <w:keepNext w:val="0"/>
        <w:keepLines w:val="0"/>
        <w:pageBreakBefore w:val="0"/>
        <w:widowControl w:val="0"/>
        <w:tabs>
          <w:tab w:val="right" w:leader="dot" w:pos="9298"/>
        </w:tabs>
        <w:kinsoku/>
        <w:wordWrap/>
        <w:overflowPunct/>
        <w:topLinePunct w:val="0"/>
        <w:autoSpaceDE/>
        <w:autoSpaceDN/>
        <w:bidi w:val="0"/>
        <w:adjustRightInd/>
        <w:snapToGrid/>
        <w:spacing w:line="600" w:lineRule="exact"/>
        <w:ind w:left="0" w:leftChars="0" w:firstLine="0" w:firstLineChars="0"/>
        <w:textAlignment w:val="auto"/>
        <w:rPr>
          <w:b/>
          <w:strike w:val="0"/>
          <w:dstrike w:val="0"/>
          <w:color w:val="auto"/>
          <w:sz w:val="28"/>
          <w:szCs w:val="28"/>
        </w:rPr>
      </w:pPr>
    </w:p>
    <w:p>
      <w:pPr>
        <w:pStyle w:val="9"/>
        <w:tabs>
          <w:tab w:val="right" w:leader="dot" w:pos="9298"/>
        </w:tabs>
        <w:ind w:left="0" w:leftChars="0" w:firstLine="0" w:firstLineChars="0"/>
        <w:jc w:val="left"/>
        <w:rPr>
          <w:rFonts w:hint="eastAsia" w:ascii="黑体" w:hAnsi="黑体" w:eastAsia="黑体" w:cs="黑体"/>
        </w:rPr>
      </w:pPr>
      <w:r>
        <w:rPr>
          <w:b/>
          <w:strike w:val="0"/>
          <w:dstrike w:val="0"/>
          <w:color w:val="auto"/>
          <w:sz w:val="28"/>
          <w:szCs w:val="28"/>
        </w:rPr>
        <w:fldChar w:fldCharType="begin"/>
      </w:r>
      <w:r>
        <w:rPr>
          <w:b/>
          <w:strike w:val="0"/>
          <w:dstrike w:val="0"/>
          <w:color w:val="auto"/>
          <w:sz w:val="28"/>
          <w:szCs w:val="28"/>
        </w:rPr>
        <w:instrText xml:space="preserve">TOC \o "1-3" \h \u </w:instrText>
      </w:r>
      <w:r>
        <w:rPr>
          <w:b/>
          <w:strike w:val="0"/>
          <w:dstrike w:val="0"/>
          <w:color w:val="auto"/>
          <w:sz w:val="28"/>
          <w:szCs w:val="28"/>
        </w:rPr>
        <w:fldChar w:fldCharType="separate"/>
      </w: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_Toc14646 </w:instrText>
      </w:r>
      <w:r>
        <w:rPr>
          <w:rFonts w:hint="eastAsia" w:ascii="黑体" w:hAnsi="黑体" w:eastAsia="黑体" w:cs="黑体"/>
          <w:strike w:val="0"/>
          <w:dstrike w:val="0"/>
          <w:szCs w:val="28"/>
        </w:rPr>
        <w:fldChar w:fldCharType="separate"/>
      </w:r>
      <w:r>
        <w:rPr>
          <w:rFonts w:hint="eastAsia" w:ascii="黑体" w:hAnsi="黑体" w:eastAsia="黑体" w:cs="黑体"/>
          <w:lang w:val="en-US" w:eastAsia="zh-CN"/>
        </w:rPr>
        <w:t>前 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_Toc14646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9"/>
        <w:tabs>
          <w:tab w:val="right" w:leader="dot" w:pos="9298"/>
        </w:tabs>
        <w:ind w:left="0" w:leftChars="0" w:firstLine="0" w:firstLineChars="0"/>
        <w:jc w:val="both"/>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_Toc27634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第一章 规划背景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_Toc27634 \h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_Toc29649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发展基础与现状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_Toc29649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_Toc26795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形势与挑战</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_Toc26795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_Toc24237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第二章 总体要求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_Toc24237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_Toc20777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指导思想</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_Toc20777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_Toc17819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基本原则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_Toc17819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_Toc26692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第三节 发展目标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_Toc26692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_Toc5433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第三章 实施“健康武江”行动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_Toc5433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_Toc20670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加强健康促进与健康教育</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_Toc20670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_Toc4979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全面开展爱国卫生运动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_Toc4979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_Toc30268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强化食品安全和营养健康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_Toc30268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_Toc27931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第四节 实施妇幼健康促进行动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_Toc27931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_Toc2815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第五节 加强重点疾病防治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_Toc18752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第六节 促进老年健康服务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_Toc18752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_Toc10342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第七节 加强职业健康保护</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_Toc10342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_Toc22564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第四章 建立健全公共卫生体系</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_Toc22564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_Toc20612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健全区级</w:t>
      </w:r>
      <w:bookmarkStart w:id="166" w:name="_GoBack"/>
      <w:r>
        <w:rPr>
          <w:rFonts w:hint="eastAsia" w:ascii="仿宋_GB2312" w:hAnsi="仿宋_GB2312" w:eastAsia="仿宋_GB2312" w:cs="仿宋_GB2312"/>
          <w:bCs/>
          <w:strike w:val="0"/>
          <w:dstrike w:val="0"/>
          <w:kern w:val="2"/>
          <w:szCs w:val="32"/>
          <w:lang w:val="en-US" w:eastAsia="zh-CN" w:bidi="ar-SA"/>
        </w:rPr>
        <w:t>疾控</w:t>
      </w:r>
      <w:bookmarkEnd w:id="166"/>
      <w:r>
        <w:rPr>
          <w:rFonts w:hint="eastAsia" w:ascii="仿宋_GB2312" w:hAnsi="仿宋_GB2312" w:eastAsia="仿宋_GB2312" w:cs="仿宋_GB2312"/>
          <w:bCs/>
          <w:strike w:val="0"/>
          <w:dstrike w:val="0"/>
          <w:kern w:val="2"/>
          <w:szCs w:val="32"/>
          <w:lang w:val="en-US" w:eastAsia="zh-CN" w:bidi="ar-SA"/>
        </w:rPr>
        <w:t>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_Toc20612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_Toc17159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推进卫生应急管理体系和能力现代化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_Toc17159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_Toc16711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创新医防协同机制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_Toc16711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_Toc19230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第五章 加强医疗卫生服务能力建设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_Toc19230 \h </w:instrText>
      </w:r>
      <w:r>
        <w:rPr>
          <w:rFonts w:hint="eastAsia" w:ascii="黑体" w:hAnsi="黑体" w:eastAsia="黑体" w:cs="黑体"/>
        </w:rPr>
        <w:fldChar w:fldCharType="separate"/>
      </w:r>
      <w:r>
        <w:rPr>
          <w:rFonts w:hint="eastAsia" w:ascii="黑体" w:hAnsi="黑体" w:eastAsia="黑体" w:cs="黑体"/>
        </w:rPr>
        <w:t>16</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_Toc19976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提高区级医疗卫生服务体系建设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_Toc19976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_Toc6509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加强基层医疗卫生服务能力建设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_Toc6509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_Toc23170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第六章 推动中医药高质量发展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_Toc23170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_Toc3687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健全中医药服务体系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_Toc10872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提升中医服务能力建设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_Toc10872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_Toc6007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拓展中医药服务内容和比重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_Toc6007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_Toc5012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第七章 深化医药卫生体制改革</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_Toc5012 \h </w:instrText>
      </w:r>
      <w:r>
        <w:rPr>
          <w:rFonts w:hint="eastAsia" w:ascii="黑体" w:hAnsi="黑体" w:eastAsia="黑体" w:cs="黑体"/>
        </w:rPr>
        <w:fldChar w:fldCharType="separate"/>
      </w:r>
      <w:r>
        <w:rPr>
          <w:rFonts w:hint="eastAsia" w:ascii="黑体" w:hAnsi="黑体" w:eastAsia="黑体" w:cs="黑体"/>
        </w:rPr>
        <w:t>18</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_Toc479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推进分级诊疗制度建设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_Toc19274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完善医疗保障制度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_Toc19274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_Toc15765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完善药品供应保障制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_Toc6337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第四节 建立严格规范的综合监管制度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_Toc6337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_Toc22532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第五节 深化人事薪酬制度改革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_Toc22532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_Toc13072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第八章 促进人口均衡发展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_Toc13072 \h </w:instrText>
      </w:r>
      <w:r>
        <w:rPr>
          <w:rFonts w:hint="eastAsia" w:ascii="黑体" w:hAnsi="黑体" w:eastAsia="黑体" w:cs="黑体"/>
        </w:rPr>
        <w:fldChar w:fldCharType="separate"/>
      </w:r>
      <w:r>
        <w:rPr>
          <w:rFonts w:hint="eastAsia" w:ascii="黑体" w:hAnsi="黑体" w:eastAsia="黑体" w:cs="黑体"/>
        </w:rPr>
        <w:t>21</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_Toc30175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强化生育政策配套衔接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_Toc30175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_Toc5710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完善计划生育服务能力</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_Toc5710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_Toc3164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第九章 积极发展健康服务业</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_Toc3164 \h </w:instrText>
      </w:r>
      <w:r>
        <w:rPr>
          <w:rFonts w:hint="eastAsia" w:ascii="黑体" w:hAnsi="黑体" w:eastAsia="黑体" w:cs="黑体"/>
        </w:rPr>
        <w:fldChar w:fldCharType="separate"/>
      </w:r>
      <w:r>
        <w:rPr>
          <w:rFonts w:hint="eastAsia" w:ascii="黑体" w:hAnsi="黑体" w:eastAsia="黑体" w:cs="黑体"/>
        </w:rPr>
        <w:t>22</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_Toc11853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第一节 鼓励社会办医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_Toc11853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_Toc23966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第二节 推进医养结合工作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_Toc23966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_Toc27633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第三节 发展多样化健康服务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_Toc27633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_Toc6420 </w:instrText>
      </w:r>
      <w:r>
        <w:rPr>
          <w:rFonts w:hint="eastAsia" w:ascii="黑体" w:hAnsi="黑体" w:eastAsia="黑体" w:cs="黑体"/>
          <w:strike w:val="0"/>
          <w:dstrike w:val="0"/>
          <w:szCs w:val="28"/>
        </w:rPr>
        <w:fldChar w:fldCharType="separate"/>
      </w:r>
      <w:r>
        <w:rPr>
          <w:rFonts w:hint="eastAsia" w:ascii="黑体" w:hAnsi="黑体" w:eastAsia="黑体" w:cs="黑体"/>
          <w:strike w:val="0"/>
          <w:dstrike w:val="0"/>
          <w:lang w:val="en-US" w:eastAsia="zh-CN"/>
        </w:rPr>
        <w:t>第十章 加强规划组织实施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_Toc6420 \h </w:instrText>
      </w:r>
      <w:r>
        <w:rPr>
          <w:rFonts w:hint="eastAsia" w:ascii="黑体" w:hAnsi="黑体" w:eastAsia="黑体" w:cs="黑体"/>
        </w:rPr>
        <w:fldChar w:fldCharType="separate"/>
      </w:r>
      <w:r>
        <w:rPr>
          <w:rFonts w:hint="eastAsia" w:ascii="黑体" w:hAnsi="黑体" w:eastAsia="黑体" w:cs="黑体"/>
        </w:rPr>
        <w:t>24</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_Toc17031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第一节 强化政府职能</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_Toc18446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第二节 加强法治建设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_Toc18446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_Toc13446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第三节 加大卫生投入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_Toc13446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_Toc12262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strike w:val="0"/>
          <w:dstrike w:val="0"/>
          <w:lang w:val="en-US" w:eastAsia="zh-CN"/>
        </w:rPr>
        <w:t>第四节 加强人才队伍建设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_Toc12262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_Toc5021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第五节 加强宣传引导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_Toc5021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11"/>
        <w:tabs>
          <w:tab w:val="right" w:leader="dot" w:pos="9298"/>
        </w:tabs>
        <w:ind w:left="0" w:leftChars="0" w:firstLine="0" w:firstLineChars="0"/>
        <w:rPr>
          <w:rFonts w:hint="eastAsia" w:ascii="仿宋_GB2312" w:hAnsi="仿宋_GB2312" w:eastAsia="仿宋_GB2312" w:cs="仿宋_GB2312"/>
        </w:rPr>
      </w:pPr>
      <w:r>
        <w:rPr>
          <w:rFonts w:hint="eastAsia" w:ascii="仿宋_GB2312" w:hAnsi="仿宋_GB2312" w:eastAsia="仿宋_GB2312" w:cs="仿宋_GB2312"/>
          <w:strike w:val="0"/>
          <w:dstrike w:val="0"/>
          <w:color w:val="auto"/>
          <w:szCs w:val="28"/>
        </w:rPr>
        <w:fldChar w:fldCharType="begin"/>
      </w:r>
      <w:r>
        <w:rPr>
          <w:rFonts w:hint="eastAsia" w:ascii="仿宋_GB2312" w:hAnsi="仿宋_GB2312" w:eastAsia="仿宋_GB2312" w:cs="仿宋_GB2312"/>
          <w:strike w:val="0"/>
          <w:dstrike w:val="0"/>
          <w:szCs w:val="28"/>
        </w:rPr>
        <w:instrText xml:space="preserve"> HYPERLINK \l _Toc24162 </w:instrText>
      </w:r>
      <w:r>
        <w:rPr>
          <w:rFonts w:hint="eastAsia" w:ascii="仿宋_GB2312" w:hAnsi="仿宋_GB2312" w:eastAsia="仿宋_GB2312" w:cs="仿宋_GB2312"/>
          <w:strike w:val="0"/>
          <w:dstrike w:val="0"/>
          <w:szCs w:val="28"/>
        </w:rPr>
        <w:fldChar w:fldCharType="separate"/>
      </w:r>
      <w:r>
        <w:rPr>
          <w:rFonts w:hint="eastAsia" w:ascii="仿宋_GB2312" w:hAnsi="仿宋_GB2312" w:eastAsia="仿宋_GB2312" w:cs="仿宋_GB2312"/>
          <w:bCs/>
          <w:strike w:val="0"/>
          <w:dstrike w:val="0"/>
          <w:kern w:val="2"/>
          <w:szCs w:val="32"/>
          <w:lang w:val="en-US" w:eastAsia="zh-CN" w:bidi="ar-SA"/>
        </w:rPr>
        <w:t>第六节 加强宣传引导</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_Toc24162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25</w:t>
      </w:r>
      <w:r>
        <w:rPr>
          <w:rFonts w:hint="eastAsia" w:ascii="仿宋_GB2312" w:hAnsi="仿宋_GB2312" w:eastAsia="仿宋_GB2312" w:cs="仿宋_GB2312"/>
        </w:rPr>
        <w:fldChar w:fldCharType="end"/>
      </w:r>
      <w:r>
        <w:rPr>
          <w:rFonts w:hint="eastAsia" w:ascii="仿宋_GB2312" w:hAnsi="仿宋_GB2312" w:eastAsia="仿宋_GB2312" w:cs="仿宋_GB2312"/>
          <w:strike w:val="0"/>
          <w:dstrike w:val="0"/>
          <w:color w:val="auto"/>
          <w:szCs w:val="28"/>
        </w:rPr>
        <w:fldChar w:fldCharType="end"/>
      </w:r>
    </w:p>
    <w:p>
      <w:pPr>
        <w:pStyle w:val="9"/>
        <w:tabs>
          <w:tab w:val="right" w:leader="dot" w:pos="9298"/>
        </w:tabs>
        <w:ind w:left="0" w:leftChars="0" w:firstLine="0" w:firstLineChars="0"/>
        <w:rPr>
          <w:rFonts w:hint="eastAsia" w:ascii="黑体" w:hAnsi="黑体" w:eastAsia="黑体" w:cs="黑体"/>
        </w:rPr>
      </w:pPr>
      <w:r>
        <w:rPr>
          <w:rFonts w:hint="eastAsia" w:ascii="黑体" w:hAnsi="黑体" w:eastAsia="黑体" w:cs="黑体"/>
          <w:strike w:val="0"/>
          <w:dstrike w:val="0"/>
          <w:color w:val="auto"/>
          <w:szCs w:val="28"/>
        </w:rPr>
        <w:fldChar w:fldCharType="begin"/>
      </w:r>
      <w:r>
        <w:rPr>
          <w:rFonts w:hint="eastAsia" w:ascii="黑体" w:hAnsi="黑体" w:eastAsia="黑体" w:cs="黑体"/>
          <w:strike w:val="0"/>
          <w:dstrike w:val="0"/>
          <w:szCs w:val="28"/>
        </w:rPr>
        <w:instrText xml:space="preserve"> HYPERLINK \l _Toc30211 </w:instrText>
      </w:r>
      <w:r>
        <w:rPr>
          <w:rFonts w:hint="eastAsia" w:ascii="黑体" w:hAnsi="黑体" w:eastAsia="黑体" w:cs="黑体"/>
          <w:strike w:val="0"/>
          <w:dstrike w:val="0"/>
          <w:szCs w:val="28"/>
        </w:rPr>
        <w:fldChar w:fldCharType="separate"/>
      </w:r>
      <w:r>
        <w:rPr>
          <w:rFonts w:hint="eastAsia" w:ascii="黑体" w:hAnsi="黑体" w:eastAsia="黑体" w:cs="黑体"/>
          <w:szCs w:val="44"/>
          <w:lang w:val="en-US" w:eastAsia="zh-CN" w:bidi="zh-CN"/>
        </w:rPr>
        <w:t>附表 韶关市武江区“十四五”时期卫生健康事业重大项目表</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_Toc30211 \h </w:instrText>
      </w:r>
      <w:r>
        <w:rPr>
          <w:rFonts w:hint="eastAsia" w:ascii="黑体" w:hAnsi="黑体" w:eastAsia="黑体" w:cs="黑体"/>
        </w:rPr>
        <w:fldChar w:fldCharType="separate"/>
      </w:r>
      <w:r>
        <w:rPr>
          <w:rFonts w:hint="eastAsia" w:ascii="黑体" w:hAnsi="黑体" w:eastAsia="黑体" w:cs="黑体"/>
        </w:rPr>
        <w:t>27</w:t>
      </w:r>
      <w:r>
        <w:rPr>
          <w:rFonts w:hint="eastAsia" w:ascii="黑体" w:hAnsi="黑体" w:eastAsia="黑体" w:cs="黑体"/>
        </w:rPr>
        <w:fldChar w:fldCharType="end"/>
      </w:r>
      <w:r>
        <w:rPr>
          <w:rFonts w:hint="eastAsia" w:ascii="黑体" w:hAnsi="黑体" w:eastAsia="黑体" w:cs="黑体"/>
          <w:strike w:val="0"/>
          <w:dstrike w:val="0"/>
          <w:color w:val="auto"/>
          <w:szCs w:val="28"/>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b/>
          <w:strike w:val="0"/>
          <w:dstrike w:val="0"/>
          <w:color w:val="auto"/>
          <w:sz w:val="24"/>
          <w:szCs w:val="21"/>
        </w:rPr>
        <w:sectPr>
          <w:pgSz w:w="11906" w:h="16838"/>
          <w:pgMar w:top="1417" w:right="1304" w:bottom="1417" w:left="1304" w:header="851" w:footer="992" w:gutter="0"/>
          <w:cols w:space="720" w:num="1"/>
          <w:docGrid w:type="lines" w:linePitch="312" w:charSpace="0"/>
        </w:sectPr>
      </w:pPr>
      <w:r>
        <w:rPr>
          <w:strike w:val="0"/>
          <w:dstrike w:val="0"/>
          <w:color w:val="auto"/>
          <w:szCs w:val="28"/>
        </w:rPr>
        <w:fldChar w:fldCharType="end"/>
      </w:r>
    </w:p>
    <w:bookmarkEnd w:id="2"/>
    <w:bookmarkEnd w:id="3"/>
    <w:bookmarkEnd w:id="4"/>
    <w:bookmarkEnd w:id="5"/>
    <w:bookmarkEnd w:id="6"/>
    <w:p>
      <w:pPr>
        <w:pStyle w:val="3"/>
        <w:bidi w:val="0"/>
        <w:rPr>
          <w:rFonts w:hint="eastAsia"/>
        </w:rPr>
      </w:pPr>
      <w:bookmarkStart w:id="7" w:name="_Toc14646"/>
      <w:bookmarkStart w:id="8" w:name="_Toc20821"/>
      <w:r>
        <w:rPr>
          <w:rFonts w:hint="eastAsia"/>
          <w:lang w:val="en-US" w:eastAsia="zh-CN"/>
        </w:rPr>
        <w:t>前 言</w:t>
      </w:r>
      <w:bookmarkEnd w:id="7"/>
      <w:bookmarkEnd w:id="8"/>
    </w:p>
    <w:p>
      <w:pPr>
        <w:pStyle w:val="17"/>
        <w:bidi w:val="0"/>
        <w:rPr>
          <w:rFonts w:hint="eastAsia"/>
          <w:lang w:eastAsia="zh-CN"/>
        </w:rPr>
      </w:pPr>
      <w:r>
        <w:rPr>
          <w:rFonts w:hint="eastAsia"/>
        </w:rPr>
        <w:t>“十四五”时期（2021－2025年），是我国“两个一百年”奋斗目标的历史交汇期，是我国由全面建成小康社会向基本实现社会主义现代化迈进的关键时期</w:t>
      </w:r>
      <w:r>
        <w:rPr>
          <w:rFonts w:hint="eastAsia"/>
          <w:lang w:eastAsia="zh-CN"/>
        </w:rPr>
        <w:t>。</w:t>
      </w:r>
      <w:r>
        <w:rPr>
          <w:rFonts w:hint="eastAsia"/>
          <w:lang w:val="en-US" w:eastAsia="zh-CN"/>
        </w:rPr>
        <w:t>健康是促进人的全面发展的必要条件，是经济社会发展的基础条件，是实现</w:t>
      </w:r>
      <w:r>
        <w:rPr>
          <w:rFonts w:hint="eastAsia"/>
        </w:rPr>
        <w:t>民族昌盛和国家富强的重要标志</w:t>
      </w:r>
      <w:r>
        <w:rPr>
          <w:rFonts w:hint="eastAsia"/>
          <w:lang w:eastAsia="zh-CN"/>
        </w:rPr>
        <w:t>。</w:t>
      </w:r>
    </w:p>
    <w:p>
      <w:pPr>
        <w:pStyle w:val="17"/>
        <w:bidi w:val="0"/>
        <w:rPr>
          <w:rFonts w:hint="default"/>
          <w:lang w:val="en-US" w:eastAsia="zh-CN"/>
        </w:rPr>
      </w:pPr>
      <w:r>
        <w:rPr>
          <w:rFonts w:hint="eastAsia"/>
          <w:lang w:val="en-US" w:eastAsia="zh-CN"/>
        </w:rPr>
        <w:t>根据中共中央 国务院印发《“健康中国2030”规划纲要》、健康广东行动推进委员会印发《健康广东行动（2019-2030年）》、省政府印发《关于加快推进深化医药卫生体制改革政策落实的通知》、《韶关市武江区国民经济和社会发展第十四个五年规划和二〇三五年远景目标纲要》等文件要求、方针政策，针对我区十三五时期卫生健康事业发展存在的问题，为促进全区卫生健康事业全面、协调、可持续发展，特制定《韶关市武江区卫生健康事业发展第十四个五年规划》。</w:t>
      </w:r>
    </w:p>
    <w:p>
      <w:pPr>
        <w:pStyle w:val="3"/>
        <w:bidi w:val="0"/>
        <w:rPr>
          <w:rFonts w:hint="eastAsia"/>
          <w:strike w:val="0"/>
          <w:dstrike w:val="0"/>
          <w:lang w:val="en-US" w:eastAsia="zh-CN"/>
        </w:rPr>
      </w:pPr>
      <w:r>
        <w:rPr>
          <w:rFonts w:hint="default"/>
          <w:strike w:val="0"/>
          <w:dstrike w:val="0"/>
          <w:lang w:val="en-US" w:eastAsia="zh-CN"/>
        </w:rPr>
        <w:br w:type="page"/>
      </w:r>
      <w:bookmarkStart w:id="9" w:name="_Toc27634"/>
      <w:bookmarkStart w:id="10" w:name="_Toc2578"/>
      <w:bookmarkStart w:id="11" w:name="_Toc2786"/>
      <w:bookmarkStart w:id="12" w:name="_Toc11314"/>
      <w:bookmarkStart w:id="13" w:name="_Toc22820"/>
      <w:bookmarkStart w:id="14" w:name="_Toc24217"/>
      <w:r>
        <w:rPr>
          <w:rFonts w:hint="eastAsia"/>
          <w:strike w:val="0"/>
          <w:dstrike w:val="0"/>
          <w:lang w:val="en-US" w:eastAsia="zh-CN"/>
        </w:rPr>
        <w:t>第一章 规划背景</w:t>
      </w:r>
      <w:bookmarkEnd w:id="9"/>
      <w:bookmarkEnd w:id="10"/>
      <w:bookmarkEnd w:id="11"/>
      <w:bookmarkEnd w:id="12"/>
      <w:bookmarkEnd w:id="13"/>
      <w:bookmarkEnd w:id="14"/>
    </w:p>
    <w:p>
      <w:pPr>
        <w:pStyle w:val="4"/>
        <w:bidi w:val="0"/>
        <w:rPr>
          <w:rFonts w:hint="eastAsia"/>
          <w:strike w:val="0"/>
          <w:dstrike w:val="0"/>
          <w:lang w:val="en-US" w:eastAsia="zh-CN"/>
        </w:rPr>
      </w:pPr>
      <w:bookmarkStart w:id="15" w:name="_Toc14050"/>
      <w:bookmarkStart w:id="16" w:name="_Toc4275"/>
      <w:bookmarkStart w:id="17" w:name="_Toc25441"/>
      <w:bookmarkStart w:id="18" w:name="_Toc29649"/>
      <w:bookmarkStart w:id="19" w:name="_Toc15326"/>
      <w:bookmarkStart w:id="20" w:name="_Toc10952"/>
      <w:r>
        <w:rPr>
          <w:rFonts w:hint="eastAsia"/>
          <w:strike w:val="0"/>
          <w:dstrike w:val="0"/>
          <w:lang w:val="en-US" w:eastAsia="zh-CN"/>
        </w:rPr>
        <w:t>第一节 发展基础与现状</w:t>
      </w:r>
      <w:bookmarkEnd w:id="15"/>
      <w:bookmarkEnd w:id="16"/>
      <w:bookmarkEnd w:id="17"/>
      <w:bookmarkEnd w:id="18"/>
      <w:bookmarkEnd w:id="19"/>
      <w:bookmarkEnd w:id="20"/>
    </w:p>
    <w:p>
      <w:pPr>
        <w:pStyle w:val="17"/>
        <w:bidi w:val="0"/>
        <w:rPr>
          <w:rFonts w:hint="eastAsia"/>
          <w:lang w:val="en-US" w:eastAsia="zh-CN"/>
        </w:rPr>
      </w:pPr>
      <w:bookmarkStart w:id="21" w:name="_Toc13377"/>
      <w:r>
        <w:rPr>
          <w:rStyle w:val="24"/>
          <w:rFonts w:hint="default"/>
          <w:b/>
          <w:bCs w:val="0"/>
          <w:lang w:val="en-US" w:eastAsia="zh-CN"/>
        </w:rPr>
        <w:t>医疗卫生服务能力显著增强</w:t>
      </w:r>
      <w:bookmarkEnd w:id="21"/>
      <w:r>
        <w:rPr>
          <w:rStyle w:val="24"/>
          <w:rFonts w:hint="default"/>
          <w:b/>
          <w:bCs w:val="0"/>
          <w:lang w:val="en-US" w:eastAsia="zh-CN"/>
        </w:rPr>
        <w:t>。</w:t>
      </w:r>
      <w:r>
        <w:rPr>
          <w:rFonts w:hint="eastAsia"/>
          <w:lang w:val="en-US" w:eastAsia="zh-CN"/>
        </w:rPr>
        <w:t>“十三五”期末，辖区内医疗卫生机构共208家，二级以上医疗机构有12家，基层医疗卫生机构有188家，专业公共卫生机构8家。全区医疗机构床位、医疗卫生机构技术人员、执业（助理）医师、全科医师、注册护士分别为5268张、6146人、1833人、87人、3391人，较“十二五”期末分别增长5.87%、25.15%、22.69%、234.62%、34.03%。“十三五”期间，龙归镇中心卫生院、新华社区卫生服务中心综合业务大楼投入使用；新建沙洲尾社区卫生服务中心、芙蓉新区社区卫生服务中心、西河镇卫生院；完成46间村卫生站规范化建设，实现村卫生站标准化建设全覆盖。</w:t>
      </w:r>
      <w:r>
        <w:rPr>
          <w:rFonts w:hint="default"/>
          <w:lang w:val="en-US" w:eastAsia="zh-CN"/>
        </w:rPr>
        <w:t>为乡镇卫生院</w:t>
      </w:r>
      <w:r>
        <w:rPr>
          <w:rFonts w:hint="eastAsia"/>
          <w:lang w:val="en-US" w:eastAsia="zh-CN"/>
        </w:rPr>
        <w:t>、社区卫生服务中心</w:t>
      </w:r>
      <w:r>
        <w:rPr>
          <w:rFonts w:hint="default"/>
          <w:lang w:val="en-US" w:eastAsia="zh-CN"/>
        </w:rPr>
        <w:t>配置DR、B超、</w:t>
      </w:r>
      <w:r>
        <w:rPr>
          <w:rFonts w:hint="eastAsia"/>
          <w:lang w:val="en-US" w:eastAsia="zh-CN"/>
        </w:rPr>
        <w:t>全自动</w:t>
      </w:r>
      <w:r>
        <w:rPr>
          <w:rFonts w:hint="default"/>
          <w:lang w:val="en-US" w:eastAsia="zh-CN"/>
        </w:rPr>
        <w:t>生化分析仪等设备</w:t>
      </w:r>
      <w:r>
        <w:rPr>
          <w:rFonts w:hint="eastAsia"/>
          <w:lang w:val="en-US" w:eastAsia="zh-CN"/>
        </w:rPr>
        <w:t>。基本实现城乡优质医疗卫生资源配置均衡化，初步建立“15分钟城市社区健康服务圈”和“30分钟乡村健康服务圈”，城乡医疗体系进一步完善，基层服务能力显著提升，逐步形成“首诊在基层、小病在基层、康复回基层”的医疗服务格局。</w:t>
      </w:r>
      <w:bookmarkStart w:id="22" w:name="_Toc26140"/>
    </w:p>
    <w:p>
      <w:pPr>
        <w:pStyle w:val="17"/>
        <w:bidi w:val="0"/>
        <w:rPr>
          <w:rFonts w:hint="default"/>
          <w:lang w:val="en-US" w:eastAsia="zh-CN"/>
        </w:rPr>
      </w:pPr>
      <w:r>
        <w:rPr>
          <w:rStyle w:val="24"/>
          <w:rFonts w:hint="eastAsia"/>
          <w:b/>
          <w:bCs w:val="0"/>
          <w:lang w:val="en-US" w:eastAsia="zh-CN"/>
        </w:rPr>
        <w:t>医药卫生体制改革稳步推进</w:t>
      </w:r>
      <w:bookmarkEnd w:id="22"/>
      <w:r>
        <w:rPr>
          <w:rStyle w:val="24"/>
          <w:rFonts w:hint="eastAsia"/>
          <w:b/>
          <w:bCs w:val="0"/>
          <w:lang w:val="en-US" w:eastAsia="zh-CN"/>
        </w:rPr>
        <w:t>。</w:t>
      </w:r>
      <w:r>
        <w:rPr>
          <w:rFonts w:hint="eastAsia"/>
          <w:lang w:val="en-US" w:eastAsia="zh-CN"/>
        </w:rPr>
        <w:t>制定出台了《武江区基层医疗机构薪酬制度改革实施方案》《韶关市武江区基层医疗卫生机构绩效工资管理实施细则（试行）》，实行“公益一类事业单位财政供给、二类事业单位管理”，落实了医疗收入的60%返拨作为绩效分配。全</w:t>
      </w:r>
      <w:r>
        <w:rPr>
          <w:rFonts w:hint="default"/>
          <w:lang w:val="en-US" w:eastAsia="zh-CN"/>
        </w:rPr>
        <w:t>区各基层医疗卫生机构全面取消医用耗材加成，医疗服务价格调整工作逐步实施。与粤北人民医院签订了医疗联合体合作协议，辖区</w:t>
      </w:r>
      <w:r>
        <w:rPr>
          <w:rFonts w:hint="eastAsia"/>
          <w:lang w:val="en-US" w:eastAsia="zh-CN"/>
        </w:rPr>
        <w:t>8家</w:t>
      </w:r>
      <w:r>
        <w:rPr>
          <w:rFonts w:hint="default"/>
          <w:lang w:val="en-US" w:eastAsia="zh-CN"/>
        </w:rPr>
        <w:t>基层医疗机构成为医联体成员。通过整合市、区医疗卫生服务资源、实行独立经营、规范服务、分级诊疗、分工合作机制，整体提高医疗资源的配置和使用率，促进市、区两级联动发展，提高区域医疗服务能力。</w:t>
      </w:r>
      <w:r>
        <w:rPr>
          <w:rFonts w:hint="eastAsia"/>
          <w:lang w:val="en-US" w:eastAsia="zh-CN"/>
        </w:rPr>
        <w:t>有效</w:t>
      </w:r>
      <w:r>
        <w:rPr>
          <w:rFonts w:hint="default"/>
          <w:lang w:val="en-US" w:eastAsia="zh-CN"/>
        </w:rPr>
        <w:t>推进药品供应保障制度建设，各基层医疗机构优先使用基本药物</w:t>
      </w:r>
      <w:r>
        <w:rPr>
          <w:rFonts w:hint="eastAsia"/>
          <w:lang w:val="en-US" w:eastAsia="zh-CN"/>
        </w:rPr>
        <w:t>，</w:t>
      </w:r>
      <w:r>
        <w:rPr>
          <w:rFonts w:hint="default"/>
          <w:lang w:val="en-US" w:eastAsia="zh-CN"/>
        </w:rPr>
        <w:t>药品统一在阳光采购平台进行公开采购。</w:t>
      </w:r>
      <w:r>
        <w:rPr>
          <w:rFonts w:hint="eastAsia"/>
          <w:lang w:val="en-US" w:eastAsia="zh-CN"/>
        </w:rPr>
        <w:t>全</w:t>
      </w:r>
      <w:r>
        <w:rPr>
          <w:rFonts w:hint="default"/>
          <w:lang w:val="en-US" w:eastAsia="zh-CN"/>
        </w:rPr>
        <w:t>区已完成公建规范化建设的村卫生站全部纳入医保定点机构，并组织全体乡村医生</w:t>
      </w:r>
      <w:r>
        <w:rPr>
          <w:rFonts w:hint="eastAsia"/>
          <w:lang w:val="en-US" w:eastAsia="zh-CN"/>
        </w:rPr>
        <w:t>进行</w:t>
      </w:r>
      <w:r>
        <w:rPr>
          <w:rFonts w:hint="default"/>
          <w:lang w:val="en-US" w:eastAsia="zh-CN"/>
        </w:rPr>
        <w:t>医保即时结算系统操作培训。截至20</w:t>
      </w:r>
      <w:r>
        <w:rPr>
          <w:rFonts w:hint="eastAsia"/>
          <w:lang w:val="en-US" w:eastAsia="zh-CN"/>
        </w:rPr>
        <w:t>20</w:t>
      </w:r>
      <w:r>
        <w:rPr>
          <w:rFonts w:hint="default"/>
          <w:lang w:val="en-US" w:eastAsia="zh-CN"/>
        </w:rPr>
        <w:t>年底，</w:t>
      </w:r>
      <w:r>
        <w:rPr>
          <w:rFonts w:hint="eastAsia"/>
          <w:lang w:val="en-US" w:eastAsia="zh-CN"/>
        </w:rPr>
        <w:t>全区</w:t>
      </w:r>
      <w:r>
        <w:rPr>
          <w:rFonts w:hint="default"/>
          <w:lang w:val="en-US" w:eastAsia="zh-CN"/>
        </w:rPr>
        <w:t>共有3</w:t>
      </w:r>
      <w:r>
        <w:rPr>
          <w:rFonts w:hint="eastAsia"/>
          <w:lang w:val="en-US" w:eastAsia="zh-CN"/>
        </w:rPr>
        <w:t>5</w:t>
      </w:r>
      <w:r>
        <w:rPr>
          <w:rFonts w:hint="default"/>
          <w:lang w:val="en-US" w:eastAsia="zh-CN"/>
        </w:rPr>
        <w:t>间村卫生站已开通医保即时结算服务。</w:t>
      </w:r>
    </w:p>
    <w:p>
      <w:pPr>
        <w:pStyle w:val="17"/>
        <w:bidi w:val="0"/>
        <w:rPr>
          <w:rFonts w:hint="eastAsia"/>
          <w:lang w:val="en-US" w:eastAsia="zh-CN"/>
        </w:rPr>
      </w:pPr>
      <w:bookmarkStart w:id="23" w:name="_Toc18794"/>
      <w:r>
        <w:rPr>
          <w:rStyle w:val="24"/>
          <w:rFonts w:hint="default"/>
          <w:b/>
          <w:bCs w:val="0"/>
          <w:lang w:val="en-US" w:eastAsia="zh-CN"/>
        </w:rPr>
        <w:t>公共卫生服务能力</w:t>
      </w:r>
      <w:r>
        <w:rPr>
          <w:rStyle w:val="24"/>
          <w:rFonts w:hint="eastAsia"/>
          <w:b/>
          <w:bCs w:val="0"/>
          <w:lang w:val="en-US" w:eastAsia="zh-CN"/>
        </w:rPr>
        <w:t>明显增强</w:t>
      </w:r>
      <w:bookmarkEnd w:id="23"/>
      <w:r>
        <w:rPr>
          <w:rStyle w:val="24"/>
          <w:rFonts w:hint="eastAsia"/>
          <w:b/>
          <w:bCs w:val="0"/>
          <w:lang w:val="en-US" w:eastAsia="zh-CN"/>
        </w:rPr>
        <w:t>。</w:t>
      </w:r>
      <w:bookmarkStart w:id="24" w:name="_Toc18894"/>
      <w:r>
        <w:rPr>
          <w:rFonts w:hint="eastAsia"/>
          <w:lang w:val="en-US" w:eastAsia="zh-CN"/>
        </w:rPr>
        <w:t>“十三五”期间，武江区基本公共卫生服务人均经费补助标准从40元提高到74元，新增19项服务内容。“十三五”期末，常住居民家庭医生签订服务数136237人，覆盖率42.77％；重点人群家庭医生签约服务数48770人，</w:t>
      </w:r>
      <w:r>
        <w:rPr>
          <w:rFonts w:hint="default"/>
          <w:lang w:val="en-US" w:eastAsia="zh-CN"/>
        </w:rPr>
        <w:t>覆盖率</w:t>
      </w:r>
      <w:r>
        <w:rPr>
          <w:rFonts w:hint="eastAsia"/>
          <w:lang w:val="en-US" w:eastAsia="zh-CN"/>
        </w:rPr>
        <w:t>64.70%，均达到了国家规定的指标要求。进一步完善慢性病防治体系，建立慢性非传染性疾病信息共享机制，在管患者高血压控制率85%。严重精神障碍防治网络进一步完善，严重精神障碍患者规范管理率93.24％；肺结核防治工作扎实开展，结核病患者管理率达100%。推进健康素养促进工作开展，成功创建一批全民健康生活方式行动健康支持性环境示范点，居民健康素养水平稳步提高，居民满意度达97.47%。深入开展爱国卫生运动，2019年成功通过国家卫生城市复检。居民健康素养水平稳步提高，2020年全区居民健康素养平均水平为24.39%。</w:t>
      </w:r>
    </w:p>
    <w:p>
      <w:pPr>
        <w:pStyle w:val="17"/>
        <w:bidi w:val="0"/>
        <w:rPr>
          <w:rFonts w:hint="default"/>
          <w:lang w:val="en-US" w:eastAsia="zh-CN"/>
        </w:rPr>
      </w:pPr>
      <w:r>
        <w:rPr>
          <w:rStyle w:val="24"/>
          <w:rFonts w:hint="default"/>
          <w:b/>
          <w:bCs w:val="0"/>
          <w:lang w:val="en-US" w:eastAsia="zh-CN"/>
        </w:rPr>
        <w:t>计生优质服务能力</w:t>
      </w:r>
      <w:r>
        <w:rPr>
          <w:rStyle w:val="24"/>
          <w:rFonts w:hint="eastAsia"/>
          <w:b/>
          <w:bCs w:val="0"/>
          <w:lang w:val="en-US" w:eastAsia="zh-CN"/>
        </w:rPr>
        <w:t>进一步加强</w:t>
      </w:r>
      <w:bookmarkEnd w:id="24"/>
      <w:bookmarkStart w:id="25" w:name="_Toc19175"/>
      <w:r>
        <w:rPr>
          <w:rStyle w:val="24"/>
          <w:rFonts w:hint="eastAsia"/>
          <w:b/>
          <w:bCs w:val="0"/>
          <w:lang w:val="en-US" w:eastAsia="zh-CN"/>
        </w:rPr>
        <w:t>。</w:t>
      </w:r>
      <w:r>
        <w:rPr>
          <w:rFonts w:hint="eastAsia"/>
          <w:color w:val="auto"/>
          <w:lang w:val="en-US" w:eastAsia="zh-CN"/>
        </w:rPr>
        <w:t>根据第七次全国人口普查结果，我区常住人口为373686人，与2010年第六次全国人口普查的294620人相比，十年共增加79066人，增长26.84%。</w:t>
      </w:r>
      <w:r>
        <w:rPr>
          <w:rFonts w:hint="default"/>
          <w:color w:val="auto"/>
          <w:lang w:val="en-US" w:eastAsia="zh-CN"/>
        </w:rPr>
        <w:t>不断推进优生优育全程服务，落实孕前优生健康检查和孕产期保健服务，强化出生缺陷综合防治措施，提高出生人口素质，十三五期间，启动农村妇女“两癌”筛查6千多例，地中海贫血筛查1万多例，明显结构畸形筛查13249例，新生儿疾病筛查33216例。坚持落实计划生育利益导向制度</w:t>
      </w:r>
      <w:r>
        <w:rPr>
          <w:rFonts w:hint="eastAsia"/>
          <w:color w:val="auto"/>
          <w:lang w:val="en-US" w:eastAsia="zh-CN"/>
        </w:rPr>
        <w:t>，</w:t>
      </w:r>
      <w:r>
        <w:rPr>
          <w:rFonts w:hint="default"/>
          <w:color w:val="auto"/>
          <w:lang w:val="en-US" w:eastAsia="zh-CN"/>
        </w:rPr>
        <w:t>“十三五”期间，全区累计奖励扶助计划</w:t>
      </w:r>
      <w:r>
        <w:rPr>
          <w:rFonts w:hint="default"/>
          <w:lang w:val="en-US" w:eastAsia="zh-CN"/>
        </w:rPr>
        <w:t>生育对象</w:t>
      </w:r>
      <w:r>
        <w:rPr>
          <w:rFonts w:hint="eastAsia"/>
          <w:lang w:val="en-US" w:eastAsia="zh-CN"/>
        </w:rPr>
        <w:t>65.79</w:t>
      </w:r>
      <w:r>
        <w:rPr>
          <w:rFonts w:hint="default"/>
          <w:lang w:val="en-US" w:eastAsia="zh-CN"/>
        </w:rPr>
        <w:t>万人次，投入奖励扶助金</w:t>
      </w:r>
      <w:r>
        <w:rPr>
          <w:rFonts w:hint="eastAsia"/>
          <w:lang w:val="en-US" w:eastAsia="zh-CN"/>
        </w:rPr>
        <w:t>6350</w:t>
      </w:r>
      <w:r>
        <w:rPr>
          <w:rFonts w:hint="default"/>
          <w:lang w:val="en-US" w:eastAsia="zh-CN"/>
        </w:rPr>
        <w:t>万元。</w:t>
      </w:r>
      <w:r>
        <w:rPr>
          <w:rFonts w:hint="default"/>
          <w:color w:val="auto"/>
          <w:lang w:val="en-US" w:eastAsia="zh-CN"/>
        </w:rPr>
        <w:t>2016至2018年连续三年我区的计划生育目标管理责任制考核成绩优异，被省</w:t>
      </w:r>
      <w:r>
        <w:rPr>
          <w:rFonts w:hint="eastAsia"/>
          <w:color w:val="auto"/>
          <w:lang w:val="en-US" w:eastAsia="zh-CN"/>
        </w:rPr>
        <w:t>、市</w:t>
      </w:r>
      <w:r>
        <w:rPr>
          <w:rFonts w:hint="default"/>
          <w:color w:val="auto"/>
          <w:lang w:val="en-US" w:eastAsia="zh-CN"/>
        </w:rPr>
        <w:t>通报表彰。</w:t>
      </w:r>
      <w:r>
        <w:rPr>
          <w:rFonts w:hint="eastAsia"/>
          <w:color w:val="auto"/>
          <w:lang w:val="en-US" w:eastAsia="zh-CN"/>
        </w:rPr>
        <w:t>2018-2020年被评为全国计划生育优质服务先进单位</w:t>
      </w:r>
      <w:r>
        <w:rPr>
          <w:rFonts w:hint="default"/>
          <w:lang w:val="en-US" w:eastAsia="zh-CN"/>
        </w:rPr>
        <w:t>。</w:t>
      </w:r>
    </w:p>
    <w:p>
      <w:pPr>
        <w:pStyle w:val="17"/>
        <w:bidi w:val="0"/>
        <w:rPr>
          <w:rFonts w:hint="eastAsia"/>
          <w:lang w:val="en-US" w:eastAsia="zh-CN"/>
        </w:rPr>
      </w:pPr>
      <w:r>
        <w:rPr>
          <w:rStyle w:val="24"/>
          <w:rFonts w:hint="eastAsia"/>
          <w:b/>
          <w:bCs w:val="0"/>
          <w:lang w:val="en-US" w:eastAsia="zh-CN"/>
        </w:rPr>
        <w:t>重大疾病防控工作成效显著</w:t>
      </w:r>
      <w:bookmarkEnd w:id="25"/>
      <w:r>
        <w:rPr>
          <w:rStyle w:val="24"/>
          <w:rFonts w:hint="eastAsia"/>
          <w:b/>
          <w:bCs w:val="0"/>
          <w:lang w:val="en-US" w:eastAsia="zh-CN"/>
        </w:rPr>
        <w:t>。</w:t>
      </w:r>
      <w:bookmarkStart w:id="26" w:name="_Toc32062"/>
      <w:r>
        <w:rPr>
          <w:rFonts w:hint="eastAsia"/>
          <w:lang w:val="en-US" w:eastAsia="zh-CN"/>
        </w:rPr>
        <w:t>全区范围各类传染病发生形势总体控制良好，依托市疾控中心及时有效的处置新冠肺炎、手足口病、季节性流感等传染病疫情。区属各基层医疗机构传染病疫情网络直报率100%。国家免疫规划疫苗接种率达到90%以上，传染病控制在低发病水平，继续维持无脊灰状态，无白喉、流脑等病例报告。消除疟疾、碘缺乏病、地氟病等工作防治成果得到巩固。加强农村饮用水监测，依托市疾控中心定期开展监测工作，十三五期间，农饮水水质监测合格率逐步提升，2020年监测合格率为90.48%。</w:t>
      </w:r>
    </w:p>
    <w:p>
      <w:pPr>
        <w:pStyle w:val="17"/>
        <w:bidi w:val="0"/>
        <w:rPr>
          <w:rFonts w:hint="eastAsia"/>
          <w:lang w:val="en-US" w:eastAsia="zh-CN"/>
        </w:rPr>
      </w:pPr>
      <w:r>
        <w:rPr>
          <w:rStyle w:val="24"/>
          <w:rFonts w:hint="eastAsia"/>
          <w:b/>
          <w:bCs w:val="0"/>
          <w:lang w:val="en-US" w:eastAsia="zh-CN"/>
        </w:rPr>
        <w:t>医疗卫生队伍综合素质明显提升</w:t>
      </w:r>
      <w:bookmarkEnd w:id="26"/>
      <w:r>
        <w:rPr>
          <w:rStyle w:val="24"/>
          <w:rFonts w:hint="eastAsia"/>
          <w:b/>
          <w:bCs w:val="0"/>
          <w:lang w:val="en-US" w:eastAsia="zh-CN"/>
        </w:rPr>
        <w:t>。</w:t>
      </w:r>
      <w:bookmarkStart w:id="27" w:name="_Toc15622"/>
      <w:bookmarkStart w:id="28" w:name="_Toc20481"/>
      <w:bookmarkStart w:id="29" w:name="_Toc7298"/>
      <w:bookmarkStart w:id="30" w:name="_Toc28350"/>
      <w:r>
        <w:rPr>
          <w:rFonts w:hint="eastAsia"/>
          <w:lang w:val="en-US" w:eastAsia="zh-CN"/>
        </w:rPr>
        <w:t>十三五期间，我区共新增99名编制内基层医疗卫生机构专业人才。订单定向培养农村医学生19人，选派24名学员参加韶关学院医学院农村医学班就读，毕业后将补充至村卫生站。全面开展专业知识培训和技术服务人员继续教育，选派医务人员参加脱产省、市举行的脱产培训和进修60人次，发放人才补贴及职称奖励共64.08万元。目前全区本科以上卫生技术人员占比43.92%，达到占比40%以上的目标。全区乡镇卫生院专科以上学历比例为47.53%，达到了45%以上的目标。</w:t>
      </w:r>
    </w:p>
    <w:p>
      <w:pPr>
        <w:rPr>
          <w:rFonts w:hint="eastAsia"/>
          <w:lang w:val="en-US" w:eastAsia="zh-CN"/>
        </w:rPr>
      </w:pPr>
      <w:r>
        <w:rPr>
          <w:rFonts w:hint="eastAsia"/>
          <w:lang w:val="en-US" w:eastAsia="zh-CN"/>
        </w:rPr>
        <w:br w:type="page"/>
      </w:r>
    </w:p>
    <w:p>
      <w:pPr>
        <w:pStyle w:val="17"/>
        <w:bidi w:val="0"/>
        <w:rPr>
          <w:rFonts w:hint="eastAsia"/>
          <w:lang w:val="en-US" w:eastAsia="zh-CN"/>
        </w:rPr>
      </w:pPr>
    </w:p>
    <w:p>
      <w:pPr>
        <w:pStyle w:val="4"/>
        <w:bidi w:val="0"/>
        <w:rPr>
          <w:rFonts w:hint="default"/>
          <w:strike w:val="0"/>
          <w:dstrike w:val="0"/>
          <w:lang w:val="en-US" w:eastAsia="zh-CN"/>
        </w:rPr>
      </w:pPr>
      <w:bookmarkStart w:id="31" w:name="_Toc10144"/>
      <w:bookmarkStart w:id="32" w:name="_Toc26795"/>
      <w:r>
        <w:rPr>
          <w:rFonts w:hint="eastAsia"/>
          <w:strike w:val="0"/>
          <w:dstrike w:val="0"/>
          <w:lang w:val="en-US" w:eastAsia="zh-CN"/>
        </w:rPr>
        <w:t>第二节 形势与挑战</w:t>
      </w:r>
      <w:bookmarkEnd w:id="27"/>
      <w:bookmarkEnd w:id="28"/>
      <w:bookmarkEnd w:id="29"/>
      <w:bookmarkEnd w:id="30"/>
      <w:bookmarkEnd w:id="31"/>
      <w:bookmarkEnd w:id="32"/>
    </w:p>
    <w:p>
      <w:pPr>
        <w:pStyle w:val="18"/>
        <w:bidi w:val="0"/>
        <w:rPr>
          <w:rFonts w:hint="eastAsia"/>
          <w:b/>
          <w:bCs w:val="0"/>
          <w:lang w:val="en-US" w:eastAsia="zh-CN"/>
        </w:rPr>
      </w:pPr>
      <w:r>
        <w:rPr>
          <w:rFonts w:hint="eastAsia"/>
          <w:b/>
          <w:bCs w:val="0"/>
          <w:lang w:val="en-US" w:eastAsia="zh-CN"/>
        </w:rPr>
        <w:t>——发展形势。</w:t>
      </w:r>
    </w:p>
    <w:p>
      <w:pPr>
        <w:pStyle w:val="17"/>
        <w:bidi w:val="0"/>
        <w:rPr>
          <w:rFonts w:hint="eastAsia"/>
          <w:lang w:val="en-US" w:eastAsia="zh-CN"/>
        </w:rPr>
      </w:pPr>
      <w:r>
        <w:rPr>
          <w:rFonts w:hint="eastAsia"/>
          <w:lang w:val="en-US" w:eastAsia="zh-CN"/>
        </w:rPr>
        <w:t>（一）党中央把保障人民健康放在优先发展的战略位置，作出了将健康融入所有政策，全面推进健康中国建设、实施三孩生育政策、积极应对人口老龄化、落实疫情防控常态化等重大战略部署，将卫生健康工作提升为国家发展战略。</w:t>
      </w:r>
    </w:p>
    <w:p>
      <w:pPr>
        <w:pStyle w:val="17"/>
        <w:bidi w:val="0"/>
        <w:rPr>
          <w:rFonts w:hint="eastAsia"/>
          <w:lang w:val="en-US" w:eastAsia="zh-CN"/>
        </w:rPr>
      </w:pPr>
      <w:r>
        <w:rPr>
          <w:rFonts w:hint="eastAsia"/>
          <w:lang w:val="en-US" w:eastAsia="zh-CN"/>
        </w:rPr>
        <w:t>（二）省委、省政府高度重视卫生健康工作，相继出台了《广东省公共卫生防控救治能力建设三年行动计划（2020—2022年）》《进一步推动高水平医院建设发展的实施方案》《广东省中医药条例》，并转发了国家多部委印发的《“十四五”优质高效医疗卫生服务体系建设方案》，高位推进医疗卫生事业发展。</w:t>
      </w:r>
    </w:p>
    <w:p>
      <w:pPr>
        <w:pStyle w:val="17"/>
        <w:bidi w:val="0"/>
        <w:rPr>
          <w:rFonts w:hint="eastAsia"/>
          <w:lang w:val="en-US" w:eastAsia="zh-CN"/>
        </w:rPr>
      </w:pPr>
      <w:r>
        <w:rPr>
          <w:rFonts w:hint="eastAsia"/>
          <w:lang w:val="en-US" w:eastAsia="zh-CN"/>
        </w:rPr>
        <w:t>（三）我区卫生健康事业进入新发展阶段，新冠肺炎疫情既锤炼了全区卫生健康队伍，又大幅提升了群众的自我健康管理意识，更凝聚了全社会对推动卫生健康工作的热情。</w:t>
      </w:r>
    </w:p>
    <w:p>
      <w:pPr>
        <w:pStyle w:val="17"/>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——问题挑战</w:t>
      </w:r>
    </w:p>
    <w:p>
      <w:pPr>
        <w:pStyle w:val="17"/>
        <w:bidi w:val="0"/>
        <w:rPr>
          <w:rFonts w:hint="eastAsia"/>
          <w:lang w:val="en-US" w:eastAsia="zh-CN"/>
        </w:rPr>
      </w:pPr>
      <w:r>
        <w:rPr>
          <w:rFonts w:hint="eastAsia"/>
          <w:lang w:val="en-US" w:eastAsia="zh-CN"/>
        </w:rPr>
        <w:t>（一）“一老一少”问题亟待关注。人口老龄化加速推进， 新出生人口呈下降趋势，生育、养育、教育成本较高，促进人口长期均衡发展仍面临较大压力。</w:t>
      </w:r>
    </w:p>
    <w:p>
      <w:pPr>
        <w:pStyle w:val="17"/>
        <w:bidi w:val="0"/>
        <w:rPr>
          <w:rFonts w:hint="eastAsia"/>
          <w:lang w:val="en-US" w:eastAsia="zh-CN"/>
        </w:rPr>
      </w:pPr>
      <w:r>
        <w:rPr>
          <w:rFonts w:hint="eastAsia"/>
          <w:lang w:val="en-US" w:eastAsia="zh-CN"/>
        </w:rPr>
        <w:t>（二）公共卫生风险不断加大。随着经济社会转型发展，人员交流更加频繁，传染病疫情输入风险加大，新发传染病不断出现，慢性非传染性疾病防控形势不容乐观。工业化、城镇化、人口老龄化发展和生活行为方式变化以及社会因素导致的食品药品安全、饮水安全、职业安全和环境污染等健康相关问题日益突出。</w:t>
      </w:r>
    </w:p>
    <w:p>
      <w:pPr>
        <w:pStyle w:val="17"/>
        <w:bidi w:val="0"/>
        <w:rPr>
          <w:rFonts w:hint="eastAsia"/>
          <w:lang w:val="en-US" w:eastAsia="zh-CN"/>
        </w:rPr>
      </w:pPr>
      <w:r>
        <w:rPr>
          <w:rFonts w:hint="eastAsia"/>
          <w:lang w:val="en-US" w:eastAsia="zh-CN"/>
        </w:rPr>
        <w:t>（三）我区医疗卫生服务能力水平存在诸多短板，主要体现在：基本公共卫生服务和医疗能力不足，基层对医疗人才吸引力不高，造成卫生专业人才和管理人才缺乏；卫生专业机构不完善，公共卫生应急体系不健全；在编在职人员低于标准的编制数，全面提高人民卫生健康水平面临着新的挑战。</w:t>
      </w:r>
    </w:p>
    <w:p>
      <w:pPr>
        <w:pStyle w:val="3"/>
        <w:bidi w:val="0"/>
        <w:rPr>
          <w:rFonts w:hint="eastAsia"/>
          <w:strike w:val="0"/>
          <w:dstrike w:val="0"/>
          <w:lang w:val="en-US" w:eastAsia="zh-CN"/>
        </w:rPr>
      </w:pPr>
      <w:r>
        <w:rPr>
          <w:rFonts w:hint="eastAsia"/>
          <w:strike w:val="0"/>
          <w:dstrike w:val="0"/>
          <w:lang w:val="en-US" w:eastAsia="zh-CN"/>
        </w:rPr>
        <w:br w:type="page"/>
      </w:r>
      <w:bookmarkStart w:id="33" w:name="_Toc24237"/>
      <w:bookmarkStart w:id="34" w:name="_Toc14932"/>
      <w:bookmarkStart w:id="35" w:name="_Toc28771"/>
      <w:bookmarkStart w:id="36" w:name="_Toc20995"/>
      <w:bookmarkStart w:id="37" w:name="_Toc5365"/>
      <w:bookmarkStart w:id="38" w:name="_Toc24923"/>
      <w:r>
        <w:rPr>
          <w:rFonts w:hint="eastAsia"/>
          <w:strike w:val="0"/>
          <w:dstrike w:val="0"/>
          <w:lang w:val="en-US" w:eastAsia="zh-CN"/>
        </w:rPr>
        <w:t>第二章 总体要求</w:t>
      </w:r>
      <w:bookmarkEnd w:id="33"/>
      <w:bookmarkEnd w:id="34"/>
      <w:bookmarkEnd w:id="35"/>
      <w:bookmarkEnd w:id="36"/>
      <w:bookmarkEnd w:id="37"/>
      <w:bookmarkEnd w:id="38"/>
    </w:p>
    <w:p>
      <w:pPr>
        <w:pStyle w:val="4"/>
        <w:bidi w:val="0"/>
        <w:rPr>
          <w:rFonts w:hint="eastAsia"/>
          <w:strike w:val="0"/>
          <w:dstrike w:val="0"/>
          <w:lang w:val="en-US" w:eastAsia="zh-CN"/>
        </w:rPr>
      </w:pPr>
      <w:bookmarkStart w:id="39" w:name="_Toc31705"/>
      <w:bookmarkStart w:id="40" w:name="_Toc20777"/>
      <w:bookmarkStart w:id="41" w:name="_Toc30497"/>
      <w:bookmarkStart w:id="42" w:name="_Toc13244"/>
      <w:bookmarkStart w:id="43" w:name="_Toc3160"/>
      <w:bookmarkStart w:id="44" w:name="_Toc13798"/>
      <w:r>
        <w:rPr>
          <w:rFonts w:hint="eastAsia"/>
          <w:strike w:val="0"/>
          <w:dstrike w:val="0"/>
          <w:lang w:val="en-US" w:eastAsia="zh-CN"/>
        </w:rPr>
        <w:t>第一节 指导思想</w:t>
      </w:r>
      <w:bookmarkEnd w:id="39"/>
      <w:bookmarkEnd w:id="40"/>
      <w:bookmarkEnd w:id="41"/>
      <w:bookmarkEnd w:id="42"/>
      <w:bookmarkEnd w:id="43"/>
      <w:bookmarkEnd w:id="44"/>
    </w:p>
    <w:p>
      <w:pPr>
        <w:pStyle w:val="17"/>
        <w:bidi w:val="0"/>
        <w:rPr>
          <w:lang w:val="zh-CN" w:eastAsia="zh-CN"/>
        </w:rPr>
      </w:pPr>
      <w:bookmarkStart w:id="45" w:name="_Toc15824"/>
      <w:bookmarkStart w:id="46" w:name="_Toc25309"/>
      <w:bookmarkStart w:id="47" w:name="_Toc9495"/>
      <w:bookmarkStart w:id="48" w:name="_Toc20648"/>
      <w:r>
        <w:rPr>
          <w:lang w:val="zh-CN" w:eastAsia="zh-CN"/>
        </w:rPr>
        <w:t>坚持以习近平新时代中国特色社会主义思想为指导，全面贯彻党的</w:t>
      </w:r>
      <w:r>
        <w:rPr>
          <w:rFonts w:hint="eastAsia"/>
          <w:lang w:val="en-US" w:eastAsia="zh-CN"/>
        </w:rPr>
        <w:t>二十</w:t>
      </w:r>
      <w:r>
        <w:rPr>
          <w:lang w:val="zh-CN" w:eastAsia="zh-CN"/>
        </w:rPr>
        <w:t>大精神，深入贯彻落实习近平总书记对广东工作的重要讲话和重要指示批示精神，把保障人民健康放在优先发展的战略位置。坚持新时代卫生与健康工作方针，推动以治病为中心向以人民健康为中心转变，全方位、全周期保障人民健康，为奋力争当北部生态发展区高质量发展排头兵提供坚实的健康保障。</w:t>
      </w:r>
    </w:p>
    <w:p>
      <w:pPr>
        <w:pStyle w:val="4"/>
        <w:bidi w:val="0"/>
        <w:rPr>
          <w:rFonts w:hint="eastAsia"/>
          <w:strike w:val="0"/>
          <w:dstrike w:val="0"/>
          <w:lang w:val="en-US" w:eastAsia="zh-CN"/>
        </w:rPr>
      </w:pPr>
      <w:bookmarkStart w:id="49" w:name="_Toc22846"/>
      <w:bookmarkStart w:id="50" w:name="_Toc17819"/>
      <w:r>
        <w:rPr>
          <w:rFonts w:hint="eastAsia"/>
          <w:strike w:val="0"/>
          <w:dstrike w:val="0"/>
          <w:lang w:val="en-US" w:eastAsia="zh-CN"/>
        </w:rPr>
        <w:t>第二节 基本原则</w:t>
      </w:r>
      <w:bookmarkEnd w:id="45"/>
      <w:bookmarkEnd w:id="46"/>
      <w:bookmarkEnd w:id="47"/>
      <w:bookmarkEnd w:id="48"/>
      <w:bookmarkEnd w:id="49"/>
      <w:bookmarkEnd w:id="50"/>
    </w:p>
    <w:p>
      <w:pPr>
        <w:pStyle w:val="17"/>
        <w:bidi w:val="0"/>
        <w:rPr>
          <w:lang w:val="zh-CN" w:eastAsia="zh-CN"/>
        </w:rPr>
      </w:pPr>
      <w:bookmarkStart w:id="51" w:name="_Toc7772"/>
      <w:bookmarkStart w:id="52" w:name="_Toc30959"/>
      <w:bookmarkStart w:id="53" w:name="_Toc20166"/>
      <w:bookmarkStart w:id="54" w:name="_Toc18974"/>
      <w:r>
        <w:rPr>
          <w:rStyle w:val="24"/>
          <w:rFonts w:hint="eastAsia"/>
          <w:b/>
          <w:bCs w:val="0"/>
          <w:lang w:val="zh-CN" w:eastAsia="zh-CN"/>
        </w:rPr>
        <w:t>（一）以人为本，健康优先。</w:t>
      </w:r>
      <w:r>
        <w:rPr>
          <w:lang w:val="zh-CN" w:eastAsia="zh-CN"/>
        </w:rPr>
        <w:t>坚持公益性导向，把人民生命安全和推进积极生育导向放在第一位，以维护促进人民群众健康、保障经济社会和谐发展为宗旨，建立人人享有基本公共卫生和基本医疗服务的实现路径，推动以治病为中心向以健康为中心转变，形成有利于健康的生活方式，促进卫生健康事业全面、协调、可持续发展。</w:t>
      </w:r>
    </w:p>
    <w:p>
      <w:pPr>
        <w:pStyle w:val="17"/>
        <w:bidi w:val="0"/>
        <w:rPr>
          <w:lang w:val="zh-CN" w:eastAsia="zh-CN"/>
        </w:rPr>
      </w:pPr>
      <w:r>
        <w:rPr>
          <w:rStyle w:val="24"/>
          <w:rFonts w:hint="eastAsia"/>
          <w:b/>
          <w:bCs w:val="0"/>
          <w:lang w:val="zh-CN" w:eastAsia="zh-CN"/>
        </w:rPr>
        <w:t>（二）党政领导，融合推进。</w:t>
      </w:r>
      <w:r>
        <w:rPr>
          <w:lang w:val="zh-CN" w:eastAsia="zh-CN"/>
        </w:rPr>
        <w:t>坚持党领导一切，把党的领导贯穿到卫生健康事业发展的全领域、全过程，充分发挥党委领导下政府的主导作用。将健康融入所有政策，明晰政府“保公平”职能，正确处理政府和市场关系。强化“每个人是自己健康第一责任人”理念，引导社会各界共同参与维护群众健康，形成“大卫生、大健康”的建设格局。</w:t>
      </w:r>
    </w:p>
    <w:p>
      <w:pPr>
        <w:pStyle w:val="17"/>
        <w:bidi w:val="0"/>
        <w:rPr>
          <w:lang w:val="zh-CN" w:eastAsia="zh-CN"/>
        </w:rPr>
      </w:pPr>
      <w:r>
        <w:rPr>
          <w:rStyle w:val="24"/>
          <w:rFonts w:hint="eastAsia"/>
          <w:b/>
          <w:bCs w:val="0"/>
          <w:lang w:val="zh-CN" w:eastAsia="zh-CN"/>
        </w:rPr>
        <w:t>（三）改革引领，创新驱动。</w:t>
      </w:r>
      <w:r>
        <w:rPr>
          <w:lang w:val="zh-CN" w:eastAsia="zh-CN"/>
        </w:rPr>
        <w:t>以深化医药卫生体制综合</w:t>
      </w:r>
      <w:r>
        <w:rPr>
          <w:rFonts w:hint="eastAsia"/>
          <w:lang w:val="en-US" w:eastAsia="zh-CN"/>
        </w:rPr>
        <w:t>改</w:t>
      </w:r>
      <w:r>
        <w:rPr>
          <w:lang w:val="zh-CN" w:eastAsia="zh-CN"/>
        </w:rPr>
        <w:t>革为引领，建立健全分级诊疗制度、现代医院管理制度、全民医保制度、药品供应保障制度、综合监管制度，推动“三医”联动，强化提高人民健康水平制度保障。强化科研转化和数字化改革赋能增智力量，驱动卫生健康领域理论、制度、管理和技术创新。</w:t>
      </w:r>
    </w:p>
    <w:p>
      <w:pPr>
        <w:pStyle w:val="4"/>
        <w:bidi w:val="0"/>
        <w:rPr>
          <w:rFonts w:hint="eastAsia"/>
          <w:strike w:val="0"/>
          <w:dstrike w:val="0"/>
          <w:lang w:val="en-US" w:eastAsia="zh-CN"/>
        </w:rPr>
      </w:pPr>
      <w:bookmarkStart w:id="55" w:name="_Toc28322"/>
      <w:bookmarkStart w:id="56" w:name="_Toc26692"/>
      <w:r>
        <w:rPr>
          <w:rFonts w:hint="eastAsia"/>
          <w:strike w:val="0"/>
          <w:dstrike w:val="0"/>
          <w:lang w:val="en-US" w:eastAsia="zh-CN"/>
        </w:rPr>
        <w:t>第三节 发展目标</w:t>
      </w:r>
      <w:bookmarkEnd w:id="51"/>
      <w:bookmarkEnd w:id="52"/>
      <w:bookmarkEnd w:id="53"/>
      <w:bookmarkEnd w:id="54"/>
      <w:bookmarkEnd w:id="55"/>
      <w:bookmarkEnd w:id="56"/>
    </w:p>
    <w:p>
      <w:pPr>
        <w:pStyle w:val="17"/>
        <w:bidi w:val="0"/>
        <w:rPr>
          <w:rFonts w:hint="eastAsia"/>
          <w:lang w:val="en-US" w:eastAsia="zh-CN"/>
        </w:rPr>
      </w:pPr>
      <w:r>
        <w:rPr>
          <w:rFonts w:hint="eastAsia"/>
          <w:lang w:val="en-US" w:eastAsia="zh-CN"/>
        </w:rPr>
        <w:t>围绕“促健康、强公卫、优医疗、补短板”的主题，以医改考核为总抓手，补全做强公共卫生安全网，补齐基层医疗卫生短板，全方位全周期保障人民健康。到2025年，覆盖城乡居民的基本医疗制度更加完善，人们享有更加优质、高效的基本医疗服务，人民健康水平显著增强。具体目标是：</w:t>
      </w:r>
    </w:p>
    <w:p>
      <w:pPr>
        <w:pStyle w:val="17"/>
        <w:bidi w:val="0"/>
        <w:rPr>
          <w:rStyle w:val="23"/>
          <w:rFonts w:hint="eastAsia"/>
          <w:lang w:val="en-US" w:eastAsia="zh-CN"/>
        </w:rPr>
      </w:pPr>
      <w:r>
        <w:rPr>
          <w:rStyle w:val="24"/>
          <w:rFonts w:hint="eastAsia"/>
          <w:b/>
          <w:bCs w:val="0"/>
          <w:lang w:val="en-US" w:eastAsia="zh-CN"/>
        </w:rPr>
        <w:t>——城乡居民健康水平进一步改善。</w:t>
      </w:r>
      <w:r>
        <w:rPr>
          <w:rStyle w:val="23"/>
          <w:rFonts w:hint="eastAsia"/>
          <w:lang w:val="en-US" w:eastAsia="zh-CN"/>
        </w:rPr>
        <w:t>探索“把健康融入所有政策”的实施路径，全面推进“健康武江”行动。人均期望寿命达到79岁以上，孕产妇死亡率、婴儿死亡率保持较好控制水平。</w:t>
      </w:r>
    </w:p>
    <w:p>
      <w:pPr>
        <w:pStyle w:val="17"/>
        <w:bidi w:val="0"/>
        <w:rPr>
          <w:rFonts w:hint="default"/>
          <w:lang w:val="en-US" w:eastAsia="zh-CN"/>
        </w:rPr>
      </w:pPr>
      <w:r>
        <w:rPr>
          <w:rStyle w:val="24"/>
          <w:rFonts w:hint="eastAsia"/>
          <w:b/>
          <w:bCs w:val="0"/>
          <w:lang w:val="en-US" w:eastAsia="zh-CN"/>
        </w:rPr>
        <w:t>——健康服务体系持续完善。</w:t>
      </w:r>
      <w:r>
        <w:rPr>
          <w:rFonts w:hint="eastAsia"/>
          <w:lang w:val="en-US" w:eastAsia="zh-CN"/>
        </w:rPr>
        <w:t>医疗卫生服务能力大幅提升，服务可及性、公平性进一步提高，人民群众多层次、多样化健康需求不断得到满足。</w:t>
      </w:r>
      <w:r>
        <w:rPr>
          <w:rStyle w:val="23"/>
          <w:rFonts w:hint="eastAsia"/>
          <w:lang w:val="en-US" w:eastAsia="zh-CN"/>
        </w:rPr>
        <w:t>到2025年，建成韶关市武江区中医院、韶关市武江区儿童医院等项目并投入使用。</w:t>
      </w:r>
      <w:r>
        <w:rPr>
          <w:rFonts w:hint="eastAsia"/>
          <w:lang w:val="en-US" w:eastAsia="zh-CN"/>
        </w:rPr>
        <w:t>机构分工协作更加紧密，家庭医生签约服务制度基本全覆盖。</w:t>
      </w:r>
    </w:p>
    <w:p>
      <w:pPr>
        <w:pStyle w:val="17"/>
        <w:bidi w:val="0"/>
        <w:rPr>
          <w:rFonts w:hint="eastAsia"/>
          <w:lang w:val="en-US" w:eastAsia="zh-CN"/>
        </w:rPr>
      </w:pPr>
      <w:r>
        <w:rPr>
          <w:rStyle w:val="24"/>
          <w:rFonts w:hint="eastAsia"/>
          <w:b/>
          <w:bCs w:val="0"/>
          <w:lang w:val="en-US" w:eastAsia="zh-CN"/>
        </w:rPr>
        <w:t>——公共卫生安全保障能力显著增强。</w:t>
      </w:r>
      <w:r>
        <w:rPr>
          <w:rFonts w:hint="eastAsia"/>
          <w:lang w:val="en-US" w:eastAsia="zh-CN"/>
        </w:rPr>
        <w:t>加强区级突发性传染病类等公共卫生应急队伍建设，充实区突发公共卫生事件医疗应急物资储备。完善公共卫生重大风险研判评估决策及防控协同机制，定期分析形势研判风险，处置重大公共卫生安全问题，提升公共卫生应急治理体系联防联控、群防群控、精准防控的能力。</w:t>
      </w:r>
    </w:p>
    <w:p>
      <w:pPr>
        <w:rPr>
          <w:rFonts w:hint="eastAsia"/>
          <w:lang w:val="en-US" w:eastAsia="zh-CN"/>
        </w:rPr>
      </w:pPr>
      <w:r>
        <w:rPr>
          <w:rFonts w:hint="eastAsia"/>
          <w:lang w:val="en-US" w:eastAsia="zh-CN"/>
        </w:rPr>
        <w:br w:type="page"/>
      </w:r>
    </w:p>
    <w:p>
      <w:pPr>
        <w:pStyle w:val="17"/>
        <w:bidi w:val="0"/>
        <w:rPr>
          <w:rFonts w:hint="eastAsia"/>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818"/>
        <w:gridCol w:w="2535"/>
        <w:gridCol w:w="855"/>
        <w:gridCol w:w="1171"/>
        <w:gridCol w:w="135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4" w:type="dxa"/>
            <w:gridSpan w:val="7"/>
            <w:noWrap w:val="0"/>
            <w:vAlign w:val="top"/>
          </w:tcPr>
          <w:p>
            <w:pPr>
              <w:pStyle w:val="17"/>
              <w:bidi w:val="0"/>
              <w:ind w:left="0" w:leftChars="0" w:firstLine="0" w:firstLineChars="0"/>
              <w:jc w:val="center"/>
              <w:rPr>
                <w:rFonts w:hint="eastAsia"/>
                <w:vertAlign w:val="baseline"/>
                <w:lang w:val="en-US" w:eastAsia="zh-CN"/>
              </w:rPr>
            </w:pPr>
            <w:r>
              <w:rPr>
                <w:rFonts w:hint="eastAsia" w:ascii="黑体" w:hAnsi="黑体" w:eastAsia="黑体" w:cs="黑体"/>
                <w:vertAlign w:val="baseline"/>
                <w:lang w:val="en-US" w:eastAsia="zh-CN"/>
              </w:rPr>
              <w:t>韶关市武江区“十四五”时期卫生健康事业主要发展目标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59"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领域</w:t>
            </w:r>
          </w:p>
        </w:tc>
        <w:tc>
          <w:tcPr>
            <w:tcW w:w="818"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2535"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主要指标</w:t>
            </w:r>
          </w:p>
        </w:tc>
        <w:tc>
          <w:tcPr>
            <w:tcW w:w="855" w:type="dxa"/>
            <w:noWrap w:val="0"/>
            <w:vAlign w:val="center"/>
          </w:tcPr>
          <w:p>
            <w:pPr>
              <w:pStyle w:val="17"/>
              <w:bidi w:val="0"/>
              <w:ind w:left="0" w:leftChars="0" w:firstLine="0" w:firstLineChars="0"/>
              <w:jc w:val="both"/>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单位</w:t>
            </w:r>
          </w:p>
        </w:tc>
        <w:tc>
          <w:tcPr>
            <w:tcW w:w="1171"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2020年</w:t>
            </w:r>
          </w:p>
        </w:tc>
        <w:tc>
          <w:tcPr>
            <w:tcW w:w="1350"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2025年目标</w:t>
            </w:r>
          </w:p>
        </w:tc>
        <w:tc>
          <w:tcPr>
            <w:tcW w:w="1426" w:type="dxa"/>
            <w:noWrap w:val="0"/>
            <w:vAlign w:val="center"/>
          </w:tcPr>
          <w:p>
            <w:pPr>
              <w:pStyle w:val="17"/>
              <w:bidi w:val="0"/>
              <w:ind w:left="0" w:leftChars="0" w:firstLine="0" w:firstLineChars="0"/>
              <w:jc w:val="center"/>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359" w:type="dxa"/>
            <w:vMerge w:val="restart"/>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健康水平</w:t>
            </w: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人均预期寿命</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岁</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78.4</w:t>
            </w:r>
          </w:p>
        </w:tc>
        <w:tc>
          <w:tcPr>
            <w:tcW w:w="1350"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＞80</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default"/>
                <w:sz w:val="24"/>
                <w:szCs w:val="24"/>
                <w:vertAlign w:val="baseline"/>
                <w:lang w:val="en-US" w:eastAsia="zh-CN"/>
              </w:rPr>
            </w:pP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孕产妇死亡率</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/10万</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3</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婴儿死亡率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≤6</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4</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eastAsia"/>
                <w:sz w:val="24"/>
                <w:szCs w:val="24"/>
                <w:vertAlign w:val="baseline"/>
                <w:lang w:val="en-US" w:eastAsia="zh-CN"/>
              </w:rPr>
              <w:t>5岁以下儿童死亡率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≤8</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＜4</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健康生活</w:t>
            </w:r>
          </w:p>
        </w:tc>
        <w:tc>
          <w:tcPr>
            <w:tcW w:w="818"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5</w:t>
            </w:r>
          </w:p>
        </w:tc>
        <w:tc>
          <w:tcPr>
            <w:tcW w:w="2535" w:type="dxa"/>
            <w:noWrap w:val="0"/>
            <w:vAlign w:val="center"/>
          </w:tcPr>
          <w:p>
            <w:pPr>
              <w:pStyle w:val="17"/>
              <w:bidi w:val="0"/>
              <w:ind w:left="0" w:leftChars="0" w:firstLine="0" w:firstLineChars="0"/>
              <w:rPr>
                <w:rFonts w:hint="default"/>
                <w:sz w:val="24"/>
                <w:szCs w:val="24"/>
                <w:vertAlign w:val="baseline"/>
                <w:lang w:val="en-US" w:eastAsia="zh-CN"/>
              </w:rPr>
            </w:pPr>
            <w:r>
              <w:rPr>
                <w:rFonts w:hint="default"/>
                <w:sz w:val="24"/>
                <w:szCs w:val="24"/>
                <w:vertAlign w:val="baseline"/>
                <w:lang w:val="en-US" w:eastAsia="zh-CN"/>
              </w:rPr>
              <w:t>居民健康素养</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24.39</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32</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6</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15岁以上人群吸烟率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29.27</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＜20</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7</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千人口献血率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12</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持续提升</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8</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省卫生镇数</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个</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sz w:val="24"/>
                <w:szCs w:val="24"/>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9</w:t>
            </w:r>
          </w:p>
        </w:tc>
        <w:tc>
          <w:tcPr>
            <w:tcW w:w="2535" w:type="dxa"/>
            <w:noWrap w:val="0"/>
            <w:vAlign w:val="center"/>
          </w:tcPr>
          <w:p>
            <w:pPr>
              <w:pStyle w:val="17"/>
              <w:bidi w:val="0"/>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省卫生村数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个</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47</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restart"/>
            <w:noWrap w:val="0"/>
            <w:vAlign w:val="center"/>
          </w:tcPr>
          <w:p>
            <w:pPr>
              <w:pStyle w:val="17"/>
              <w:bidi w:val="0"/>
              <w:ind w:left="0" w:leftChars="0" w:firstLine="0" w:firstLineChars="0"/>
              <w:jc w:val="center"/>
              <w:rPr>
                <w:rFonts w:hint="default"/>
                <w:vertAlign w:val="baseline"/>
                <w:lang w:val="en-US" w:eastAsia="zh-CN"/>
              </w:rPr>
            </w:pPr>
            <w:r>
              <w:rPr>
                <w:rFonts w:hint="eastAsia"/>
                <w:sz w:val="24"/>
                <w:szCs w:val="24"/>
                <w:vertAlign w:val="baseline"/>
                <w:lang w:val="en-US" w:eastAsia="zh-CN"/>
              </w:rPr>
              <w:t>健康服务</w:t>
            </w: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10</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每千人口医疗卫生机构床位数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张</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14.1</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15</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11</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每千常住人口执业（助理）医师数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4.9</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12</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1"/>
                <w:szCs w:val="21"/>
                <w:vertAlign w:val="baseline"/>
                <w:lang w:val="en-US" w:eastAsia="zh-CN"/>
              </w:rPr>
              <w:t>其中：每千人拥有中医类别执业（助理）医师数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0.7</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0.8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13</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每千常住人口注册护士数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9.1</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10.8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14</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每千人口拥有药师（士）数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0.78</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0.88</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15</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1"/>
                <w:szCs w:val="21"/>
                <w:vertAlign w:val="baseline"/>
                <w:lang w:val="en-US" w:eastAsia="zh-CN"/>
              </w:rPr>
              <w:t>每万常住人口全科医师数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2.32</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4</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16</w:t>
            </w:r>
          </w:p>
        </w:tc>
        <w:tc>
          <w:tcPr>
            <w:tcW w:w="2535" w:type="dxa"/>
            <w:noWrap w:val="0"/>
            <w:vAlign w:val="center"/>
          </w:tcPr>
          <w:p>
            <w:pPr>
              <w:pStyle w:val="17"/>
              <w:bidi w:val="0"/>
              <w:spacing w:line="240" w:lineRule="auto"/>
              <w:ind w:left="0" w:leftChars="0" w:firstLine="0" w:firstLineChars="0"/>
              <w:rPr>
                <w:rFonts w:hint="default"/>
                <w:sz w:val="24"/>
                <w:szCs w:val="24"/>
                <w:vertAlign w:val="baseline"/>
                <w:lang w:val="en-US" w:eastAsia="zh-CN"/>
              </w:rPr>
            </w:pPr>
            <w:r>
              <w:rPr>
                <w:rFonts w:hint="default"/>
                <w:sz w:val="24"/>
                <w:szCs w:val="24"/>
                <w:vertAlign w:val="baseline"/>
                <w:lang w:val="en-US" w:eastAsia="zh-CN"/>
              </w:rPr>
              <w:t>每千常住人口公共卫生人员数</w:t>
            </w:r>
          </w:p>
        </w:tc>
        <w:tc>
          <w:tcPr>
            <w:tcW w:w="855"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default"/>
                <w:sz w:val="24"/>
                <w:szCs w:val="24"/>
                <w:vertAlign w:val="baseline"/>
                <w:lang w:val="en-US" w:eastAsia="zh-CN"/>
              </w:rPr>
              <w:t>人</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default"/>
                <w:sz w:val="24"/>
                <w:szCs w:val="24"/>
                <w:vertAlign w:val="baseline"/>
                <w:lang w:val="en-US" w:eastAsia="zh-CN"/>
              </w:rPr>
              <w:t>1.15</w:t>
            </w:r>
          </w:p>
        </w:tc>
        <w:tc>
          <w:tcPr>
            <w:tcW w:w="1350" w:type="dxa"/>
            <w:noWrap w:val="0"/>
            <w:vAlign w:val="center"/>
          </w:tcPr>
          <w:p>
            <w:pPr>
              <w:pStyle w:val="17"/>
              <w:bidi w:val="0"/>
              <w:spacing w:line="240" w:lineRule="auto"/>
              <w:ind w:left="0" w:leftChars="0" w:firstLine="0" w:firstLineChars="0"/>
              <w:jc w:val="both"/>
              <w:rPr>
                <w:rFonts w:hint="default"/>
                <w:sz w:val="24"/>
                <w:szCs w:val="24"/>
                <w:vertAlign w:val="baseline"/>
                <w:lang w:val="en-US" w:eastAsia="zh-CN"/>
              </w:rPr>
            </w:pPr>
            <w:r>
              <w:rPr>
                <w:rFonts w:hint="default"/>
                <w:sz w:val="24"/>
                <w:szCs w:val="24"/>
                <w:vertAlign w:val="baseline"/>
                <w:lang w:val="en-US" w:eastAsia="zh-CN"/>
              </w:rPr>
              <w:t>增长30%</w:t>
            </w:r>
          </w:p>
        </w:tc>
        <w:tc>
          <w:tcPr>
            <w:tcW w:w="1426"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default"/>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17</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儿童青少年总体近视率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48.94</w:t>
            </w:r>
          </w:p>
        </w:tc>
        <w:tc>
          <w:tcPr>
            <w:tcW w:w="1350" w:type="dxa"/>
            <w:noWrap w:val="0"/>
            <w:vAlign w:val="center"/>
          </w:tcPr>
          <w:p>
            <w:pPr>
              <w:pStyle w:val="17"/>
              <w:bidi w:val="0"/>
              <w:spacing w:line="240" w:lineRule="auto"/>
              <w:ind w:left="0" w:leftChars="0" w:firstLine="0" w:firstLineChars="0"/>
              <w:jc w:val="center"/>
              <w:rPr>
                <w:rFonts w:hint="eastAsia"/>
                <w:sz w:val="24"/>
                <w:szCs w:val="24"/>
                <w:vertAlign w:val="baseline"/>
                <w:lang w:val="en-US" w:eastAsia="zh-CN"/>
              </w:rPr>
            </w:pPr>
            <w:r>
              <w:rPr>
                <w:rFonts w:hint="eastAsia"/>
                <w:sz w:val="15"/>
                <w:szCs w:val="15"/>
                <w:vertAlign w:val="baseline"/>
                <w:lang w:val="en-US" w:eastAsia="zh-CN"/>
              </w:rPr>
              <w:t>力争每年降低0.5个百分点以上</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18</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每千常住人口拥有3岁以下婴幼儿托位数</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个</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5.5</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noWrap w:val="0"/>
            <w:vAlign w:val="top"/>
          </w:tcPr>
          <w:p>
            <w:pPr>
              <w:pStyle w:val="17"/>
              <w:bidi w:val="0"/>
              <w:rPr>
                <w:rFonts w:hint="eastAsia"/>
                <w:vertAlign w:val="baseline"/>
                <w:lang w:val="en-US" w:eastAsia="zh-CN"/>
              </w:rPr>
            </w:pPr>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19</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24"/>
                <w:szCs w:val="24"/>
                <w:vertAlign w:val="baseline"/>
                <w:lang w:val="en-US" w:eastAsia="zh-CN"/>
              </w:rPr>
              <w:t>二级及以上综合性医院设置老年医学科的比例</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37.05</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100</w:t>
            </w:r>
          </w:p>
        </w:tc>
        <w:tc>
          <w:tcPr>
            <w:tcW w:w="1426"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9" w:type="dxa"/>
            <w:vMerge w:val="continue"/>
            <w:noWrap w:val="0"/>
            <w:vAlign w:val="top"/>
          </w:tcPr>
          <w:p>
            <w:pPr>
              <w:pStyle w:val="17"/>
              <w:bidi w:val="0"/>
              <w:rPr>
                <w:rFonts w:hint="eastAsia"/>
                <w:vertAlign w:val="baseline"/>
                <w:lang w:val="en-US" w:eastAsia="zh-CN"/>
              </w:rPr>
            </w:pPr>
            <w:bookmarkStart w:id="57" w:name="_Toc2218"/>
            <w:bookmarkStart w:id="58" w:name="_Toc30982"/>
            <w:bookmarkStart w:id="59" w:name="_Toc6987"/>
            <w:bookmarkStart w:id="60" w:name="_Toc11078"/>
          </w:p>
        </w:tc>
        <w:tc>
          <w:tcPr>
            <w:tcW w:w="818" w:type="dxa"/>
            <w:noWrap w:val="0"/>
            <w:vAlign w:val="top"/>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20</w:t>
            </w:r>
          </w:p>
        </w:tc>
        <w:tc>
          <w:tcPr>
            <w:tcW w:w="2535" w:type="dxa"/>
            <w:noWrap w:val="0"/>
            <w:vAlign w:val="center"/>
          </w:tcPr>
          <w:p>
            <w:pPr>
              <w:pStyle w:val="17"/>
              <w:bidi w:val="0"/>
              <w:spacing w:line="240" w:lineRule="auto"/>
              <w:ind w:left="0" w:leftChars="0" w:firstLine="0" w:firstLineChars="0"/>
              <w:rPr>
                <w:rFonts w:hint="eastAsia"/>
                <w:sz w:val="24"/>
                <w:szCs w:val="24"/>
                <w:vertAlign w:val="baseline"/>
                <w:lang w:val="en-US" w:eastAsia="zh-CN"/>
              </w:rPr>
            </w:pPr>
            <w:r>
              <w:rPr>
                <w:rFonts w:hint="eastAsia"/>
                <w:sz w:val="18"/>
                <w:szCs w:val="18"/>
                <w:vertAlign w:val="baseline"/>
                <w:lang w:val="en-US" w:eastAsia="zh-CN"/>
              </w:rPr>
              <w:t>重点行业用人单位劳动者防噪音耳塞或耳罩正确佩戴率</w:t>
            </w:r>
          </w:p>
        </w:tc>
        <w:tc>
          <w:tcPr>
            <w:tcW w:w="855"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w:t>
            </w:r>
          </w:p>
        </w:tc>
        <w:tc>
          <w:tcPr>
            <w:tcW w:w="1171" w:type="dxa"/>
            <w:noWrap w:val="0"/>
            <w:vAlign w:val="center"/>
          </w:tcPr>
          <w:p>
            <w:pPr>
              <w:pStyle w:val="17"/>
              <w:bidi w:val="0"/>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w:t>
            </w:r>
          </w:p>
        </w:tc>
        <w:tc>
          <w:tcPr>
            <w:tcW w:w="1350"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≥80</w:t>
            </w:r>
          </w:p>
        </w:tc>
        <w:tc>
          <w:tcPr>
            <w:tcW w:w="1426" w:type="dxa"/>
            <w:noWrap w:val="0"/>
            <w:vAlign w:val="center"/>
          </w:tcPr>
          <w:p>
            <w:pPr>
              <w:pStyle w:val="17"/>
              <w:bidi w:val="0"/>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预期性</w:t>
            </w:r>
          </w:p>
        </w:tc>
      </w:tr>
    </w:tbl>
    <w:p>
      <w:pPr>
        <w:pStyle w:val="17"/>
        <w:bidi w:val="0"/>
        <w:ind w:left="0" w:leftChars="0" w:firstLine="0" w:firstLineChars="0"/>
        <w:rPr>
          <w:rFonts w:hint="eastAsia"/>
          <w:strike w:val="0"/>
          <w:dstrike w:val="0"/>
          <w:lang w:val="en-US" w:eastAsia="zh-CN"/>
        </w:rPr>
      </w:pPr>
      <w:r>
        <w:rPr>
          <w:rFonts w:hint="eastAsia"/>
          <w:strike w:val="0"/>
          <w:dstrike w:val="0"/>
          <w:lang w:val="en-US" w:eastAsia="zh-CN"/>
        </w:rPr>
        <w:br w:type="page"/>
      </w:r>
    </w:p>
    <w:p>
      <w:pPr>
        <w:pStyle w:val="3"/>
        <w:bidi w:val="0"/>
        <w:rPr>
          <w:rFonts w:hint="eastAsia"/>
          <w:strike w:val="0"/>
          <w:dstrike w:val="0"/>
          <w:lang w:val="en-US" w:eastAsia="zh-CN"/>
        </w:rPr>
      </w:pPr>
      <w:bookmarkStart w:id="61" w:name="_Toc18735"/>
      <w:bookmarkStart w:id="62" w:name="_Toc5433"/>
      <w:r>
        <w:rPr>
          <w:rFonts w:hint="eastAsia"/>
          <w:strike w:val="0"/>
          <w:dstrike w:val="0"/>
          <w:lang w:val="en-US" w:eastAsia="zh-CN"/>
        </w:rPr>
        <w:t xml:space="preserve">第三章 </w:t>
      </w:r>
      <w:bookmarkEnd w:id="57"/>
      <w:bookmarkEnd w:id="58"/>
      <w:bookmarkEnd w:id="59"/>
      <w:bookmarkEnd w:id="60"/>
      <w:r>
        <w:rPr>
          <w:rFonts w:hint="eastAsia"/>
          <w:strike w:val="0"/>
          <w:dstrike w:val="0"/>
          <w:lang w:val="en-US" w:eastAsia="zh-CN"/>
        </w:rPr>
        <w:t>实施“健康武江”</w:t>
      </w:r>
      <w:bookmarkEnd w:id="61"/>
      <w:r>
        <w:rPr>
          <w:rFonts w:hint="eastAsia"/>
          <w:strike w:val="0"/>
          <w:dstrike w:val="0"/>
          <w:lang w:val="en-US" w:eastAsia="zh-CN"/>
        </w:rPr>
        <w:t>行动</w:t>
      </w:r>
      <w:bookmarkEnd w:id="62"/>
    </w:p>
    <w:p>
      <w:pPr>
        <w:pStyle w:val="4"/>
        <w:bidi w:val="0"/>
        <w:rPr>
          <w:rFonts w:hint="eastAsia"/>
          <w:strike w:val="0"/>
          <w:dstrike w:val="0"/>
          <w:lang w:val="en-US" w:eastAsia="zh-CN"/>
        </w:rPr>
      </w:pPr>
      <w:bookmarkStart w:id="63" w:name="_Toc16139"/>
      <w:bookmarkStart w:id="64" w:name="_Toc20670"/>
      <w:bookmarkStart w:id="65" w:name="_Toc12880"/>
      <w:bookmarkStart w:id="66" w:name="_Toc14327"/>
      <w:bookmarkStart w:id="67" w:name="_Toc8216"/>
      <w:bookmarkStart w:id="68" w:name="_Toc21024"/>
      <w:r>
        <w:rPr>
          <w:rFonts w:hint="eastAsia"/>
          <w:strike w:val="0"/>
          <w:dstrike w:val="0"/>
          <w:lang w:val="en-US" w:eastAsia="zh-CN"/>
        </w:rPr>
        <w:t>第一节 加强健康促进与健康教育</w:t>
      </w:r>
      <w:bookmarkEnd w:id="63"/>
      <w:bookmarkEnd w:id="64"/>
    </w:p>
    <w:p>
      <w:pPr>
        <w:pStyle w:val="17"/>
        <w:bidi w:val="0"/>
        <w:rPr>
          <w:rFonts w:hint="eastAsia"/>
          <w:lang w:val="en-US" w:eastAsia="zh-CN"/>
        </w:rPr>
      </w:pPr>
      <w:r>
        <w:rPr>
          <w:rFonts w:hint="eastAsia"/>
          <w:lang w:val="en-US" w:eastAsia="zh-CN"/>
        </w:rPr>
        <w:t>开展全人群健康科普教育，强化重点人群健康知识普及。坚持阵地共建、活动共抓、资源共享，整合利用各种宣传阵地和媒体资源，以健康促进区、健康“细胞”工程、健康广场、健康小屋、健康驿站等建设为平台，普及健康知识，打造健康科普工作新格局。深入开展全民健康素养促进行动、全民健康生活方式行动、健康中国行、中医中药中国行、中医治未病健康工程、健康知识进万家等专项科普行动，增强全民健康意识。健全健康教育服务体系，以医院、基层医疗卫生机构、专业公共卫生机构为基础，以学校、机关、社区、企事业单位健康教育职能部门为延伸的健康促进与教育网络，全面提升健康科普能力。</w:t>
      </w:r>
    </w:p>
    <w:p>
      <w:pPr>
        <w:pStyle w:val="4"/>
        <w:bidi w:val="0"/>
        <w:rPr>
          <w:rFonts w:hint="eastAsia" w:eastAsia="宋体"/>
          <w:strike w:val="0"/>
          <w:dstrike w:val="0"/>
          <w:lang w:val="en-US" w:eastAsia="zh-CN"/>
        </w:rPr>
      </w:pPr>
      <w:bookmarkStart w:id="69" w:name="_Toc3039"/>
      <w:bookmarkStart w:id="70" w:name="_Toc4979"/>
      <w:r>
        <w:rPr>
          <w:rFonts w:hint="eastAsia" w:eastAsia="宋体"/>
          <w:strike w:val="0"/>
          <w:dstrike w:val="0"/>
          <w:lang w:val="en-US" w:eastAsia="zh-CN"/>
        </w:rPr>
        <w:t>第二节 全面开展爱国卫生运动</w:t>
      </w:r>
      <w:bookmarkEnd w:id="69"/>
      <w:bookmarkEnd w:id="70"/>
    </w:p>
    <w:p>
      <w:pPr>
        <w:pStyle w:val="17"/>
        <w:bidi w:val="0"/>
        <w:rPr>
          <w:rFonts w:hint="eastAsia"/>
          <w:lang w:val="en-US" w:eastAsia="zh-CN"/>
        </w:rPr>
      </w:pPr>
      <w:r>
        <w:rPr>
          <w:lang w:val="zh-CN" w:eastAsia="zh-CN"/>
        </w:rPr>
        <w:t>推动从环境卫生治理向全面社会健康管理转变</w:t>
      </w:r>
      <w:r>
        <w:rPr>
          <w:rFonts w:hint="eastAsia"/>
          <w:lang w:val="zh-CN" w:eastAsia="zh-CN"/>
        </w:rPr>
        <w:t>，</w:t>
      </w:r>
      <w:r>
        <w:rPr>
          <w:lang w:val="zh-CN" w:eastAsia="zh-CN"/>
        </w:rPr>
        <w:t>落实环境卫生整治和清除病媒生物孳生地，降低传染病发生传播的风险，推进城乡环境整治，加强垃圾和污水治理。倡导文明健康、绿色环保生活理念，全面推进公共场所禁烟，培育无烟环境。加强公共卫生环境基础设施建设，大力推进卫生村镇创建，全面改善人居环境。</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71" w:name="_Toc30268"/>
      <w:bookmarkStart w:id="72" w:name="_Toc7516"/>
      <w:r>
        <w:rPr>
          <w:rFonts w:hint="eastAsia" w:ascii="等线 Light" w:hAnsi="等线 Light" w:eastAsia="宋体" w:cs="Times New Roman"/>
          <w:b/>
          <w:bCs/>
          <w:strike w:val="0"/>
          <w:dstrike w:val="0"/>
          <w:kern w:val="2"/>
          <w:sz w:val="32"/>
          <w:szCs w:val="32"/>
          <w:lang w:val="en-US" w:eastAsia="zh-CN" w:bidi="ar-SA"/>
        </w:rPr>
        <w:t>第三节 强化食品安全和营养健康</w:t>
      </w:r>
      <w:bookmarkEnd w:id="71"/>
      <w:bookmarkEnd w:id="72"/>
    </w:p>
    <w:p>
      <w:pPr>
        <w:pStyle w:val="18"/>
        <w:bidi w:val="0"/>
        <w:rPr>
          <w:rFonts w:hint="eastAsia"/>
          <w:b/>
          <w:bCs w:val="0"/>
          <w:lang w:val="en-US" w:eastAsia="zh-CN"/>
        </w:rPr>
      </w:pPr>
      <w:r>
        <w:rPr>
          <w:rStyle w:val="23"/>
          <w:rFonts w:hint="eastAsia"/>
          <w:lang w:val="en-US" w:eastAsia="zh-CN"/>
        </w:rPr>
        <w:t>依托市疾控中心，开展食品安全风险监测。加强营养健康宣传，针对孕产妇、新生儿、学生、老年人、贫困地区人群等重点人群开展营养干预行动。</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73" w:name="_Toc14181"/>
      <w:bookmarkStart w:id="74" w:name="_Toc27931"/>
      <w:r>
        <w:rPr>
          <w:rFonts w:hint="eastAsia" w:ascii="等线 Light" w:hAnsi="等线 Light" w:eastAsia="宋体" w:cs="Times New Roman"/>
          <w:b/>
          <w:bCs/>
          <w:strike w:val="0"/>
          <w:dstrike w:val="0"/>
          <w:kern w:val="2"/>
          <w:sz w:val="32"/>
          <w:szCs w:val="32"/>
          <w:lang w:val="en-US" w:eastAsia="zh-CN" w:bidi="ar-SA"/>
        </w:rPr>
        <w:t>第四节 实施妇幼健康促进行动</w:t>
      </w:r>
      <w:bookmarkEnd w:id="73"/>
      <w:bookmarkEnd w:id="74"/>
    </w:p>
    <w:p>
      <w:pPr>
        <w:pStyle w:val="17"/>
        <w:bidi w:val="0"/>
        <w:rPr>
          <w:lang w:val="zh-CN"/>
        </w:rPr>
      </w:pPr>
      <w:r>
        <w:rPr>
          <w:lang w:val="zh-CN"/>
        </w:rPr>
        <w:t>大力普及妇幼健康科学知识，推进婚前孕前保健及生育全程服务，推广落实婚姻登记、婚前医学检查和生育指导“一站式”服务模式，提高优生优育服务水平。全面实施出生缺陷综合防控项目，落实出生缺陷三级防控</w:t>
      </w:r>
      <w:r>
        <w:rPr>
          <w:rFonts w:hint="eastAsia"/>
          <w:lang w:val="zh-CN" w:eastAsia="zh-CN"/>
        </w:rPr>
        <w:t>，</w:t>
      </w:r>
      <w:r>
        <w:rPr>
          <w:rFonts w:hint="eastAsia"/>
          <w:lang w:val="en-US" w:eastAsia="zh-CN"/>
        </w:rPr>
        <w:t>有效控制出生缺陷发生率。</w:t>
      </w:r>
      <w:r>
        <w:rPr>
          <w:lang w:val="zh-CN"/>
        </w:rPr>
        <w:t>启动地中海贫血基因检测项目，了解目标群体的地贫基因携带情况，更好地指导优生优育。推进妇女全生命周期健康管理和重点疾病防治。实施预防艾滋病、梅毒、乙肝母婴传播免费筛查和干预工作</w:t>
      </w:r>
      <w:r>
        <w:rPr>
          <w:rFonts w:hint="eastAsia"/>
          <w:lang w:val="zh-CN" w:eastAsia="zh-CN"/>
        </w:rPr>
        <w:t>，</w:t>
      </w:r>
      <w:r>
        <w:rPr>
          <w:lang w:val="zh-CN"/>
        </w:rPr>
        <w:t>免费为全</w:t>
      </w:r>
      <w:r>
        <w:rPr>
          <w:rFonts w:hint="eastAsia"/>
          <w:lang w:val="en-US" w:eastAsia="zh-CN"/>
        </w:rPr>
        <w:t>区</w:t>
      </w:r>
      <w:r>
        <w:rPr>
          <w:lang w:val="zh-CN"/>
        </w:rPr>
        <w:t>35—64岁城乡妇女开展“两癌”免费筛查服务。提高妇女常见病筛查率和早诊早治率，推动实施适龄女生HPV（人乳头瘤病毒）疫苗免费接种项目。规范孕产妇和3岁以下儿童健康管理。到2025年，孕产妇系统管理率和3岁以下儿童系统管理率不低于90</w:t>
      </w:r>
      <w:r>
        <w:rPr>
          <w:rFonts w:hint="eastAsia"/>
          <w:lang w:val="en-US" w:eastAsia="zh-CN"/>
        </w:rPr>
        <w:t>%</w:t>
      </w:r>
      <w:r>
        <w:rPr>
          <w:lang w:val="zh-CN"/>
        </w:rPr>
        <w:t>。加强0—6岁儿童生长发育监测、眼保健和视力检查、牙齿、心理行为发育评估与指导等健康管理。加强儿童心理健康教育和服务。综合防控青少年近视，力争实现近视率每年降低0.5个百分点的目标。</w:t>
      </w:r>
    </w:p>
    <w:p>
      <w:pPr>
        <w:keepNext/>
        <w:keepLines/>
        <w:widowControl w:val="0"/>
        <w:bidi w:val="0"/>
        <w:spacing w:before="260" w:after="260" w:line="360" w:lineRule="auto"/>
        <w:ind w:firstLine="0" w:firstLineChars="0"/>
        <w:jc w:val="center"/>
        <w:outlineLvl w:val="1"/>
        <w:rPr>
          <w:rFonts w:hint="eastAsia"/>
          <w:lang w:val="zh-CN"/>
        </w:rPr>
      </w:pPr>
      <w:bookmarkStart w:id="75" w:name="_Toc6780"/>
      <w:bookmarkStart w:id="76" w:name="_Toc2815"/>
      <w:r>
        <w:rPr>
          <w:rFonts w:hint="eastAsia" w:ascii="等线 Light" w:hAnsi="等线 Light" w:eastAsia="宋体" w:cs="Times New Roman"/>
          <w:b/>
          <w:bCs/>
          <w:strike w:val="0"/>
          <w:dstrike w:val="0"/>
          <w:kern w:val="2"/>
          <w:sz w:val="32"/>
          <w:szCs w:val="32"/>
          <w:lang w:val="en-US" w:eastAsia="zh-CN" w:bidi="ar-SA"/>
        </w:rPr>
        <w:t>第五节 加强重点疾病防治</w:t>
      </w:r>
      <w:bookmarkEnd w:id="75"/>
      <w:bookmarkEnd w:id="76"/>
    </w:p>
    <w:p>
      <w:pPr>
        <w:pStyle w:val="17"/>
        <w:bidi w:val="0"/>
        <w:rPr>
          <w:rFonts w:hint="eastAsia"/>
          <w:lang w:val="zh-CN"/>
        </w:rPr>
      </w:pPr>
      <w:r>
        <w:rPr>
          <w:rStyle w:val="24"/>
          <w:rFonts w:hint="eastAsia"/>
          <w:b/>
          <w:bCs w:val="0"/>
          <w:lang w:val="zh-CN"/>
        </w:rPr>
        <w:t>（一）强化突发急性传染病防控。</w:t>
      </w:r>
      <w:r>
        <w:rPr>
          <w:rFonts w:hint="eastAsia"/>
          <w:lang w:val="zh-CN"/>
        </w:rPr>
        <w:t>依托市疾控中心做好新冠病毒感染、鼠疫、霍乱、禽流感、登革热、流感、诺如等突发急性传染病以及中东呼吸综合征、埃博拉出血热等新发传染病监测。强化医疗机构发热门诊、发热诊室等重点单位监测。健全多渠道监测预警机制。坚持“早发现、早报告、早诊断、早治疗”的“四早”原则，全力减少重症和死亡病例。充分发挥公共卫生与重大疾病防治工作领导小组作用，压实属地、部门、单位、个人“四方责任”，完善联防联控、群防群控模式，推动专业防控和社会力量参与有机结合。科学精准实施常态化疫情防控措施，确保突发急性传染病疫情得到有效有序处置。</w:t>
      </w:r>
    </w:p>
    <w:p>
      <w:pPr>
        <w:pStyle w:val="17"/>
        <w:bidi w:val="0"/>
        <w:rPr>
          <w:rFonts w:hint="eastAsia"/>
          <w:lang w:val="zh-CN"/>
        </w:rPr>
      </w:pPr>
      <w:r>
        <w:rPr>
          <w:rStyle w:val="24"/>
          <w:rFonts w:hint="eastAsia"/>
          <w:b/>
          <w:bCs w:val="0"/>
          <w:lang w:val="zh-CN"/>
        </w:rPr>
        <w:t>（二）强化重大传染病和地方病防控。</w:t>
      </w:r>
      <w:r>
        <w:rPr>
          <w:rFonts w:hint="eastAsia"/>
          <w:lang w:val="zh-CN"/>
        </w:rPr>
        <w:t>加强传染病、地方病防控。开展病毒性肝炎、艾滋病、结核病等重点传染病防治工作。加强霍乱、手足口病、流感等重点急性传染病监测防控。强化病媒生物防制工作，严防登革热、寨卡病毒等蚊媒传播疾病的发生和流行。实施以传染源控制为主的防控策略，提高突发急性传染病卫生应急队伍能力建设。稳步推进适龄儿童免疫规划疫苗接种工作，建立良好免疫屏障，巩固无脊髓灰质炎状态，强化重点人群麻疹、风疹、流行性腮腺炎等疫苗可预防疾病监测与防控，全区适龄儿童免疫规划疫苗接种率90%以上。普及传染病与地方病防治知识，不断普及和提高公众防护意识。提升基层传染病与地方病防控技术和卫生应急处置能力，加强现场流行病学培训项目建设，培养基层防控骨干力量。加强突发急性传染病防控能力建设，提高突发急性传染病防控处置效率。</w:t>
      </w:r>
    </w:p>
    <w:p>
      <w:pPr>
        <w:pStyle w:val="17"/>
        <w:bidi w:val="0"/>
        <w:rPr>
          <w:rFonts w:hint="eastAsia"/>
          <w:lang w:val="zh-CN"/>
        </w:rPr>
      </w:pPr>
      <w:r>
        <w:rPr>
          <w:rStyle w:val="24"/>
          <w:rFonts w:hint="eastAsia"/>
          <w:b/>
          <w:bCs w:val="0"/>
          <w:lang w:val="zh-CN"/>
        </w:rPr>
        <w:t>（</w:t>
      </w:r>
      <w:r>
        <w:rPr>
          <w:rStyle w:val="24"/>
          <w:rFonts w:hint="eastAsia"/>
          <w:b/>
          <w:bCs w:val="0"/>
          <w:lang w:val="en-US" w:eastAsia="zh-CN"/>
        </w:rPr>
        <w:t>三</w:t>
      </w:r>
      <w:r>
        <w:rPr>
          <w:rStyle w:val="24"/>
          <w:rFonts w:hint="eastAsia"/>
          <w:b/>
          <w:bCs w:val="0"/>
          <w:lang w:val="zh-CN"/>
        </w:rPr>
        <w:t>）强化基层医疗卫生机构慢性病管理，逐步推进慢性病综合防控示范区建设。</w:t>
      </w:r>
      <w:r>
        <w:rPr>
          <w:rFonts w:hint="eastAsia"/>
          <w:lang w:val="zh-CN"/>
        </w:rPr>
        <w:t>加强高血压、糖尿病等慢性病患者的管理和服务，强化重点癌症的筛查和早期发现，加强慢性病患病风险评估和随访管理服务，提高早诊率及规范化治疗水平。探索完善医保政策，加强二级以上医院与基层医疗卫生机构的用药衔接，促进分级诊疗、社区首诊，推动慢性病防治工作重心下沉。</w:t>
      </w:r>
    </w:p>
    <w:p>
      <w:pPr>
        <w:pStyle w:val="17"/>
        <w:bidi w:val="0"/>
        <w:rPr>
          <w:rFonts w:hint="eastAsia"/>
          <w:lang w:val="zh-CN"/>
        </w:rPr>
      </w:pPr>
      <w:r>
        <w:rPr>
          <w:rStyle w:val="24"/>
          <w:rFonts w:hint="eastAsia"/>
          <w:b/>
          <w:bCs w:val="0"/>
          <w:lang w:val="zh-CN"/>
        </w:rPr>
        <w:t>（四）健全精神卫生、心理健康服务体系。</w:t>
      </w:r>
      <w:r>
        <w:rPr>
          <w:rFonts w:hint="eastAsia"/>
          <w:lang w:val="zh-CN"/>
        </w:rPr>
        <w:t>依托现有精神卫生专业机构（医院），在一所以上综合性医院建设有病床的精神专科，在县、镇、村三级综治中心或城乡社区综合服务中心规范设置心理咨询室或社会工作室，配备心理辅导人员或社会工作者。利用互联网搭建心理健康服务平台，采取线上（专家咨询指导）与线下（心理辅导人员、社会工作者、志愿者为主体）相结合的办法，为辖区居民提供心理健康服务。完善社区、社会组织、社会工作者三社联动机制。建立健全精神卫生综合管理机制，推动开展社区康复服务，建立完善精神障碍社区康复服务体系，开展人群心理健康监测，加强心理健康服务队伍建设。</w:t>
      </w:r>
    </w:p>
    <w:p>
      <w:pPr>
        <w:keepNext/>
        <w:keepLines/>
        <w:widowControl w:val="0"/>
        <w:bidi w:val="0"/>
        <w:spacing w:before="260" w:after="260" w:line="360" w:lineRule="auto"/>
        <w:ind w:firstLine="0" w:firstLineChars="0"/>
        <w:jc w:val="center"/>
        <w:outlineLvl w:val="1"/>
        <w:rPr>
          <w:rFonts w:hint="eastAsia"/>
          <w:lang w:val="zh-CN"/>
        </w:rPr>
      </w:pPr>
      <w:bookmarkStart w:id="77" w:name="_Toc18752"/>
      <w:bookmarkStart w:id="78" w:name="_Toc18321"/>
      <w:r>
        <w:rPr>
          <w:rFonts w:hint="eastAsia" w:ascii="等线 Light" w:hAnsi="等线 Light" w:eastAsia="宋体" w:cs="Times New Roman"/>
          <w:b/>
          <w:bCs/>
          <w:strike w:val="0"/>
          <w:dstrike w:val="0"/>
          <w:kern w:val="2"/>
          <w:sz w:val="32"/>
          <w:szCs w:val="32"/>
          <w:lang w:val="en-US" w:eastAsia="zh-CN" w:bidi="ar-SA"/>
        </w:rPr>
        <w:t>第六节 促进老年健康服务</w:t>
      </w:r>
      <w:bookmarkEnd w:id="77"/>
      <w:bookmarkEnd w:id="78"/>
    </w:p>
    <w:p>
      <w:pPr>
        <w:pStyle w:val="17"/>
        <w:bidi w:val="0"/>
        <w:rPr>
          <w:rFonts w:hint="eastAsia"/>
          <w:lang w:val="zh-CN"/>
        </w:rPr>
      </w:pPr>
      <w:r>
        <w:rPr>
          <w:rFonts w:hint="eastAsia"/>
          <w:lang w:val="zh-CN"/>
        </w:rPr>
        <w:t>加强老年健康宣传教育，引导正确认识老龄化和衰老，合理膳食，适度运动。强化65岁及以上老年人健康管理和老年人中医药健康管理。实施老年健康服务保障工程，推动二级及以上综合性医院开设老年医学科和二级以上康复医院开设老年康复科，提高基层医疗卫生机构的康复、护理床位占比。开展老年友善医疗机构建设工作，推进医疗机构落实老年人医疗服务优待政策。支持社会资本进入老年健康产业市场，提供老年健康服务。支持养老机构设立医疗机构，支持有条件的医疗机构设立养老机构或开设养老床位。推进“银龄安康行动”，提高老年人生活质量。加强老年医学科建设，推进临床老年医学科科研创新。</w:t>
      </w:r>
    </w:p>
    <w:p>
      <w:pPr>
        <w:keepNext/>
        <w:keepLines/>
        <w:widowControl w:val="0"/>
        <w:bidi w:val="0"/>
        <w:spacing w:before="260" w:after="260" w:line="360" w:lineRule="auto"/>
        <w:ind w:firstLine="0" w:firstLineChars="0"/>
        <w:jc w:val="center"/>
        <w:outlineLvl w:val="1"/>
        <w:rPr>
          <w:rFonts w:hint="eastAsia"/>
          <w:lang w:val="zh-CN"/>
        </w:rPr>
      </w:pPr>
      <w:bookmarkStart w:id="79" w:name="_Toc10342"/>
      <w:bookmarkStart w:id="80" w:name="_Toc16243"/>
      <w:r>
        <w:rPr>
          <w:rFonts w:hint="eastAsia" w:ascii="等线 Light" w:hAnsi="等线 Light" w:eastAsia="宋体" w:cs="Times New Roman"/>
          <w:b/>
          <w:bCs/>
          <w:strike w:val="0"/>
          <w:dstrike w:val="0"/>
          <w:kern w:val="2"/>
          <w:sz w:val="32"/>
          <w:szCs w:val="32"/>
          <w:lang w:val="en-US" w:eastAsia="zh-CN" w:bidi="ar-SA"/>
        </w:rPr>
        <w:t>第七节 加强职业健康保护</w:t>
      </w:r>
      <w:bookmarkEnd w:id="79"/>
      <w:bookmarkEnd w:id="80"/>
    </w:p>
    <w:p>
      <w:pPr>
        <w:pStyle w:val="17"/>
        <w:bidi w:val="0"/>
        <w:rPr>
          <w:rFonts w:hint="eastAsia"/>
          <w:lang w:val="zh-CN"/>
        </w:rPr>
      </w:pPr>
      <w:r>
        <w:rPr>
          <w:rFonts w:hint="eastAsia"/>
          <w:lang w:val="zh-CN"/>
        </w:rPr>
        <w:t>督促用人单位严格落实建设项目职业病危害评价和职业病防护设施“三同时”制度，落实用人单位主体责任。协助开展重点职业病危害监测、诊断治疗。加强对职业卫生、放射卫生技术服务机构、放射诊疗机构的监督检查力度，严肃查处违法违规行为。建立用人单位和职业病防治相关技术服务机构“黑名单”制度，定期向社会公布并通报有关部门。加大对重点行业、重点企业、存在职业病危害建设项目的监督检查力度，以高毒物质、高危粉尘、高强度噪声等为重点，开展重点行业专项整治。利用媒体平台、健康讲座进企业开展形式多样的职业健康公益宣传活动，提高企业职工自我防护意识。</w:t>
      </w:r>
    </w:p>
    <w:p>
      <w:pPr>
        <w:pStyle w:val="3"/>
        <w:bidi w:val="0"/>
        <w:rPr>
          <w:rFonts w:hint="eastAsia"/>
          <w:strike w:val="0"/>
          <w:dstrike w:val="0"/>
          <w:lang w:val="en-US" w:eastAsia="zh-CN"/>
        </w:rPr>
      </w:pPr>
      <w:bookmarkStart w:id="81" w:name="_Toc22564"/>
      <w:bookmarkStart w:id="82" w:name="_Toc5087"/>
      <w:r>
        <w:rPr>
          <w:rFonts w:hint="eastAsia"/>
          <w:strike w:val="0"/>
          <w:dstrike w:val="0"/>
          <w:lang w:val="en-US" w:eastAsia="zh-CN"/>
        </w:rPr>
        <w:t>第四章 建立健全公共卫生体系</w:t>
      </w:r>
      <w:bookmarkEnd w:id="81"/>
      <w:bookmarkEnd w:id="82"/>
    </w:p>
    <w:p>
      <w:pPr>
        <w:pStyle w:val="17"/>
        <w:bidi w:val="0"/>
        <w:rPr>
          <w:rFonts w:hint="eastAsia"/>
          <w:lang w:val="en-US" w:eastAsia="zh-CN"/>
        </w:rPr>
      </w:pPr>
      <w:r>
        <w:rPr>
          <w:rFonts w:hint="eastAsia"/>
          <w:lang w:val="en-US" w:eastAsia="zh-CN"/>
        </w:rPr>
        <w:t>坚持预防为主，以基层为重点，中西医并重，秉持大健康、大卫生理念，建立健全政府主导、防治结合的公共卫生安全体系。</w:t>
      </w:r>
    </w:p>
    <w:p>
      <w:pPr>
        <w:keepNext/>
        <w:keepLines/>
        <w:widowControl w:val="0"/>
        <w:bidi w:val="0"/>
        <w:spacing w:before="260" w:after="260" w:line="360" w:lineRule="auto"/>
        <w:ind w:firstLine="0" w:firstLineChars="0"/>
        <w:jc w:val="center"/>
        <w:outlineLvl w:val="1"/>
        <w:rPr>
          <w:rFonts w:hint="default"/>
          <w:lang w:val="en-US" w:eastAsia="zh-CN"/>
        </w:rPr>
      </w:pPr>
      <w:bookmarkStart w:id="83" w:name="_Toc20612"/>
      <w:bookmarkStart w:id="84" w:name="_Toc30230"/>
      <w:r>
        <w:rPr>
          <w:rFonts w:hint="eastAsia" w:ascii="等线 Light" w:hAnsi="等线 Light" w:eastAsia="宋体" w:cs="Times New Roman"/>
          <w:b/>
          <w:bCs/>
          <w:strike w:val="0"/>
          <w:dstrike w:val="0"/>
          <w:kern w:val="2"/>
          <w:sz w:val="32"/>
          <w:szCs w:val="32"/>
          <w:lang w:val="en-US" w:eastAsia="zh-CN" w:bidi="ar-SA"/>
        </w:rPr>
        <w:t>第一节 健全区级疾控体系建设</w:t>
      </w:r>
      <w:bookmarkEnd w:id="83"/>
      <w:bookmarkEnd w:id="84"/>
    </w:p>
    <w:p>
      <w:pPr>
        <w:pStyle w:val="17"/>
        <w:bidi w:val="0"/>
        <w:rPr>
          <w:rFonts w:hint="eastAsia"/>
        </w:rPr>
      </w:pPr>
      <w:r>
        <w:rPr>
          <w:rFonts w:hint="eastAsia"/>
        </w:rPr>
        <w:t>推进武江区疾病预防控制体系建设，建立以区疾控机构为骨干，市疾控中心为依托，基层医疗卫生机构为网底，职能清晰、机制顺畅、上下协同、防治结合的疾病预防控制体系。加强疾病预防控制中心公共卫生风险评估和卫生应急队伍建设，强化监测预警、风险研判、决策管理、检验检测、流行病学调查等现场调查处置能力。</w:t>
      </w:r>
    </w:p>
    <w:p>
      <w:pPr>
        <w:keepNext/>
        <w:keepLines/>
        <w:widowControl w:val="0"/>
        <w:bidi w:val="0"/>
        <w:spacing w:before="260" w:after="260" w:line="360" w:lineRule="auto"/>
        <w:ind w:firstLine="0" w:firstLineChars="0"/>
        <w:jc w:val="center"/>
        <w:outlineLvl w:val="1"/>
        <w:rPr>
          <w:rFonts w:hint="default"/>
          <w:lang w:val="en-US" w:eastAsia="zh-CN"/>
        </w:rPr>
      </w:pPr>
      <w:bookmarkStart w:id="85" w:name="_Toc17159"/>
      <w:bookmarkStart w:id="86" w:name="_Toc13803"/>
      <w:r>
        <w:rPr>
          <w:rFonts w:hint="eastAsia" w:ascii="等线 Light" w:hAnsi="等线 Light" w:eastAsia="宋体" w:cs="Times New Roman"/>
          <w:b/>
          <w:bCs/>
          <w:strike w:val="0"/>
          <w:dstrike w:val="0"/>
          <w:kern w:val="2"/>
          <w:sz w:val="32"/>
          <w:szCs w:val="32"/>
          <w:lang w:val="en-US" w:eastAsia="zh-CN" w:bidi="ar-SA"/>
        </w:rPr>
        <w:t>第二节 推进卫生应急管理体系和能力现代化</w:t>
      </w:r>
      <w:bookmarkEnd w:id="85"/>
      <w:bookmarkEnd w:id="86"/>
    </w:p>
    <w:p>
      <w:pPr>
        <w:pStyle w:val="17"/>
        <w:bidi w:val="0"/>
        <w:rPr>
          <w:rFonts w:hint="eastAsia"/>
          <w:lang w:val="en-US" w:eastAsia="zh-CN"/>
        </w:rPr>
      </w:pPr>
      <w:r>
        <w:rPr>
          <w:rFonts w:hint="eastAsia"/>
          <w:lang w:val="en-US" w:eastAsia="zh-CN"/>
        </w:rPr>
        <w:t>构建统一领导、权责匹配的公共卫生应急管理格局，强化多部门联防联控应对处置工作体系，完善突发公共卫生事件决策议事制度。健全常态化演练机制，开展多模式的卫生应急处置演练。完善公共卫生重大风险研判评估决策及防控协同机制，定期分析形势研判风险，处置重大公共卫生安全问题，提升公共卫生应急治理体系联防联控、群防群控、精准防控的能力。强化应急指挥协调能力，提高应急响应效率。强化流行病学调查、实验室检测等公共卫生应急队伍能力，扩充区级公共卫生应急队伍，开展队伍规范化建设。建立公共卫生机构和医疗机构协同监测机制和病原实验室监测机制，充分发挥基层哨点、发热诊室、发热门诊等作用，做到早发现、早报告、早处置。加强应急物资储备体系建设。</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87" w:name="_Toc29742"/>
      <w:bookmarkStart w:id="88" w:name="_Toc16711"/>
      <w:r>
        <w:rPr>
          <w:rFonts w:hint="eastAsia" w:ascii="等线 Light" w:hAnsi="等线 Light" w:eastAsia="宋体" w:cs="Times New Roman"/>
          <w:b/>
          <w:bCs/>
          <w:strike w:val="0"/>
          <w:dstrike w:val="0"/>
          <w:kern w:val="2"/>
          <w:sz w:val="32"/>
          <w:szCs w:val="32"/>
          <w:lang w:val="en-US" w:eastAsia="zh-CN" w:bidi="ar-SA"/>
        </w:rPr>
        <w:t>第三节 创新医防协同机制</w:t>
      </w:r>
      <w:bookmarkEnd w:id="87"/>
      <w:bookmarkEnd w:id="88"/>
    </w:p>
    <w:p>
      <w:pPr>
        <w:pStyle w:val="17"/>
        <w:bidi w:val="0"/>
        <w:rPr>
          <w:rFonts w:hint="eastAsia"/>
          <w:color w:val="auto"/>
          <w:lang w:val="en-US" w:eastAsia="zh-CN"/>
        </w:rPr>
      </w:pPr>
      <w:r>
        <w:rPr>
          <w:rFonts w:hint="eastAsia"/>
          <w:color w:val="auto"/>
          <w:lang w:val="en-US" w:eastAsia="zh-CN"/>
        </w:rPr>
        <w:t>推进武江区疾病预防控制体系建设，逐步健全以疾病预防控制中心为核心，以医院为监测哨点并提供临床技术支撑，以基层医疗卫生机构为基础的分工协作的疾病管理防治体系。二级以上医疗机构应明确统筹管理公共卫生工作的科室，建立健全公共卫生管理协调机制，做好疾病预防控制工作。创新疾病预防控制机构和城乡社区联动工作机制，建立社区疾病预防控制片区责任制，完善网格化的基层疾病防控网络。以高血压、糖尿病等慢性病和结核病防治管理为突破口，创新医防融合工作模式，加大艾滋病、癌症和严重精神障碍等重大疾病监测和防治力度。加强全科医生队伍建设，为居民提供公共卫生、基本医疗和健康管理相融合的服务。</w:t>
      </w:r>
    </w:p>
    <w:p>
      <w:pPr>
        <w:pStyle w:val="3"/>
        <w:bidi w:val="0"/>
        <w:rPr>
          <w:rFonts w:hint="eastAsia"/>
          <w:strike w:val="0"/>
          <w:dstrike w:val="0"/>
          <w:lang w:val="en-US" w:eastAsia="zh-CN"/>
        </w:rPr>
      </w:pPr>
      <w:bookmarkStart w:id="89" w:name="_Toc27795"/>
      <w:bookmarkStart w:id="90" w:name="_Toc19230"/>
      <w:r>
        <w:rPr>
          <w:rFonts w:hint="eastAsia"/>
          <w:strike w:val="0"/>
          <w:dstrike w:val="0"/>
          <w:lang w:val="en-US" w:eastAsia="zh-CN"/>
        </w:rPr>
        <w:t>第五章 加强医疗卫生服务能力建设</w:t>
      </w:r>
      <w:bookmarkEnd w:id="65"/>
      <w:bookmarkEnd w:id="66"/>
      <w:bookmarkEnd w:id="67"/>
      <w:bookmarkEnd w:id="68"/>
      <w:bookmarkEnd w:id="89"/>
      <w:bookmarkEnd w:id="90"/>
    </w:p>
    <w:p>
      <w:pPr>
        <w:pStyle w:val="17"/>
        <w:bidi w:val="0"/>
        <w:rPr>
          <w:rFonts w:hint="eastAsia"/>
          <w:lang w:val="en-US" w:eastAsia="zh-CN"/>
        </w:rPr>
      </w:pPr>
      <w:r>
        <w:rPr>
          <w:rFonts w:hint="eastAsia"/>
          <w:lang w:val="en-US" w:eastAsia="zh-CN"/>
        </w:rPr>
        <w:t>加强基层医疗服务体系建设，把提高基层医疗卫生综合服务能力作为改革突破口，突出重点、补齐短板，着力加强基层医疗卫生基础设施和服务能力建设。</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91" w:name="_Toc19976"/>
      <w:bookmarkStart w:id="92" w:name="_Toc9351"/>
      <w:r>
        <w:rPr>
          <w:rFonts w:hint="eastAsia" w:ascii="等线 Light" w:hAnsi="等线 Light" w:eastAsia="宋体" w:cs="Times New Roman"/>
          <w:b/>
          <w:bCs/>
          <w:strike w:val="0"/>
          <w:dstrike w:val="0"/>
          <w:kern w:val="2"/>
          <w:sz w:val="32"/>
          <w:szCs w:val="32"/>
          <w:lang w:val="en-US" w:eastAsia="zh-CN" w:bidi="ar-SA"/>
        </w:rPr>
        <w:t>第一节 提高区级医疗卫生服务体系建设</w:t>
      </w:r>
      <w:bookmarkEnd w:id="91"/>
      <w:bookmarkEnd w:id="92"/>
    </w:p>
    <w:p>
      <w:pPr>
        <w:pStyle w:val="17"/>
        <w:bidi w:val="0"/>
        <w:rPr>
          <w:rFonts w:hint="default"/>
          <w:lang w:val="en-US" w:eastAsia="zh-CN"/>
        </w:rPr>
      </w:pPr>
      <w:r>
        <w:rPr>
          <w:rFonts w:hint="eastAsia"/>
          <w:lang w:val="en-US" w:eastAsia="zh-CN"/>
        </w:rPr>
        <w:t>完善区级公共卫生机构。建成区中医院、儿童医院等区级公立医院并投入使用，填补二级公立医院空缺，以公立医院为龙头，对口帮扶基层医疗卫生机构服务能力建设，指导拓展业务范围和提升服务内涵，全面提高全区医疗卫生服务能力，推动基础医疗和基本公共卫生事业一体化发展。</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93" w:name="_Toc6509"/>
      <w:bookmarkStart w:id="94" w:name="_Toc10545"/>
      <w:bookmarkStart w:id="95" w:name="_Toc13471"/>
      <w:r>
        <w:rPr>
          <w:rFonts w:hint="eastAsia" w:ascii="等线 Light" w:hAnsi="等线 Light" w:eastAsia="宋体" w:cs="Times New Roman"/>
          <w:b/>
          <w:bCs/>
          <w:strike w:val="0"/>
          <w:dstrike w:val="0"/>
          <w:kern w:val="2"/>
          <w:sz w:val="32"/>
          <w:szCs w:val="32"/>
          <w:lang w:val="en-US" w:eastAsia="zh-CN" w:bidi="ar-SA"/>
        </w:rPr>
        <w:t>第二节 加强基层医疗卫生服务能力建设</w:t>
      </w:r>
      <w:bookmarkEnd w:id="93"/>
      <w:bookmarkEnd w:id="94"/>
    </w:p>
    <w:bookmarkEnd w:id="95"/>
    <w:p>
      <w:pPr>
        <w:pStyle w:val="17"/>
        <w:bidi w:val="0"/>
        <w:rPr>
          <w:rFonts w:hint="eastAsia"/>
          <w:strike w:val="0"/>
          <w:dstrike w:val="0"/>
          <w:lang w:val="en-US" w:eastAsia="zh-CN"/>
        </w:rPr>
      </w:pPr>
      <w:bookmarkStart w:id="96" w:name="_Toc10397"/>
      <w:r>
        <w:rPr>
          <w:rFonts w:hint="eastAsia"/>
          <w:lang w:val="en-US" w:eastAsia="zh-CN"/>
        </w:rPr>
        <w:t>完成武江区基层公共卫生体系补短板项目建设，推动惠民街道社区卫生服务中心业务大楼建设，积极申报政府专项债券及中央预算资金，多方筹集资金提升基层医疗机构建设，通过基础设施提升、更新医疗设备，改善基层医疗机构就医环境，提高医疗服务能力。强化乡镇卫生院基本医疗服务功能，提升急诊抢救、二级以下常规手术、住院分娩、高危孕产妇筛查、儿科等医疗服务能力；村卫生站在乡镇卫生院的统一管理和指导下，承担行政村范围内人群的基本公共卫生服务和普通常见病、多发病的初级诊治、中医药服务、康复等工作。鼓励二级以上医院的医师到基层医疗卫生机构多点执业、出诊或巡诊，积极探索远程医疗等多种方式，推动优质资源下沉，提高社区医疗服务水平和质量。建立区级医疗质量控制中心，邀请市级三甲医院专家参与现场评价，加强基层医疗机构医疗服务质量和医疗安全管理。建立区级紧急医学救援应急队伍并完善相关管理机制，提升我区应急救援能力。以“优质服务基层行”活动要求为指引，不断强化基层医疗机构内部管理，力争到“十四五”期末，全部基层医疗机构达到国家基本标准，40%的基层医疗机构达到国家推荐标准。</w:t>
      </w:r>
      <w:bookmarkEnd w:id="96"/>
    </w:p>
    <w:p>
      <w:pPr>
        <w:pStyle w:val="3"/>
        <w:bidi w:val="0"/>
        <w:rPr>
          <w:rFonts w:hint="default"/>
          <w:strike w:val="0"/>
          <w:dstrike w:val="0"/>
          <w:lang w:val="en-US" w:eastAsia="zh-CN"/>
        </w:rPr>
      </w:pPr>
      <w:bookmarkStart w:id="97" w:name="_Toc23170"/>
      <w:bookmarkStart w:id="98" w:name="_Toc9679"/>
      <w:bookmarkStart w:id="99" w:name="_Toc30693"/>
      <w:bookmarkStart w:id="100" w:name="_Toc1479"/>
      <w:bookmarkStart w:id="101" w:name="_Toc26562"/>
      <w:bookmarkStart w:id="102" w:name="_Toc22656"/>
      <w:r>
        <w:rPr>
          <w:rFonts w:hint="eastAsia"/>
          <w:strike w:val="0"/>
          <w:dstrike w:val="0"/>
          <w:lang w:val="en-US" w:eastAsia="zh-CN"/>
        </w:rPr>
        <w:t>第六章 推动中医药高质量发展</w:t>
      </w:r>
      <w:bookmarkEnd w:id="97"/>
      <w:bookmarkEnd w:id="98"/>
    </w:p>
    <w:p>
      <w:pPr>
        <w:keepNext/>
        <w:keepLines/>
        <w:widowControl w:val="0"/>
        <w:bidi w:val="0"/>
        <w:spacing w:before="260" w:after="260" w:line="360" w:lineRule="auto"/>
        <w:ind w:firstLine="0" w:firstLineChars="0"/>
        <w:jc w:val="center"/>
        <w:outlineLvl w:val="1"/>
        <w:rPr>
          <w:rStyle w:val="24"/>
          <w:rFonts w:hint="eastAsia"/>
          <w:lang w:val="en-US" w:eastAsia="zh-CN"/>
        </w:rPr>
      </w:pPr>
      <w:bookmarkStart w:id="103" w:name="_Toc3687"/>
      <w:bookmarkStart w:id="104" w:name="_Toc8078"/>
      <w:r>
        <w:rPr>
          <w:rFonts w:hint="eastAsia" w:ascii="等线 Light" w:hAnsi="等线 Light" w:eastAsia="宋体" w:cs="Times New Roman"/>
          <w:b/>
          <w:bCs/>
          <w:strike w:val="0"/>
          <w:dstrike w:val="0"/>
          <w:kern w:val="2"/>
          <w:sz w:val="32"/>
          <w:szCs w:val="32"/>
          <w:lang w:val="en-US" w:eastAsia="zh-CN" w:bidi="ar-SA"/>
        </w:rPr>
        <w:t>第一节 健全中医药服务体系</w:t>
      </w:r>
      <w:bookmarkEnd w:id="103"/>
      <w:bookmarkEnd w:id="104"/>
    </w:p>
    <w:p>
      <w:pPr>
        <w:pStyle w:val="17"/>
        <w:bidi w:val="0"/>
        <w:rPr>
          <w:rFonts w:hint="eastAsia"/>
          <w:lang w:val="en-US" w:eastAsia="zh-CN"/>
        </w:rPr>
      </w:pPr>
      <w:r>
        <w:rPr>
          <w:rFonts w:hint="eastAsia"/>
          <w:lang w:val="en-US" w:eastAsia="zh-CN"/>
        </w:rPr>
        <w:t>加快推进区中医院建设，建立以中医院为龙头，基层医疗卫生机构为基础，各级各类中医医疗机构和其他医疗机构中医科室为骨干，融预防保健、疾病治疗和康养康复于一体的中医药服务体系，提供覆盖全民和全生命周期的中医药服务。调整优化中医医疗资源布局，实施中医药传承与创新工程和基层中医药服务能力建设项目，丰富中医馆服务内涵，加快推进村卫生站中医阁建设。支持社会资本兴办中医诊所，鼓励名老中医创办工作室开班授徒。</w:t>
      </w:r>
    </w:p>
    <w:p>
      <w:pPr>
        <w:keepNext/>
        <w:keepLines/>
        <w:widowControl w:val="0"/>
        <w:bidi w:val="0"/>
        <w:spacing w:before="260" w:after="260" w:line="360" w:lineRule="auto"/>
        <w:ind w:firstLine="0" w:firstLineChars="0"/>
        <w:jc w:val="center"/>
        <w:outlineLvl w:val="1"/>
        <w:rPr>
          <w:rFonts w:hint="eastAsia"/>
          <w:lang w:val="en-US" w:eastAsia="zh-CN"/>
        </w:rPr>
      </w:pPr>
      <w:bookmarkStart w:id="105" w:name="_Toc30007"/>
      <w:bookmarkStart w:id="106" w:name="_Toc10872"/>
      <w:r>
        <w:rPr>
          <w:rFonts w:hint="eastAsia" w:ascii="等线 Light" w:hAnsi="等线 Light" w:eastAsia="宋体" w:cs="Times New Roman"/>
          <w:b/>
          <w:bCs/>
          <w:strike w:val="0"/>
          <w:dstrike w:val="0"/>
          <w:kern w:val="2"/>
          <w:sz w:val="32"/>
          <w:szCs w:val="32"/>
          <w:lang w:val="en-US" w:eastAsia="zh-CN" w:bidi="ar-SA"/>
        </w:rPr>
        <w:t>第二节 提升中医服务能力建设</w:t>
      </w:r>
      <w:bookmarkEnd w:id="105"/>
      <w:bookmarkEnd w:id="106"/>
    </w:p>
    <w:p>
      <w:pPr>
        <w:pStyle w:val="17"/>
        <w:bidi w:val="0"/>
        <w:rPr>
          <w:rFonts w:hint="eastAsia"/>
          <w:lang w:val="en-US" w:eastAsia="zh-CN"/>
        </w:rPr>
      </w:pPr>
      <w:r>
        <w:rPr>
          <w:rFonts w:hint="eastAsia"/>
          <w:lang w:val="en-US" w:eastAsia="zh-CN"/>
        </w:rPr>
        <w:t>加强基层医疗卫生机构中医馆标准化建设，提升中医馆综合服务能力，15%的社区卫生服务中心和乡镇卫生院的中医馆完成服务内涵建设；</w:t>
      </w:r>
      <w:r>
        <w:rPr>
          <w:rFonts w:hint="eastAsia"/>
        </w:rPr>
        <w:t>将中医药健康文化知识</w:t>
      </w:r>
      <w:r>
        <w:rPr>
          <w:rFonts w:hint="eastAsia"/>
          <w:lang w:eastAsia="zh-CN"/>
        </w:rPr>
        <w:t>阵地</w:t>
      </w:r>
      <w:r>
        <w:rPr>
          <w:rFonts w:hint="eastAsia"/>
        </w:rPr>
        <w:t>建设和“治未病”</w:t>
      </w:r>
      <w:r>
        <w:rPr>
          <w:rFonts w:hint="eastAsia"/>
          <w:lang w:eastAsia="zh-CN"/>
        </w:rPr>
        <w:t>理念推广普及</w:t>
      </w:r>
      <w:r>
        <w:rPr>
          <w:rFonts w:hint="eastAsia"/>
        </w:rPr>
        <w:t>工作有机结合起来</w:t>
      </w:r>
      <w:r>
        <w:rPr>
          <w:rFonts w:hint="eastAsia"/>
          <w:lang w:eastAsia="zh-CN"/>
        </w:rPr>
        <w:t>，鼓励家庭医生提供中医治未病签约服务；加强中医人才引进和培养力度，到</w:t>
      </w:r>
      <w:r>
        <w:rPr>
          <w:rFonts w:hint="eastAsia"/>
          <w:lang w:val="en-US" w:eastAsia="zh-CN"/>
        </w:rPr>
        <w:t>2025年</w:t>
      </w:r>
      <w:r>
        <w:rPr>
          <w:rFonts w:hint="eastAsia"/>
        </w:rPr>
        <w:t>，</w:t>
      </w:r>
      <w:r>
        <w:rPr>
          <w:rFonts w:hint="eastAsia"/>
          <w:lang w:val="en-US" w:eastAsia="zh-CN"/>
        </w:rPr>
        <w:t>基层医疗机构中医类别医师占同类机构医师总数比例达到25%以上。</w:t>
      </w:r>
    </w:p>
    <w:p>
      <w:pPr>
        <w:keepNext/>
        <w:keepLines/>
        <w:widowControl w:val="0"/>
        <w:bidi w:val="0"/>
        <w:spacing w:before="260" w:after="260" w:line="360" w:lineRule="auto"/>
        <w:ind w:firstLine="0" w:firstLineChars="0"/>
        <w:jc w:val="center"/>
        <w:outlineLvl w:val="1"/>
        <w:rPr>
          <w:rFonts w:hint="eastAsia"/>
          <w:lang w:val="en-US" w:eastAsia="zh-CN"/>
        </w:rPr>
      </w:pPr>
      <w:bookmarkStart w:id="107" w:name="_Toc13947"/>
      <w:bookmarkStart w:id="108" w:name="_Toc6007"/>
      <w:r>
        <w:rPr>
          <w:rFonts w:hint="eastAsia" w:ascii="等线 Light" w:hAnsi="等线 Light" w:eastAsia="宋体" w:cs="Times New Roman"/>
          <w:b/>
          <w:bCs/>
          <w:strike w:val="0"/>
          <w:dstrike w:val="0"/>
          <w:kern w:val="2"/>
          <w:sz w:val="32"/>
          <w:szCs w:val="32"/>
          <w:lang w:val="en-US" w:eastAsia="zh-CN" w:bidi="ar-SA"/>
        </w:rPr>
        <w:t>第三节 拓展中医药服务内容和比重</w:t>
      </w:r>
      <w:bookmarkEnd w:id="107"/>
      <w:bookmarkEnd w:id="108"/>
    </w:p>
    <w:p>
      <w:pPr>
        <w:pStyle w:val="17"/>
        <w:bidi w:val="0"/>
        <w:rPr>
          <w:rFonts w:hint="eastAsia"/>
          <w:lang w:val="en-US" w:eastAsia="zh-CN"/>
        </w:rPr>
      </w:pPr>
      <w:r>
        <w:rPr>
          <w:rFonts w:hint="eastAsia"/>
          <w:lang w:val="en-US" w:eastAsia="zh-CN"/>
        </w:rPr>
        <w:t>充分发挥中医特色和优势，加强中医重点专科建设，提升重大和疑难疾病临床诊疗水平，推广基层医疗卫生机构中医药适宜技术。</w:t>
      </w:r>
      <w:r>
        <w:rPr>
          <w:rFonts w:hint="eastAsia"/>
          <w:lang w:eastAsia="zh-CN"/>
        </w:rPr>
        <w:t>坚持中西医并重，推动中医药和西医药相互补充、协调发展，促进传统医学与现代医学相互融合，充分利用先进的医疗设备、精准的医疗技术，真正实现“中医特色优势</w:t>
      </w:r>
      <w:r>
        <w:rPr>
          <w:rFonts w:hint="eastAsia"/>
          <w:lang w:val="en-US" w:eastAsia="zh-CN"/>
        </w:rPr>
        <w:t>+现代医疗技术</w:t>
      </w:r>
      <w:r>
        <w:rPr>
          <w:rFonts w:hint="eastAsia"/>
          <w:lang w:eastAsia="zh-CN"/>
        </w:rPr>
        <w:t>”医疗模式。</w:t>
      </w:r>
      <w:r>
        <w:rPr>
          <w:rFonts w:hint="eastAsia"/>
          <w:lang w:val="en-US" w:eastAsia="zh-CN"/>
        </w:rPr>
        <w:t>力争2025年中医诊疗人次占基层医疗卫生机构总诊疗量的30%以上，中医药医疗收入占总收入的25%以上。</w:t>
      </w:r>
    </w:p>
    <w:p>
      <w:pPr>
        <w:pStyle w:val="3"/>
        <w:bidi w:val="0"/>
        <w:rPr>
          <w:rFonts w:hint="default"/>
          <w:strike w:val="0"/>
          <w:dstrike w:val="0"/>
          <w:lang w:val="en-US" w:eastAsia="zh-CN"/>
        </w:rPr>
      </w:pPr>
      <w:bookmarkStart w:id="109" w:name="_Toc5012"/>
      <w:bookmarkStart w:id="110" w:name="_Toc19236"/>
      <w:r>
        <w:rPr>
          <w:rFonts w:hint="eastAsia"/>
          <w:strike w:val="0"/>
          <w:dstrike w:val="0"/>
          <w:lang w:val="en-US" w:eastAsia="zh-CN"/>
        </w:rPr>
        <w:t>第七章 深化医药卫生体制改革</w:t>
      </w:r>
      <w:bookmarkEnd w:id="109"/>
      <w:bookmarkEnd w:id="110"/>
    </w:p>
    <w:p>
      <w:pPr>
        <w:pStyle w:val="17"/>
        <w:bidi w:val="0"/>
        <w:rPr>
          <w:rFonts w:hint="eastAsia"/>
          <w:lang w:val="en-US" w:eastAsia="zh-CN"/>
        </w:rPr>
      </w:pPr>
      <w:r>
        <w:rPr>
          <w:rFonts w:hint="eastAsia"/>
          <w:lang w:val="en-US" w:eastAsia="zh-CN"/>
        </w:rPr>
        <w:t>坚持以人民健康为中心，加快建成覆盖全民、城乡统筹、权责清晰、保障适度、可持续的多层次医疗保障体系，完善政策、健全机制、提升服务，增强医疗保障的公平性、协调性，推进医疗保障和医药服务高质量协同发展，促进健康武江战略实施，使人民群众有更多获得感、幸福感、安全感。</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11" w:name="_Toc26169"/>
      <w:bookmarkStart w:id="112" w:name="_Toc479"/>
      <w:r>
        <w:rPr>
          <w:rFonts w:hint="eastAsia" w:ascii="等线 Light" w:hAnsi="等线 Light" w:eastAsia="宋体" w:cs="Times New Roman"/>
          <w:b/>
          <w:bCs/>
          <w:strike w:val="0"/>
          <w:dstrike w:val="0"/>
          <w:kern w:val="2"/>
          <w:sz w:val="32"/>
          <w:szCs w:val="32"/>
          <w:lang w:val="en-US" w:eastAsia="zh-CN" w:bidi="ar-SA"/>
        </w:rPr>
        <w:t>第一节 推进分级诊疗制度建设</w:t>
      </w:r>
      <w:bookmarkEnd w:id="111"/>
      <w:bookmarkEnd w:id="112"/>
    </w:p>
    <w:p>
      <w:pPr>
        <w:pStyle w:val="17"/>
        <w:bidi w:val="0"/>
        <w:rPr>
          <w:rFonts w:hint="eastAsia"/>
          <w:lang w:val="en-US" w:eastAsia="zh-CN"/>
        </w:rPr>
      </w:pPr>
      <w:r>
        <w:rPr>
          <w:rFonts w:hint="eastAsia"/>
          <w:lang w:val="en-US" w:eastAsia="zh-CN"/>
        </w:rPr>
        <w:t>全面实施家庭医生签约服务制度，推进基层医疗机构首诊和双向转诊，逐步完善分级诊疗保障机制。纵向整合全区医疗资源，建立“治疗—康复—长期护理”服务链，建立利益共享工作机制，健全分级诊疗配套制度，解决好“双诊变单诊”问题，形成“基层首诊、双向转诊、上下联动，急慢分治”的合理就医秩序。</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color w:val="auto"/>
          <w:kern w:val="2"/>
          <w:sz w:val="32"/>
          <w:szCs w:val="32"/>
          <w:lang w:val="en-US" w:eastAsia="zh-CN" w:bidi="ar-SA"/>
        </w:rPr>
      </w:pPr>
      <w:bookmarkStart w:id="113" w:name="_Toc19274"/>
      <w:bookmarkStart w:id="114" w:name="_Toc15124"/>
      <w:r>
        <w:rPr>
          <w:rFonts w:hint="eastAsia" w:ascii="等线 Light" w:hAnsi="等线 Light" w:eastAsia="宋体" w:cs="Times New Roman"/>
          <w:b/>
          <w:bCs/>
          <w:strike w:val="0"/>
          <w:dstrike w:val="0"/>
          <w:color w:val="auto"/>
          <w:kern w:val="2"/>
          <w:sz w:val="32"/>
          <w:szCs w:val="32"/>
          <w:lang w:val="en-US" w:eastAsia="zh-CN" w:bidi="ar-SA"/>
        </w:rPr>
        <w:t>第二节 完善医疗保障制度</w:t>
      </w:r>
      <w:bookmarkEnd w:id="113"/>
      <w:bookmarkEnd w:id="114"/>
    </w:p>
    <w:p>
      <w:pPr>
        <w:pStyle w:val="17"/>
        <w:bidi w:val="0"/>
        <w:rPr>
          <w:rFonts w:hint="eastAsia"/>
          <w:color w:val="auto"/>
          <w:lang w:val="en-US" w:eastAsia="zh-CN"/>
        </w:rPr>
      </w:pPr>
      <w:r>
        <w:rPr>
          <w:rFonts w:hint="eastAsia"/>
          <w:color w:val="auto"/>
          <w:lang w:val="en-US" w:eastAsia="zh-CN"/>
        </w:rPr>
        <w:t>加快建成覆盖全民、城乡统筹、全责清晰、保障适度、可持续的多层次医疗保障体系。推进医保即时结算终端服务延伸至村卫生站，方便参保人员实现就近就医、即时报销。不断完善异地就医结算制度，推进医疗救助等项目纳入异地就医“一站式”结算，提高结算效率。简化异地就医备案流程，推动异地就医备案上线“粤省事”等APP。协助推进支付方式改革，实施以DIP支付方式为主的医保基金支付新机制。加强医保基金监管能力建设，完善创新医保基金监管方式。到2025年，医疗保障制度更加成熟定型，基本完成待遇保障、筹资运行、医保支付、基金监管等重要机制和医药服务供给、医保管理服务等关键领域的改革任务。</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color w:val="auto"/>
          <w:kern w:val="2"/>
          <w:sz w:val="32"/>
          <w:szCs w:val="32"/>
          <w:lang w:val="en-US" w:eastAsia="zh-CN" w:bidi="ar-SA"/>
        </w:rPr>
      </w:pPr>
      <w:bookmarkStart w:id="115" w:name="_Toc26457"/>
      <w:bookmarkStart w:id="116" w:name="_Toc15765"/>
      <w:r>
        <w:rPr>
          <w:rFonts w:hint="eastAsia" w:ascii="等线 Light" w:hAnsi="等线 Light" w:eastAsia="宋体" w:cs="Times New Roman"/>
          <w:b/>
          <w:bCs/>
          <w:strike w:val="0"/>
          <w:dstrike w:val="0"/>
          <w:color w:val="auto"/>
          <w:kern w:val="2"/>
          <w:sz w:val="32"/>
          <w:szCs w:val="32"/>
          <w:lang w:val="en-US" w:eastAsia="zh-CN" w:bidi="ar-SA"/>
        </w:rPr>
        <w:t>第三节 完善药品供应保障制</w:t>
      </w:r>
      <w:bookmarkEnd w:id="115"/>
      <w:bookmarkEnd w:id="116"/>
    </w:p>
    <w:p>
      <w:pPr>
        <w:pStyle w:val="17"/>
        <w:bidi w:val="0"/>
        <w:rPr>
          <w:rFonts w:hint="eastAsia"/>
          <w:color w:val="auto"/>
          <w:lang w:val="en-US" w:eastAsia="zh-CN"/>
        </w:rPr>
      </w:pPr>
      <w:r>
        <w:rPr>
          <w:rFonts w:hint="eastAsia"/>
          <w:color w:val="auto"/>
          <w:lang w:val="en-US" w:eastAsia="zh-CN"/>
        </w:rPr>
        <w:t>加强药品耗材流通使用管理。持续推动药品集中采购改革，认真贯彻落实国家组织的药品耗材采购和使用工作，统一组织公立医疗机构开展药品耗材采购，倡导社会办医疗机构自愿参加。按照“保障供应，质优价廉”原则，落实药品耗材集中带量采购，切实降低药品采购价格。将医疗机构执行国家组织药品和耗材集中采购使用情况纳入年度考核评价体系。完善医保支付标准与集中采购协同机制，制定集中采购的药品、医用耗材中选和非中选品种的医保支付标准，所有定点医疗机构执行统一的医保支付标准。落实基本药物制度，各级医疗机构每年度定期调整优化用药目录，优先配备使用国家基本药物。鼓励城市医疗集团等建立药品联动管理机制，促进上下级用药衔接。实行重点药品监控，落实重点药品耗材监控机制，对重点监控药品目录内的药品实行每月监测预警、干预处理及公示公告等。落实国家医保谈判药品“双通道”管理机制，落实定点医疗机构配备国家医保谈判药品特别是抗癌药品等，保障群众用药需求。落实短缺药品联动会商工作制度，完善短缺药品监测预警和分级应对机制，开展短缺药品分类储备。</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17" w:name="_Toc9692"/>
      <w:bookmarkStart w:id="118" w:name="_Toc6337"/>
      <w:r>
        <w:rPr>
          <w:rFonts w:hint="eastAsia" w:ascii="等线 Light" w:hAnsi="等线 Light" w:eastAsia="宋体" w:cs="Times New Roman"/>
          <w:b/>
          <w:bCs/>
          <w:strike w:val="0"/>
          <w:dstrike w:val="0"/>
          <w:kern w:val="2"/>
          <w:sz w:val="32"/>
          <w:szCs w:val="32"/>
          <w:lang w:val="en-US" w:eastAsia="zh-CN" w:bidi="ar-SA"/>
        </w:rPr>
        <w:t>第四节 建立严格规范的综合监管制度</w:t>
      </w:r>
      <w:bookmarkEnd w:id="117"/>
      <w:bookmarkEnd w:id="118"/>
    </w:p>
    <w:p>
      <w:pPr>
        <w:pStyle w:val="17"/>
        <w:bidi w:val="0"/>
        <w:rPr>
          <w:rFonts w:hint="eastAsia"/>
          <w:lang w:val="en-US" w:eastAsia="zh-CN"/>
        </w:rPr>
      </w:pPr>
      <w:r>
        <w:rPr>
          <w:rFonts w:hint="eastAsia"/>
          <w:lang w:val="en-US" w:eastAsia="zh-CN"/>
        </w:rPr>
        <w:t>深化医药卫生领域“放管服”改革，更加注重加强事中事后监管。完善政府监管主导、第三方广泛参与、医疗卫生机构自我管理和社会监督为补充的多元化综合监管体系。加强医保基金运行监管，提高基金使用效率；全面推广医保智能监控，逐步实现对门诊、住院、购药等各类医疗服务行为的全面、及时、高效监控；建立健全医保与医疗机构、医药机构的谈判协商和风险共担机制。加强药品生产、销售全程监管，建立完善药品信息追溯体系，形成全品种、全过程完整追溯与监管链条。推动医疗、医保、医药考核评价由政府主导逐步向独立第三方评价转变。</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19" w:name="_Toc22532"/>
      <w:bookmarkStart w:id="120" w:name="_Toc28690"/>
      <w:r>
        <w:rPr>
          <w:rFonts w:hint="eastAsia" w:ascii="等线 Light" w:hAnsi="等线 Light" w:eastAsia="宋体" w:cs="Times New Roman"/>
          <w:b/>
          <w:bCs/>
          <w:strike w:val="0"/>
          <w:dstrike w:val="0"/>
          <w:kern w:val="2"/>
          <w:sz w:val="32"/>
          <w:szCs w:val="32"/>
          <w:lang w:val="en-US" w:eastAsia="zh-CN" w:bidi="ar-SA"/>
        </w:rPr>
        <w:t>第五节 深化人事薪酬制度改革</w:t>
      </w:r>
      <w:bookmarkEnd w:id="119"/>
      <w:bookmarkEnd w:id="120"/>
    </w:p>
    <w:p>
      <w:pPr>
        <w:pStyle w:val="17"/>
        <w:bidi w:val="0"/>
        <w:rPr>
          <w:rFonts w:hint="eastAsia"/>
          <w:lang w:val="en-US" w:eastAsia="zh-CN"/>
        </w:rPr>
      </w:pPr>
      <w:r>
        <w:rPr>
          <w:rFonts w:hint="eastAsia"/>
          <w:lang w:val="en-US" w:eastAsia="zh-CN"/>
        </w:rPr>
        <w:t>探索谋划公立医院医疗服务收入与薪酬制度衔接等政策。制定公立医院主要负责人绩效考核评价办法，落实“两个允许”（允许医疗卫生机构突破现行事业单位工资调控水平，允许医疗服务收入扣除成本并按规定提取各项基金后主要用于人员奖励）要求，在确保收支平衡的基础上，动态调整公立医院薪酬水平。在核定的薪酬总量内，允许医院自主设立薪酬项目，逐步建立主要体现岗位职责的薪酬体系。优化公立医院岗位设置，深化竞聘上岗机制。</w:t>
      </w:r>
    </w:p>
    <w:p>
      <w:pPr>
        <w:pStyle w:val="3"/>
        <w:bidi w:val="0"/>
        <w:rPr>
          <w:rFonts w:hint="default"/>
          <w:strike w:val="0"/>
          <w:dstrike w:val="0"/>
          <w:lang w:val="en-US" w:eastAsia="zh-CN"/>
        </w:rPr>
      </w:pPr>
      <w:bookmarkStart w:id="121" w:name="_Toc20769"/>
      <w:bookmarkStart w:id="122" w:name="_Toc13072"/>
      <w:r>
        <w:rPr>
          <w:rFonts w:hint="eastAsia"/>
          <w:strike w:val="0"/>
          <w:dstrike w:val="0"/>
          <w:lang w:val="en-US" w:eastAsia="zh-CN"/>
        </w:rPr>
        <w:t>第八章 促进人口均衡发展</w:t>
      </w:r>
      <w:bookmarkEnd w:id="121"/>
      <w:bookmarkEnd w:id="122"/>
    </w:p>
    <w:p>
      <w:pPr>
        <w:keepNext/>
        <w:keepLines/>
        <w:widowControl w:val="0"/>
        <w:bidi w:val="0"/>
        <w:spacing w:before="260" w:after="260" w:line="360" w:lineRule="auto"/>
        <w:ind w:firstLine="0" w:firstLineChars="0"/>
        <w:jc w:val="center"/>
        <w:outlineLvl w:val="1"/>
        <w:rPr>
          <w:rFonts w:hint="default" w:ascii="等线 Light" w:hAnsi="等线 Light" w:eastAsia="宋体" w:cs="Times New Roman"/>
          <w:b/>
          <w:bCs/>
          <w:strike w:val="0"/>
          <w:dstrike w:val="0"/>
          <w:kern w:val="2"/>
          <w:sz w:val="32"/>
          <w:szCs w:val="32"/>
          <w:lang w:val="en-US" w:eastAsia="zh-CN" w:bidi="ar-SA"/>
        </w:rPr>
      </w:pPr>
      <w:bookmarkStart w:id="123" w:name="_Toc30175"/>
      <w:bookmarkStart w:id="124" w:name="_Toc15376"/>
      <w:r>
        <w:rPr>
          <w:rFonts w:hint="default" w:ascii="等线 Light" w:hAnsi="等线 Light" w:eastAsia="宋体" w:cs="Times New Roman"/>
          <w:b/>
          <w:bCs/>
          <w:strike w:val="0"/>
          <w:dstrike w:val="0"/>
          <w:kern w:val="2"/>
          <w:sz w:val="32"/>
          <w:szCs w:val="32"/>
          <w:lang w:val="en-US" w:eastAsia="zh-CN" w:bidi="ar-SA"/>
        </w:rPr>
        <w:t>第</w:t>
      </w:r>
      <w:r>
        <w:rPr>
          <w:rFonts w:hint="eastAsia" w:ascii="等线 Light" w:hAnsi="等线 Light" w:eastAsia="宋体" w:cs="Times New Roman"/>
          <w:b/>
          <w:bCs/>
          <w:strike w:val="0"/>
          <w:dstrike w:val="0"/>
          <w:kern w:val="2"/>
          <w:sz w:val="32"/>
          <w:szCs w:val="32"/>
          <w:lang w:val="en-US" w:eastAsia="zh-CN" w:bidi="ar-SA"/>
        </w:rPr>
        <w:t>一</w:t>
      </w:r>
      <w:r>
        <w:rPr>
          <w:rFonts w:hint="default" w:ascii="等线 Light" w:hAnsi="等线 Light" w:eastAsia="宋体" w:cs="Times New Roman"/>
          <w:b/>
          <w:bCs/>
          <w:strike w:val="0"/>
          <w:dstrike w:val="0"/>
          <w:kern w:val="2"/>
          <w:sz w:val="32"/>
          <w:szCs w:val="32"/>
          <w:lang w:val="en-US" w:eastAsia="zh-CN" w:bidi="ar-SA"/>
        </w:rPr>
        <w:t>节 强化生育政策配套衔接</w:t>
      </w:r>
      <w:bookmarkEnd w:id="123"/>
      <w:bookmarkEnd w:id="124"/>
    </w:p>
    <w:p>
      <w:pPr>
        <w:pStyle w:val="17"/>
        <w:bidi w:val="0"/>
        <w:rPr>
          <w:rFonts w:hint="eastAsia"/>
          <w:lang w:val="en-US" w:eastAsia="zh-CN"/>
        </w:rPr>
      </w:pPr>
      <w:r>
        <w:rPr>
          <w:rFonts w:hint="eastAsia"/>
          <w:lang w:val="en-US" w:eastAsia="zh-CN"/>
        </w:rPr>
        <w:t>严格执行新修订的《广东省人口与计划生育条例》，提倡适龄婚育、优生优育。落实取消社会抚养费、清理和废止相关处罚规定，配套实施积极生育支持措施，将入户、入学、入职等与个人生育情况全面脱钩。推进落实生育子女女方奖励假、配偶陪产假、独生子女父母护理假、父母育儿假等制度。鼓励用人单位为孕期和哺乳期妇女提供灵活的工作方式及必要的便利条件。加强人口监测，健全基层人口监测队伍，做好全员人口信息收集、录入、更新等工作，推进生育登记、孕产期保健、住院分娩、出生医学证明、儿童预防接种、居民健康档案等信息共享，提高全员人口库数据质量。跟踪监测生育形势和人口变动趋势，开展人口形势分析。优化生育服务措施，全面破解当前群众办理新生儿预防接种证、出生医学证明、入户登记、医保参保、社保卡申领需分别办理的现状，简化审批流程，推动户口登记、医保参保、社保卡申领等“出生一件事”联办。</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25" w:name="_Toc10592"/>
      <w:bookmarkStart w:id="126" w:name="_Toc5710"/>
      <w:r>
        <w:rPr>
          <w:rFonts w:hint="eastAsia" w:ascii="等线 Light" w:hAnsi="等线 Light" w:eastAsia="宋体" w:cs="Times New Roman"/>
          <w:b/>
          <w:bCs/>
          <w:strike w:val="0"/>
          <w:dstrike w:val="0"/>
          <w:kern w:val="2"/>
          <w:sz w:val="32"/>
          <w:szCs w:val="32"/>
          <w:lang w:val="en-US" w:eastAsia="zh-CN" w:bidi="ar-SA"/>
        </w:rPr>
        <w:t>第二节 完善计划生育服务能力</w:t>
      </w:r>
      <w:bookmarkEnd w:id="125"/>
      <w:bookmarkEnd w:id="126"/>
    </w:p>
    <w:p>
      <w:pPr>
        <w:pStyle w:val="17"/>
        <w:bidi w:val="0"/>
        <w:rPr>
          <w:rFonts w:hint="eastAsia"/>
          <w:lang w:val="en-US" w:eastAsia="zh-CN"/>
        </w:rPr>
      </w:pPr>
      <w:r>
        <w:rPr>
          <w:rStyle w:val="24"/>
          <w:rFonts w:hint="eastAsia"/>
          <w:b/>
          <w:bCs w:val="0"/>
          <w:lang w:val="en-US" w:eastAsia="zh-CN"/>
        </w:rPr>
        <w:t>（一）完善计划生育服务管理。</w:t>
      </w:r>
      <w:r>
        <w:rPr>
          <w:rFonts w:hint="eastAsia"/>
          <w:lang w:val="en-US" w:eastAsia="zh-CN"/>
        </w:rPr>
        <w:t>实行生育登记制度，全面推行网上办理，落实首接责任、一站式服务和承诺制，进一步简政便民。推动广东省全员人口信息系统和广东省妇幼健康信息平台进行信息共享，实现对高危人群的精准筛查，并按病情严重程度进行转诊及分级分类管理，到相应资质的助产机构进行再生育能力评估，从源头上降低不良生育率。</w:t>
      </w:r>
    </w:p>
    <w:p>
      <w:pPr>
        <w:pStyle w:val="17"/>
        <w:bidi w:val="0"/>
        <w:rPr>
          <w:rFonts w:hint="eastAsia"/>
          <w:lang w:val="en-US" w:eastAsia="zh-CN"/>
        </w:rPr>
      </w:pPr>
      <w:r>
        <w:rPr>
          <w:rStyle w:val="24"/>
          <w:rFonts w:hint="eastAsia"/>
          <w:b/>
          <w:bCs w:val="0"/>
          <w:lang w:val="en-US" w:eastAsia="zh-CN"/>
        </w:rPr>
        <w:t>（二）保障计划生育家庭权益。</w:t>
      </w:r>
      <w:r>
        <w:rPr>
          <w:rFonts w:hint="eastAsia"/>
          <w:lang w:val="en-US" w:eastAsia="zh-CN"/>
        </w:rPr>
        <w:t>对全面两孩政策调整前的独生子女家庭和农村计划生育双女家庭，继续实行现行各项奖励扶助制度和优惠政策。健全计划生育特殊家庭全方位帮扶保障制度，动态调整特别扶助制度扶助标准。构建“双岗”联系人制度，积极推进就医绿色通道和家庭医生签约等服务，扎牢织密帮扶安全网。深入开展“暖心行动”，为特殊家庭提供生活照料和精神慰藉等服务。</w:t>
      </w:r>
    </w:p>
    <w:p>
      <w:pPr>
        <w:pStyle w:val="17"/>
        <w:bidi w:val="0"/>
        <w:rPr>
          <w:rFonts w:hint="eastAsia"/>
          <w:lang w:val="en-US" w:eastAsia="zh-CN"/>
        </w:rPr>
      </w:pPr>
      <w:r>
        <w:rPr>
          <w:rStyle w:val="24"/>
          <w:rFonts w:hint="eastAsia"/>
          <w:b/>
          <w:bCs w:val="0"/>
          <w:lang w:val="en-US" w:eastAsia="zh-CN"/>
        </w:rPr>
        <w:t>（三）促进普惠托育服务发展。</w:t>
      </w:r>
      <w:r>
        <w:rPr>
          <w:rFonts w:hint="eastAsia"/>
          <w:lang w:val="en-US" w:eastAsia="zh-CN"/>
        </w:rPr>
        <w:t>开展“十四五”公办托育服务能力建设和普惠托育服务专项行动，支持社会力量发展社区托育服务设施和综合托育服务机构，支持幼儿园开设托班。积极开展有带动效应、可承担一定指导功能的示范性婴幼儿照护服务机构创建活动，加大对社区和农村地区婴幼儿照护服务的支持力度。支持社会力量发展普惠婴幼儿照护服务，重点推进承担一定指导功能的示范性婴幼儿照护服务机构建设，支持用人单位提供福利性婴幼儿照护服务。建立科学育儿指导团队，为家长婴幼儿照护提供科学照护指导和相关知识培训，促进婴幼儿在身体发育、动作、语言、认知、情感与社会性等方面全面发展，增强家庭科学育儿能力。加强婴幼儿健康管理，积极做好基本公共卫生服务、妇幼保健、预防免疫接种工作，促进婴幼儿照护服务健康发展。到2025年，每千人常住人口托位数达到5.5个以上，婴幼儿照护服务能力明显提升。</w:t>
      </w:r>
    </w:p>
    <w:p>
      <w:pPr>
        <w:pStyle w:val="3"/>
        <w:bidi w:val="0"/>
        <w:rPr>
          <w:rFonts w:hint="default"/>
          <w:strike w:val="0"/>
          <w:dstrike w:val="0"/>
          <w:lang w:val="en-US" w:eastAsia="zh-CN"/>
        </w:rPr>
      </w:pPr>
      <w:bookmarkStart w:id="127" w:name="_Toc3164"/>
      <w:r>
        <w:rPr>
          <w:rFonts w:hint="eastAsia"/>
          <w:strike w:val="0"/>
          <w:dstrike w:val="0"/>
          <w:lang w:val="en-US" w:eastAsia="zh-CN"/>
        </w:rPr>
        <w:t>第九章 积极发展健康服务业</w:t>
      </w:r>
      <w:bookmarkEnd w:id="127"/>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28" w:name="_Toc11853"/>
      <w:r>
        <w:rPr>
          <w:rFonts w:hint="eastAsia" w:ascii="等线 Light" w:hAnsi="等线 Light" w:eastAsia="宋体" w:cs="Times New Roman"/>
          <w:b/>
          <w:bCs/>
          <w:strike w:val="0"/>
          <w:dstrike w:val="0"/>
          <w:kern w:val="2"/>
          <w:sz w:val="32"/>
          <w:szCs w:val="32"/>
          <w:lang w:val="en-US" w:eastAsia="zh-CN" w:bidi="ar-SA"/>
        </w:rPr>
        <w:t>第一节 鼓励社会办医</w:t>
      </w:r>
      <w:bookmarkEnd w:id="128"/>
    </w:p>
    <w:p>
      <w:pPr>
        <w:pStyle w:val="17"/>
        <w:bidi w:val="0"/>
        <w:rPr>
          <w:rFonts w:hint="eastAsia"/>
          <w:lang w:val="en-US" w:eastAsia="zh-CN"/>
        </w:rPr>
      </w:pPr>
      <w:r>
        <w:rPr>
          <w:rFonts w:hint="eastAsia"/>
          <w:lang w:val="en-US" w:eastAsia="zh-CN"/>
        </w:rPr>
        <w:t>支持社会力量投资医疗事业，鼓励社会资本在康复、老年病、临终关怀等资源紧缺领域举办医疗机构。引进社会办机构建设高水平的医学检验、病理诊断、医学影像、消毒供应、血液净化、安宁疗护等第三方服务。支持公立医院和社会办医院按照平等自愿原则组建专科联盟，提升医疗服务水平。加大政府支持社会办医力度，推进“放管服”改革，指导民营医院严格依法依规执业，促进卫生健康事业规范化发展。</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29" w:name="_Toc23966"/>
      <w:r>
        <w:rPr>
          <w:rFonts w:hint="eastAsia" w:ascii="等线 Light" w:hAnsi="等线 Light" w:eastAsia="宋体" w:cs="Times New Roman"/>
          <w:b/>
          <w:bCs/>
          <w:strike w:val="0"/>
          <w:dstrike w:val="0"/>
          <w:kern w:val="2"/>
          <w:sz w:val="32"/>
          <w:szCs w:val="32"/>
          <w:lang w:val="en-US" w:eastAsia="zh-CN" w:bidi="ar-SA"/>
        </w:rPr>
        <w:t>第二节 推进医养结合工作</w:t>
      </w:r>
      <w:bookmarkEnd w:id="129"/>
    </w:p>
    <w:p>
      <w:pPr>
        <w:pStyle w:val="17"/>
        <w:bidi w:val="0"/>
        <w:rPr>
          <w:rFonts w:hint="eastAsia"/>
          <w:lang w:val="en-US" w:eastAsia="zh-CN"/>
        </w:rPr>
      </w:pPr>
      <w:r>
        <w:rPr>
          <w:rFonts w:hint="eastAsia"/>
          <w:lang w:val="en-US" w:eastAsia="zh-CN"/>
        </w:rPr>
        <w:t>推广“医疗机构+养老机构”“医疗机构+社区+居家养老”等发展模式，打造一批特色康养机构，促进医疗资源与养老服务衔接。鼓励二级以上医院安排一定数量床位用于医养结合、康养服务。实施医养结合机构服务质量提升工程，形成具有地方特色、可复制可推广的经验做法，建立健全中医医疗、护理、养老、康复四位一体的新型养老模式。支持民营医养结合机构发展。</w:t>
      </w:r>
    </w:p>
    <w:p>
      <w:pPr>
        <w:keepNext/>
        <w:keepLines/>
        <w:widowControl w:val="0"/>
        <w:bidi w:val="0"/>
        <w:spacing w:before="260" w:after="260" w:line="360" w:lineRule="auto"/>
        <w:ind w:firstLine="0" w:firstLineChars="0"/>
        <w:jc w:val="center"/>
        <w:outlineLvl w:val="1"/>
        <w:rPr>
          <w:rFonts w:hint="eastAsia" w:ascii="等线 Light" w:hAnsi="等线 Light" w:eastAsia="宋体" w:cs="Times New Roman"/>
          <w:b/>
          <w:bCs/>
          <w:strike w:val="0"/>
          <w:dstrike w:val="0"/>
          <w:kern w:val="2"/>
          <w:sz w:val="32"/>
          <w:szCs w:val="32"/>
          <w:lang w:val="en-US" w:eastAsia="zh-CN" w:bidi="ar-SA"/>
        </w:rPr>
      </w:pPr>
      <w:bookmarkStart w:id="130" w:name="_Toc27633"/>
      <w:r>
        <w:rPr>
          <w:rFonts w:hint="eastAsia" w:ascii="等线 Light" w:hAnsi="等线 Light" w:eastAsia="宋体" w:cs="Times New Roman"/>
          <w:b/>
          <w:bCs/>
          <w:strike w:val="0"/>
          <w:dstrike w:val="0"/>
          <w:kern w:val="2"/>
          <w:sz w:val="32"/>
          <w:szCs w:val="32"/>
          <w:lang w:val="en-US" w:eastAsia="zh-CN" w:bidi="ar-SA"/>
        </w:rPr>
        <w:t>第三节 发展多样化健康服务</w:t>
      </w:r>
      <w:bookmarkEnd w:id="130"/>
    </w:p>
    <w:p>
      <w:pPr>
        <w:pStyle w:val="17"/>
        <w:bidi w:val="0"/>
        <w:rPr>
          <w:rFonts w:hint="eastAsia"/>
          <w:lang w:val="en-US" w:eastAsia="zh-CN"/>
        </w:rPr>
      </w:pPr>
      <w:r>
        <w:rPr>
          <w:rFonts w:hint="eastAsia"/>
          <w:lang w:val="en-US" w:eastAsia="zh-CN"/>
        </w:rPr>
        <w:t>加大招商引资力度，培育健康文化和旅游产业，促进健康体检、咨询指导、健康干预、健康管理等服务规范发展。推进跨界融合创新发展，加强中医药、健康养生、康养产业与旅游、乡村振兴深度融合，创建一批健康养生产业园、健康小镇和养生旅游基地，建设特色鲜明的中医药康养旅游示范区。鼓励发展多种形式的“互联网+医疗健康”服务，运用物联网技术，为居民在线提供健康咨询、健康管理等服务。</w:t>
      </w:r>
    </w:p>
    <w:bookmarkEnd w:id="99"/>
    <w:bookmarkEnd w:id="100"/>
    <w:bookmarkEnd w:id="101"/>
    <w:bookmarkEnd w:id="102"/>
    <w:p>
      <w:pPr>
        <w:pStyle w:val="3"/>
        <w:bidi w:val="0"/>
        <w:rPr>
          <w:rFonts w:hint="default"/>
          <w:strike w:val="0"/>
          <w:dstrike w:val="0"/>
          <w:lang w:val="en-US" w:eastAsia="zh-CN"/>
        </w:rPr>
      </w:pPr>
      <w:bookmarkStart w:id="131" w:name="_Toc22956"/>
      <w:bookmarkStart w:id="132" w:name="_Toc5187"/>
      <w:bookmarkStart w:id="133" w:name="_Toc21773"/>
      <w:bookmarkStart w:id="134" w:name="_Toc5590"/>
      <w:bookmarkStart w:id="135" w:name="_Toc3526"/>
      <w:bookmarkStart w:id="136" w:name="_Toc6420"/>
      <w:r>
        <w:rPr>
          <w:rFonts w:hint="eastAsia"/>
          <w:strike w:val="0"/>
          <w:dstrike w:val="0"/>
          <w:lang w:val="en-US" w:eastAsia="zh-CN"/>
        </w:rPr>
        <w:t xml:space="preserve">第十章 </w:t>
      </w:r>
      <w:bookmarkEnd w:id="131"/>
      <w:bookmarkEnd w:id="132"/>
      <w:bookmarkEnd w:id="133"/>
      <w:bookmarkEnd w:id="134"/>
      <w:r>
        <w:rPr>
          <w:rFonts w:hint="eastAsia"/>
          <w:strike w:val="0"/>
          <w:dstrike w:val="0"/>
          <w:lang w:val="en-US" w:eastAsia="zh-CN"/>
        </w:rPr>
        <w:t>加强规划组织实施</w:t>
      </w:r>
      <w:bookmarkEnd w:id="135"/>
      <w:bookmarkEnd w:id="136"/>
    </w:p>
    <w:p>
      <w:pPr>
        <w:pStyle w:val="4"/>
        <w:bidi w:val="0"/>
        <w:rPr>
          <w:rFonts w:hint="eastAsia"/>
          <w:strike w:val="0"/>
          <w:dstrike w:val="0"/>
          <w:lang w:val="en-US" w:eastAsia="zh-CN"/>
        </w:rPr>
      </w:pPr>
      <w:bookmarkStart w:id="137" w:name="_Toc32666"/>
      <w:bookmarkStart w:id="138" w:name="_Toc13945"/>
      <w:bookmarkStart w:id="139" w:name="_Toc7174"/>
      <w:bookmarkStart w:id="140" w:name="_Toc5003"/>
      <w:bookmarkStart w:id="141" w:name="_Toc17031"/>
      <w:bookmarkStart w:id="142" w:name="_Toc30595"/>
      <w:r>
        <w:rPr>
          <w:rFonts w:hint="eastAsia"/>
          <w:strike w:val="0"/>
          <w:dstrike w:val="0"/>
          <w:lang w:val="en-US" w:eastAsia="zh-CN"/>
        </w:rPr>
        <w:t xml:space="preserve">第一节 </w:t>
      </w:r>
      <w:bookmarkEnd w:id="137"/>
      <w:bookmarkEnd w:id="138"/>
      <w:bookmarkEnd w:id="139"/>
      <w:bookmarkEnd w:id="140"/>
      <w:r>
        <w:rPr>
          <w:rFonts w:hint="eastAsia"/>
          <w:strike w:val="0"/>
          <w:dstrike w:val="0"/>
          <w:lang w:val="en-US" w:eastAsia="zh-CN"/>
        </w:rPr>
        <w:t>强化政府职能</w:t>
      </w:r>
      <w:bookmarkEnd w:id="141"/>
      <w:bookmarkEnd w:id="142"/>
    </w:p>
    <w:p>
      <w:pPr>
        <w:pStyle w:val="17"/>
        <w:bidi w:val="0"/>
        <w:rPr>
          <w:rFonts w:hint="eastAsia"/>
          <w:lang w:val="en-US" w:eastAsia="zh-CN"/>
        </w:rPr>
      </w:pPr>
      <w:r>
        <w:rPr>
          <w:rFonts w:hint="eastAsia"/>
          <w:lang w:val="en-US" w:eastAsia="zh-CN"/>
        </w:rPr>
        <w:t>加强党对卫生健康事业的全面领导，落实各级政府主体责任，建立部门协调、上下机构联动的工作机制。协调推进规划确定的重点项目、重要任务及重大举措、畅通与省有关部门沟通衔接渠道，积极争取上级指导与政策支持。</w:t>
      </w:r>
    </w:p>
    <w:p>
      <w:pPr>
        <w:pStyle w:val="4"/>
        <w:bidi w:val="0"/>
        <w:rPr>
          <w:rFonts w:hint="default"/>
          <w:strike w:val="0"/>
          <w:dstrike w:val="0"/>
          <w:lang w:val="en-US" w:eastAsia="zh-CN"/>
        </w:rPr>
      </w:pPr>
      <w:bookmarkStart w:id="143" w:name="_Toc15758"/>
      <w:bookmarkStart w:id="144" w:name="_Toc10286"/>
      <w:bookmarkStart w:id="145" w:name="_Toc20004"/>
      <w:bookmarkStart w:id="146" w:name="_Toc31029"/>
      <w:bookmarkStart w:id="147" w:name="_Toc18446"/>
      <w:bookmarkStart w:id="148" w:name="_Toc25011"/>
      <w:r>
        <w:rPr>
          <w:rFonts w:hint="eastAsia"/>
          <w:strike w:val="0"/>
          <w:dstrike w:val="0"/>
          <w:lang w:val="en-US" w:eastAsia="zh-CN"/>
        </w:rPr>
        <w:t xml:space="preserve">第二节 </w:t>
      </w:r>
      <w:bookmarkEnd w:id="143"/>
      <w:bookmarkEnd w:id="144"/>
      <w:bookmarkEnd w:id="145"/>
      <w:bookmarkEnd w:id="146"/>
      <w:r>
        <w:rPr>
          <w:rFonts w:hint="eastAsia"/>
          <w:strike w:val="0"/>
          <w:dstrike w:val="0"/>
          <w:lang w:val="en-US" w:eastAsia="zh-CN"/>
        </w:rPr>
        <w:t>加强法治建设</w:t>
      </w:r>
      <w:bookmarkEnd w:id="147"/>
      <w:bookmarkEnd w:id="148"/>
    </w:p>
    <w:p>
      <w:pPr>
        <w:pStyle w:val="17"/>
        <w:bidi w:val="0"/>
        <w:rPr>
          <w:rFonts w:hint="default"/>
          <w:lang w:val="en-US" w:eastAsia="zh-CN"/>
        </w:rPr>
      </w:pPr>
      <w:r>
        <w:rPr>
          <w:rFonts w:hint="eastAsia"/>
          <w:lang w:val="en-US" w:eastAsia="zh-CN"/>
        </w:rPr>
        <w:t>紧扣党建引领、法治中国、健康中国建设大局，主动落实《基本医疗卫生与健康促进法》《传染病防治法》《医师法》《广东省中医药条例》《职业病防治法》《安全生产法》《网络安全法》《禁毒法》《环境保护法》和《妇女权益保障法》等法律法规，完善相关配套制度，努力构建系统完备、科学适用、运行有效的卫生健康法治制度体系。</w:t>
      </w:r>
    </w:p>
    <w:p>
      <w:pPr>
        <w:pStyle w:val="4"/>
        <w:bidi w:val="0"/>
        <w:rPr>
          <w:rFonts w:hint="eastAsia"/>
          <w:strike w:val="0"/>
          <w:dstrike w:val="0"/>
          <w:lang w:val="en-US" w:eastAsia="zh-CN"/>
        </w:rPr>
      </w:pPr>
      <w:bookmarkStart w:id="149" w:name="_Toc17711"/>
      <w:bookmarkStart w:id="150" w:name="_Toc20170"/>
      <w:bookmarkStart w:id="151" w:name="_Toc31358"/>
      <w:bookmarkStart w:id="152" w:name="_Toc7827"/>
      <w:bookmarkStart w:id="153" w:name="_Toc10329"/>
      <w:bookmarkStart w:id="154" w:name="_Toc13446"/>
      <w:r>
        <w:rPr>
          <w:rFonts w:hint="eastAsia"/>
          <w:strike w:val="0"/>
          <w:dstrike w:val="0"/>
          <w:lang w:val="en-US" w:eastAsia="zh-CN"/>
        </w:rPr>
        <w:t xml:space="preserve">第三节 </w:t>
      </w:r>
      <w:bookmarkEnd w:id="149"/>
      <w:bookmarkEnd w:id="150"/>
      <w:bookmarkEnd w:id="151"/>
      <w:bookmarkEnd w:id="152"/>
      <w:r>
        <w:rPr>
          <w:rFonts w:hint="eastAsia"/>
          <w:strike w:val="0"/>
          <w:dstrike w:val="0"/>
          <w:lang w:val="en-US" w:eastAsia="zh-CN"/>
        </w:rPr>
        <w:t>加大卫生投入</w:t>
      </w:r>
      <w:bookmarkEnd w:id="153"/>
      <w:bookmarkEnd w:id="154"/>
    </w:p>
    <w:p>
      <w:pPr>
        <w:pStyle w:val="17"/>
        <w:bidi w:val="0"/>
        <w:rPr>
          <w:rFonts w:hint="default"/>
          <w:lang w:val="en-US" w:eastAsia="zh-CN"/>
        </w:rPr>
      </w:pPr>
      <w:r>
        <w:rPr>
          <w:rFonts w:hint="eastAsia"/>
          <w:lang w:val="en-US" w:eastAsia="zh-CN"/>
        </w:rPr>
        <w:t>建立和完善政府卫生投入和保障主体责任，多渠道落实建设资金，重点向公共卫生、社区卫生等领域倾斜，减轻医疗机构运行压力。招善引爱，鼓励和引导社会力量加大对卫生健康事业的投入，助力卫生健康事业发展。加强校地合作，加强产教研结合，形成投资主体多元化、投资方式多样化的办医体制。</w:t>
      </w:r>
    </w:p>
    <w:p>
      <w:pPr>
        <w:pStyle w:val="4"/>
        <w:bidi w:val="0"/>
        <w:rPr>
          <w:rFonts w:hint="default"/>
          <w:strike w:val="0"/>
          <w:dstrike w:val="0"/>
          <w:lang w:val="en-US" w:eastAsia="zh-CN"/>
        </w:rPr>
      </w:pPr>
      <w:bookmarkStart w:id="155" w:name="_Toc15071"/>
      <w:bookmarkStart w:id="156" w:name="_Toc28219"/>
      <w:bookmarkStart w:id="157" w:name="_Toc26214"/>
      <w:bookmarkStart w:id="158" w:name="_Toc15058"/>
      <w:bookmarkStart w:id="159" w:name="_Toc4721"/>
      <w:bookmarkStart w:id="160" w:name="_Toc12262"/>
      <w:r>
        <w:rPr>
          <w:rFonts w:hint="eastAsia"/>
          <w:strike w:val="0"/>
          <w:dstrike w:val="0"/>
          <w:lang w:val="en-US" w:eastAsia="zh-CN"/>
        </w:rPr>
        <w:t xml:space="preserve">第四节 </w:t>
      </w:r>
      <w:bookmarkEnd w:id="155"/>
      <w:bookmarkEnd w:id="156"/>
      <w:bookmarkEnd w:id="157"/>
      <w:bookmarkEnd w:id="158"/>
      <w:r>
        <w:rPr>
          <w:rFonts w:hint="eastAsia"/>
          <w:strike w:val="0"/>
          <w:dstrike w:val="0"/>
          <w:lang w:val="en-US" w:eastAsia="zh-CN"/>
        </w:rPr>
        <w:t>加强人才队伍建设</w:t>
      </w:r>
      <w:bookmarkEnd w:id="159"/>
      <w:bookmarkEnd w:id="160"/>
    </w:p>
    <w:p>
      <w:pPr>
        <w:pStyle w:val="17"/>
        <w:bidi w:val="0"/>
        <w:rPr>
          <w:rFonts w:hint="default"/>
          <w:lang w:val="en-US" w:eastAsia="zh-CN"/>
        </w:rPr>
      </w:pPr>
      <w:r>
        <w:rPr>
          <w:rFonts w:hint="default"/>
          <w:lang w:val="en-US" w:eastAsia="zh-CN"/>
        </w:rPr>
        <w:t>坚持党管人才原则，充分用好我市“百团千才万匠”人才工程政策，深化实施医疗卫生人才的“引、育、留”工程，建立公立医院领导班子成员联系服务高层次人才制度。创新基层医疗卫生管理体制机制，实行基层医疗卫生机构人员“</w:t>
      </w:r>
      <w:r>
        <w:rPr>
          <w:rFonts w:hint="eastAsia"/>
          <w:lang w:val="en-US" w:eastAsia="zh-CN"/>
        </w:rPr>
        <w:t>区招区</w:t>
      </w:r>
      <w:r>
        <w:rPr>
          <w:rFonts w:hint="default"/>
          <w:lang w:val="en-US" w:eastAsia="zh-CN"/>
        </w:rPr>
        <w:t>管镇用”。继续实施全科医生人才培养工程、产科、儿科、精神科医师转岗培训，加强中医药师承教育，缓解基层医疗单位相关专业人才紧缺状况，满足基层群众医疗卫生服务需求。进一步落实卫生人才补助政策和基层医疗卫生机构人事薪酬工作制度，因地制宜做好人才子女教育、医疗保障等服务，做到感情留人，事业留人</w:t>
      </w:r>
      <w:r>
        <w:rPr>
          <w:rFonts w:hint="eastAsia"/>
          <w:lang w:val="en-US" w:eastAsia="zh-CN"/>
        </w:rPr>
        <w:t>，待遇留人</w:t>
      </w:r>
      <w:r>
        <w:rPr>
          <w:rFonts w:hint="default"/>
          <w:lang w:val="en-US" w:eastAsia="zh-CN"/>
        </w:rPr>
        <w:t>。</w:t>
      </w:r>
    </w:p>
    <w:p>
      <w:pPr>
        <w:keepNext/>
        <w:keepLines/>
        <w:widowControl w:val="0"/>
        <w:bidi w:val="0"/>
        <w:spacing w:before="260" w:after="260" w:line="360" w:lineRule="auto"/>
        <w:ind w:firstLine="0" w:firstLineChars="0"/>
        <w:jc w:val="center"/>
        <w:outlineLvl w:val="1"/>
        <w:rPr>
          <w:rFonts w:hint="default" w:ascii="等线 Light" w:hAnsi="等线 Light" w:eastAsia="宋体" w:cs="Times New Roman"/>
          <w:b/>
          <w:bCs/>
          <w:strike w:val="0"/>
          <w:dstrike w:val="0"/>
          <w:kern w:val="2"/>
          <w:sz w:val="32"/>
          <w:szCs w:val="32"/>
          <w:lang w:val="en-US" w:eastAsia="zh-CN" w:bidi="ar-SA"/>
        </w:rPr>
      </w:pPr>
      <w:bookmarkStart w:id="161" w:name="_Toc28926"/>
      <w:bookmarkStart w:id="162" w:name="_Toc5021"/>
      <w:r>
        <w:rPr>
          <w:rFonts w:hint="eastAsia" w:ascii="等线 Light" w:hAnsi="等线 Light" w:eastAsia="宋体" w:cs="Times New Roman"/>
          <w:b/>
          <w:bCs/>
          <w:strike w:val="0"/>
          <w:dstrike w:val="0"/>
          <w:kern w:val="2"/>
          <w:sz w:val="32"/>
          <w:szCs w:val="32"/>
          <w:lang w:val="en-US" w:eastAsia="zh-CN" w:bidi="ar-SA"/>
        </w:rPr>
        <w:t>第五节 加强宣传引导</w:t>
      </w:r>
      <w:bookmarkEnd w:id="161"/>
      <w:bookmarkEnd w:id="162"/>
    </w:p>
    <w:p>
      <w:pPr>
        <w:pStyle w:val="17"/>
        <w:bidi w:val="0"/>
        <w:rPr>
          <w:rFonts w:hint="eastAsia"/>
          <w:lang w:val="en-US" w:eastAsia="zh-CN"/>
        </w:rPr>
      </w:pPr>
      <w:r>
        <w:rPr>
          <w:rFonts w:hint="default"/>
          <w:lang w:val="en-US" w:eastAsia="zh-CN"/>
        </w:rPr>
        <w:t>坚持正确的舆论导向，通过手机、互联网、电视、报纸、全聚合平台等多渠道加强正面宣传，及时解读各类政策信息，回应社会关切，广泛凝聚社会共识，营造全社会关心、理解和支持卫生健康事业的良好氛围</w:t>
      </w:r>
      <w:r>
        <w:rPr>
          <w:rFonts w:hint="eastAsia"/>
          <w:lang w:val="en-US" w:eastAsia="zh-CN"/>
        </w:rPr>
        <w:t>。</w:t>
      </w:r>
    </w:p>
    <w:p>
      <w:pPr>
        <w:keepNext/>
        <w:keepLines/>
        <w:widowControl w:val="0"/>
        <w:bidi w:val="0"/>
        <w:spacing w:before="260" w:after="260" w:line="360" w:lineRule="auto"/>
        <w:ind w:firstLine="0" w:firstLineChars="0"/>
        <w:jc w:val="center"/>
        <w:outlineLvl w:val="1"/>
        <w:rPr>
          <w:rFonts w:hint="default" w:ascii="等线 Light" w:hAnsi="等线 Light" w:eastAsia="宋体" w:cs="Times New Roman"/>
          <w:b/>
          <w:bCs/>
          <w:strike w:val="0"/>
          <w:dstrike w:val="0"/>
          <w:kern w:val="2"/>
          <w:sz w:val="32"/>
          <w:szCs w:val="32"/>
          <w:lang w:val="en-US" w:eastAsia="zh-CN" w:bidi="ar-SA"/>
        </w:rPr>
      </w:pPr>
      <w:bookmarkStart w:id="163" w:name="_Toc24162"/>
      <w:r>
        <w:rPr>
          <w:rFonts w:hint="eastAsia" w:ascii="等线 Light" w:hAnsi="等线 Light" w:eastAsia="宋体" w:cs="Times New Roman"/>
          <w:b/>
          <w:bCs/>
          <w:strike w:val="0"/>
          <w:dstrike w:val="0"/>
          <w:kern w:val="2"/>
          <w:sz w:val="32"/>
          <w:szCs w:val="32"/>
          <w:lang w:val="en-US" w:eastAsia="zh-CN" w:bidi="ar-SA"/>
        </w:rPr>
        <w:t>第六节 加强宣传引导</w:t>
      </w:r>
      <w:bookmarkEnd w:id="163"/>
    </w:p>
    <w:p>
      <w:pPr>
        <w:pStyle w:val="17"/>
        <w:bidi w:val="0"/>
        <w:rPr>
          <w:rFonts w:hint="default"/>
          <w:lang w:val="en-US" w:eastAsia="zh-CN"/>
        </w:rPr>
      </w:pPr>
      <w:r>
        <w:rPr>
          <w:rFonts w:hint="default"/>
          <w:lang w:val="en-US" w:eastAsia="zh-CN"/>
        </w:rPr>
        <w:t>本规划是“十四五”期间我</w:t>
      </w:r>
      <w:r>
        <w:rPr>
          <w:rFonts w:hint="eastAsia"/>
          <w:lang w:val="en-US" w:eastAsia="zh-CN"/>
        </w:rPr>
        <w:t>区</w:t>
      </w:r>
      <w:r>
        <w:rPr>
          <w:rFonts w:hint="default"/>
          <w:lang w:val="en-US" w:eastAsia="zh-CN"/>
        </w:rPr>
        <w:t>推进卫生健康发展的纲领性文件。区域卫生规划以及康复、精神、急救、人才等专项工作规划均应注重与本规划的衔接。各部门要按照职责分工，细化目标任务，根据实际情况研究制定具体实施方案。要按照规划要求，按计划、有步骤地做好相关任务的实施工作，确保规划提出的各项目标任务有序推进，落地落实。规划编制部门组织开展规划实施年度监测分析、中期评估和总结评估，对规划实施过程中发现的问题，要研究制订对应措施、及时协调解决。对好的做法和经验，要及时选行总结，加强复制推广。</w:t>
      </w:r>
    </w:p>
    <w:p>
      <w:pPr>
        <w:pStyle w:val="2"/>
        <w:rPr>
          <w:rFonts w:hint="default"/>
          <w:strike w:val="0"/>
          <w:dstrike w:val="0"/>
          <w:lang w:val="en-US" w:eastAsia="zh-CN"/>
        </w:rPr>
      </w:pPr>
    </w:p>
    <w:p>
      <w:pPr>
        <w:rPr>
          <w:rFonts w:hint="default"/>
          <w:strike w:val="0"/>
          <w:dstrike w:val="0"/>
          <w:lang w:val="en-US" w:eastAsia="zh-CN"/>
        </w:rPr>
        <w:sectPr>
          <w:footerReference r:id="rId6" w:type="default"/>
          <w:pgSz w:w="11906" w:h="16838"/>
          <w:pgMar w:top="1417" w:right="1304" w:bottom="1417" w:left="1304" w:header="851" w:footer="992" w:gutter="0"/>
          <w:pgNumType w:start="1"/>
          <w:cols w:space="720" w:num="1"/>
          <w:docGrid w:type="lines" w:linePitch="312" w:charSpace="0"/>
        </w:sectPr>
      </w:pPr>
    </w:p>
    <w:p>
      <w:pPr>
        <w:widowControl w:val="0"/>
        <w:autoSpaceDE w:val="0"/>
        <w:autoSpaceDN w:val="0"/>
        <w:bidi w:val="0"/>
        <w:spacing w:before="0" w:after="0" w:line="240" w:lineRule="auto"/>
        <w:ind w:left="0" w:right="147"/>
        <w:jc w:val="center"/>
        <w:outlineLvl w:val="0"/>
        <w:rPr>
          <w:rFonts w:hint="eastAsia" w:ascii="方正小标宋简体" w:hAnsi="方正小标宋简体" w:eastAsia="方正小标宋简体" w:cs="方正小标宋简体"/>
          <w:color w:val="auto"/>
          <w:sz w:val="44"/>
          <w:szCs w:val="44"/>
          <w:lang w:val="en-US" w:eastAsia="zh-CN" w:bidi="zh-CN"/>
        </w:rPr>
      </w:pPr>
      <w:bookmarkStart w:id="164" w:name="_Toc30211"/>
      <w:bookmarkStart w:id="165" w:name="_Toc14857"/>
      <w:r>
        <w:rPr>
          <w:rFonts w:hint="eastAsia" w:ascii="方正小标宋简体" w:hAnsi="方正小标宋简体" w:eastAsia="方正小标宋简体" w:cs="方正小标宋简体"/>
          <w:color w:val="auto"/>
          <w:sz w:val="44"/>
          <w:szCs w:val="44"/>
          <w:lang w:val="en-US" w:eastAsia="zh-CN" w:bidi="zh-CN"/>
        </w:rPr>
        <w:t>附表 韶关市武江区“十四五”时期卫生健康事业重大项目表</w:t>
      </w:r>
      <w:bookmarkEnd w:id="164"/>
      <w:bookmarkEnd w:id="165"/>
    </w:p>
    <w:tbl>
      <w:tblPr>
        <w:tblStyle w:val="13"/>
        <w:tblW w:w="13190" w:type="dxa"/>
        <w:jc w:val="center"/>
        <w:tblLayout w:type="fixed"/>
        <w:tblCellMar>
          <w:top w:w="0" w:type="dxa"/>
          <w:left w:w="0" w:type="dxa"/>
          <w:bottom w:w="0" w:type="dxa"/>
          <w:right w:w="0" w:type="dxa"/>
        </w:tblCellMar>
      </w:tblPr>
      <w:tblGrid>
        <w:gridCol w:w="527"/>
        <w:gridCol w:w="1923"/>
        <w:gridCol w:w="7246"/>
        <w:gridCol w:w="1163"/>
        <w:gridCol w:w="1206"/>
        <w:gridCol w:w="1125"/>
      </w:tblGrid>
      <w:tr>
        <w:tblPrEx>
          <w:tblCellMar>
            <w:top w:w="0" w:type="dxa"/>
            <w:left w:w="0" w:type="dxa"/>
            <w:bottom w:w="0" w:type="dxa"/>
            <w:right w:w="0" w:type="dxa"/>
          </w:tblCellMar>
        </w:tblPrEx>
        <w:trPr>
          <w:trHeight w:val="50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序号</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项目名称</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建设内容及规模</w:t>
            </w:r>
          </w:p>
        </w:tc>
        <w:tc>
          <w:tcPr>
            <w:tcW w:w="11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建设起止</w:t>
            </w:r>
          </w:p>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年限</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建设地址</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en-US" w:eastAsia="zh-CN" w:bidi="ar"/>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总投资</w:t>
            </w:r>
          </w:p>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Times New Roman" w:hAnsi="Times New Roman" w:eastAsia="黑体" w:cs="Times New Roman"/>
                <w:i w:val="0"/>
                <w:strike w:val="0"/>
                <w:dstrike w:val="0"/>
                <w:color w:val="auto"/>
                <w:kern w:val="0"/>
                <w:sz w:val="21"/>
                <w:szCs w:val="21"/>
                <w:highlight w:val="none"/>
                <w:u w:val="none"/>
                <w:lang w:val="zh-CN" w:bidi="zh-CN"/>
              </w:rPr>
            </w:pPr>
            <w:r>
              <w:rPr>
                <w:rFonts w:hint="default" w:ascii="Times New Roman" w:hAnsi="Times New Roman" w:eastAsia="黑体" w:cs="Times New Roman"/>
                <w:i w:val="0"/>
                <w:strike w:val="0"/>
                <w:dstrike w:val="0"/>
                <w:color w:val="auto"/>
                <w:kern w:val="0"/>
                <w:sz w:val="21"/>
                <w:szCs w:val="21"/>
                <w:highlight w:val="none"/>
                <w:u w:val="none"/>
                <w:lang w:val="en-US" w:eastAsia="zh-CN" w:bidi="ar"/>
              </w:rPr>
              <w:t>（亿元）</w:t>
            </w:r>
          </w:p>
        </w:tc>
      </w:tr>
      <w:tr>
        <w:tblPrEx>
          <w:tblCellMar>
            <w:top w:w="0" w:type="dxa"/>
            <w:left w:w="0" w:type="dxa"/>
            <w:bottom w:w="0" w:type="dxa"/>
            <w:right w:w="0" w:type="dxa"/>
          </w:tblCellMar>
        </w:tblPrEx>
        <w:trPr>
          <w:trHeight w:val="921"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1</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韶关市武江区中医院建设项目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占地面积30148平方米，总建筑面积为31430平方米，新建门诊综合楼、住院楼、后勤楼、垃圾站、污水处理站、连廊、液氧站、地下室等，含业务用房、功能性用房，院内生活用房、院内道路、停车场及广场等和相关配套设施及医疗设备、医用办公设施等，规划住院病床位200张。</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2020-2023</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武江区龙归镇龙归人民法庭西侧</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3.14</w:t>
            </w:r>
          </w:p>
        </w:tc>
      </w:tr>
      <w:tr>
        <w:tblPrEx>
          <w:tblCellMar>
            <w:top w:w="0" w:type="dxa"/>
            <w:left w:w="0" w:type="dxa"/>
            <w:bottom w:w="0" w:type="dxa"/>
            <w:right w:w="0" w:type="dxa"/>
          </w:tblCellMar>
        </w:tblPrEx>
        <w:trPr>
          <w:trHeight w:val="75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韶关市武江区儿童医院建设项目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项目总用地面积16889㎡，新建建筑面积26790㎡（其中地上建筑面积19585㎡，地下建筑面积7205㎡），规划床位200张，停车位110（161）个。项目主要新建2栋综合楼及地下室、门卫和连廊，包括土地平整工程、建安工程、室外及其他配套设施工程等。</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val="0"/>
              <w:autoSpaceDE w:val="0"/>
              <w:autoSpaceDN w:val="0"/>
              <w:spacing w:before="0" w:after="0" w:line="240" w:lineRule="auto"/>
              <w:ind w:left="0" w:leftChars="0" w:right="0" w:firstLine="0" w:firstLineChars="0"/>
              <w:jc w:val="center"/>
              <w:rPr>
                <w:rFonts w:hint="eastAsia" w:ascii="仿宋_GB2312" w:hAnsi="仿宋_GB2312" w:eastAsia="仿宋_GB2312" w:cs="仿宋_GB2312"/>
                <w:color w:val="auto"/>
                <w:sz w:val="22"/>
                <w:szCs w:val="22"/>
                <w:highlight w:val="none"/>
                <w:lang w:val="en-US" w:eastAsia="zh-CN"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2020-2024</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韶关市XH0102-07B地块（核工业四一九医院地块〉</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bidi="zh-CN"/>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2.76</w:t>
            </w:r>
          </w:p>
        </w:tc>
      </w:tr>
      <w:tr>
        <w:tblPrEx>
          <w:tblCellMar>
            <w:top w:w="0" w:type="dxa"/>
            <w:left w:w="0" w:type="dxa"/>
            <w:bottom w:w="0" w:type="dxa"/>
            <w:right w:w="0" w:type="dxa"/>
          </w:tblCellMar>
        </w:tblPrEx>
        <w:trPr>
          <w:trHeight w:val="75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3</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韶关市武江区基层公共卫生体系补短板建设项目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新建基层应急门诊病房为一体的综合楼以及相关基础设施的建设，配置安装配套医疗设施设备等，增设卫生站，建筑面积为2.5万平方米。</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2019-2023</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西河镇、江湾镇、龙归镇、重阳镇、惠民街</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default"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0.4</w:t>
            </w:r>
          </w:p>
        </w:tc>
      </w:tr>
      <w:tr>
        <w:tblPrEx>
          <w:tblCellMar>
            <w:top w:w="0" w:type="dxa"/>
            <w:left w:w="0" w:type="dxa"/>
            <w:bottom w:w="0" w:type="dxa"/>
            <w:right w:w="0" w:type="dxa"/>
          </w:tblCellMar>
        </w:tblPrEx>
        <w:trPr>
          <w:trHeight w:val="754" w:hRule="atLeast"/>
          <w:jc w:val="center"/>
        </w:trPr>
        <w:tc>
          <w:tcPr>
            <w:tcW w:w="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4</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惠民街道社区卫生服务中心项目</w:t>
            </w:r>
          </w:p>
        </w:tc>
        <w:tc>
          <w:tcPr>
            <w:tcW w:w="72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left"/>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建筑面积约4000平方米的业务大楼，含全科、儿科、预防保健科室、发热诊室等临床业务用房、医技科室用房、公共卫生服务用房、中医馆及其他科室用房，配置医疗设备、医用办公设施。</w:t>
            </w:r>
          </w:p>
        </w:tc>
        <w:tc>
          <w:tcPr>
            <w:tcW w:w="11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2022-2025</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惠民街道</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after="0" w:line="240" w:lineRule="atLeast"/>
              <w:ind w:left="0" w:right="0" w:firstLine="0" w:firstLineChars="0"/>
              <w:jc w:val="center"/>
              <w:textAlignment w:val="center"/>
              <w:rPr>
                <w:rFonts w:hint="eastAsia" w:ascii="仿宋_GB2312" w:hAnsi="仿宋_GB2312" w:eastAsia="仿宋_GB2312" w:cs="仿宋_GB2312"/>
                <w:i w:val="0"/>
                <w:strike w:val="0"/>
                <w:dstrike w:val="0"/>
                <w:color w:val="auto"/>
                <w:kern w:val="0"/>
                <w:sz w:val="18"/>
                <w:szCs w:val="18"/>
                <w:highlight w:val="none"/>
                <w:u w:val="none"/>
                <w:lang w:val="en-US" w:eastAsia="zh-CN" w:bidi="ar"/>
              </w:rPr>
            </w:pPr>
            <w:r>
              <w:rPr>
                <w:rFonts w:hint="eastAsia" w:ascii="仿宋_GB2312" w:hAnsi="仿宋_GB2312" w:eastAsia="仿宋_GB2312" w:cs="仿宋_GB2312"/>
                <w:i w:val="0"/>
                <w:strike w:val="0"/>
                <w:dstrike w:val="0"/>
                <w:color w:val="auto"/>
                <w:kern w:val="0"/>
                <w:sz w:val="18"/>
                <w:szCs w:val="18"/>
                <w:highlight w:val="none"/>
                <w:u w:val="none"/>
                <w:lang w:val="en-US" w:eastAsia="zh-CN" w:bidi="ar"/>
              </w:rPr>
              <w:t>0.35</w:t>
            </w:r>
          </w:p>
        </w:tc>
      </w:tr>
    </w:tbl>
    <w:p>
      <w:pPr>
        <w:widowControl w:val="0"/>
        <w:autoSpaceDE w:val="0"/>
        <w:autoSpaceDN w:val="0"/>
        <w:spacing w:before="0" w:after="0" w:line="240" w:lineRule="auto"/>
        <w:ind w:left="0" w:leftChars="0" w:right="0" w:firstLine="0" w:firstLineChars="0"/>
        <w:jc w:val="left"/>
        <w:rPr>
          <w:rFonts w:hint="default" w:ascii="仿宋_GB2312" w:hAnsi="仿宋_GB2312" w:eastAsia="仿宋_GB2312" w:cs="仿宋_GB2312"/>
          <w:strike w:val="0"/>
          <w:dstrike w:val="0"/>
          <w:color w:val="auto"/>
          <w:sz w:val="22"/>
          <w:szCs w:val="22"/>
          <w:lang w:val="en-US" w:eastAsia="zh-CN" w:bidi="zh-CN"/>
        </w:rPr>
      </w:pPr>
    </w:p>
    <w:p>
      <w:pPr>
        <w:pStyle w:val="2"/>
        <w:ind w:left="0" w:leftChars="0" w:firstLine="0" w:firstLineChars="0"/>
        <w:rPr>
          <w:rFonts w:hint="default"/>
          <w:strike w:val="0"/>
          <w:dstrike w:val="0"/>
          <w:lang w:val="en-US" w:eastAsia="zh-CN"/>
        </w:rPr>
      </w:pPr>
    </w:p>
    <w:sectPr>
      <w:pgSz w:w="16838" w:h="11906" w:orient="landscape"/>
      <w:pgMar w:top="1304" w:right="1417" w:bottom="1304" w:left="1417" w:header="851" w:footer="992" w:gutter="0"/>
      <w:cols w:space="720" w:num="1"/>
      <w:rtlGutter w:val="0"/>
      <w:docGrid w:type="lines" w:linePitch="42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仿宋"/>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7"/>
                      <w:rPr>
                        <w:rFonts w:hint="eastAsia" w:eastAsia="仿宋"/>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VerticalSpacing w:val="21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MWRjZTM1Mzk4NGY1M2YzMjRkY2Q4OTcwYTUwZmYifQ=="/>
  </w:docVars>
  <w:rsids>
    <w:rsidRoot w:val="00000000"/>
    <w:rsid w:val="001113BD"/>
    <w:rsid w:val="00337586"/>
    <w:rsid w:val="00383360"/>
    <w:rsid w:val="005C0F6E"/>
    <w:rsid w:val="006F6D0E"/>
    <w:rsid w:val="007C2CDB"/>
    <w:rsid w:val="008D313A"/>
    <w:rsid w:val="00C44682"/>
    <w:rsid w:val="00DC2C73"/>
    <w:rsid w:val="011B0745"/>
    <w:rsid w:val="01390BCC"/>
    <w:rsid w:val="01CF4B5E"/>
    <w:rsid w:val="01D3752C"/>
    <w:rsid w:val="02104022"/>
    <w:rsid w:val="02186A33"/>
    <w:rsid w:val="027619AC"/>
    <w:rsid w:val="02906F11"/>
    <w:rsid w:val="02E33240"/>
    <w:rsid w:val="02F92294"/>
    <w:rsid w:val="033C2BF5"/>
    <w:rsid w:val="03490E87"/>
    <w:rsid w:val="034B22EA"/>
    <w:rsid w:val="03510786"/>
    <w:rsid w:val="035D30D4"/>
    <w:rsid w:val="039D18E6"/>
    <w:rsid w:val="03A367D0"/>
    <w:rsid w:val="03D66BA6"/>
    <w:rsid w:val="03F36308"/>
    <w:rsid w:val="0415590B"/>
    <w:rsid w:val="04185410"/>
    <w:rsid w:val="04407270"/>
    <w:rsid w:val="044A6EC3"/>
    <w:rsid w:val="044E2BE0"/>
    <w:rsid w:val="045544D8"/>
    <w:rsid w:val="04893C18"/>
    <w:rsid w:val="04BD1B14"/>
    <w:rsid w:val="05290F57"/>
    <w:rsid w:val="0539563E"/>
    <w:rsid w:val="05483AD3"/>
    <w:rsid w:val="055204AE"/>
    <w:rsid w:val="055B778D"/>
    <w:rsid w:val="05A00AB1"/>
    <w:rsid w:val="05C0058F"/>
    <w:rsid w:val="05C3315A"/>
    <w:rsid w:val="05E979FE"/>
    <w:rsid w:val="05F17967"/>
    <w:rsid w:val="05FE4BF0"/>
    <w:rsid w:val="060511EF"/>
    <w:rsid w:val="0612484F"/>
    <w:rsid w:val="06222576"/>
    <w:rsid w:val="062E4A77"/>
    <w:rsid w:val="06365B81"/>
    <w:rsid w:val="063D2F0C"/>
    <w:rsid w:val="06500F41"/>
    <w:rsid w:val="0687062B"/>
    <w:rsid w:val="071933F3"/>
    <w:rsid w:val="071D689A"/>
    <w:rsid w:val="072B0FB7"/>
    <w:rsid w:val="072F024F"/>
    <w:rsid w:val="07487DBA"/>
    <w:rsid w:val="078B414B"/>
    <w:rsid w:val="078B7CA7"/>
    <w:rsid w:val="07D1518D"/>
    <w:rsid w:val="07EC1A0C"/>
    <w:rsid w:val="07F6072D"/>
    <w:rsid w:val="07F615C4"/>
    <w:rsid w:val="083245C7"/>
    <w:rsid w:val="087B405D"/>
    <w:rsid w:val="088A61B1"/>
    <w:rsid w:val="089718A3"/>
    <w:rsid w:val="089F1C5C"/>
    <w:rsid w:val="08B153D6"/>
    <w:rsid w:val="08CE609D"/>
    <w:rsid w:val="08DA3F8C"/>
    <w:rsid w:val="08E7715F"/>
    <w:rsid w:val="091F66F2"/>
    <w:rsid w:val="09566309"/>
    <w:rsid w:val="096D58B6"/>
    <w:rsid w:val="09772D65"/>
    <w:rsid w:val="09774987"/>
    <w:rsid w:val="0987048B"/>
    <w:rsid w:val="09935D87"/>
    <w:rsid w:val="09A34AFA"/>
    <w:rsid w:val="09B23C11"/>
    <w:rsid w:val="0A140428"/>
    <w:rsid w:val="0A173A74"/>
    <w:rsid w:val="0A466107"/>
    <w:rsid w:val="0A545EE6"/>
    <w:rsid w:val="0A5B7E05"/>
    <w:rsid w:val="0A643269"/>
    <w:rsid w:val="0A7D7D7B"/>
    <w:rsid w:val="0A8729A8"/>
    <w:rsid w:val="0A9F23E7"/>
    <w:rsid w:val="0AB759BA"/>
    <w:rsid w:val="0AF30F43"/>
    <w:rsid w:val="0B077F8D"/>
    <w:rsid w:val="0B444D3D"/>
    <w:rsid w:val="0B635D6A"/>
    <w:rsid w:val="0B6B4077"/>
    <w:rsid w:val="0B7373D0"/>
    <w:rsid w:val="0B786794"/>
    <w:rsid w:val="0B9A2BAF"/>
    <w:rsid w:val="0BBA7B8B"/>
    <w:rsid w:val="0BBC4CB7"/>
    <w:rsid w:val="0BE300B2"/>
    <w:rsid w:val="0BF4406D"/>
    <w:rsid w:val="0C6712AE"/>
    <w:rsid w:val="0C743400"/>
    <w:rsid w:val="0C880C59"/>
    <w:rsid w:val="0CBC617C"/>
    <w:rsid w:val="0CC2416B"/>
    <w:rsid w:val="0D1014D9"/>
    <w:rsid w:val="0D15073F"/>
    <w:rsid w:val="0D1A5D55"/>
    <w:rsid w:val="0D25512C"/>
    <w:rsid w:val="0D3E280C"/>
    <w:rsid w:val="0D6F14FD"/>
    <w:rsid w:val="0D870C14"/>
    <w:rsid w:val="0D9D1885"/>
    <w:rsid w:val="0D9F44AC"/>
    <w:rsid w:val="0DA25D4B"/>
    <w:rsid w:val="0DDC300B"/>
    <w:rsid w:val="0DE87C01"/>
    <w:rsid w:val="0DF668EF"/>
    <w:rsid w:val="0E26697C"/>
    <w:rsid w:val="0E267846"/>
    <w:rsid w:val="0E2C21E4"/>
    <w:rsid w:val="0E4017EB"/>
    <w:rsid w:val="0E6A1AFC"/>
    <w:rsid w:val="0E7616B1"/>
    <w:rsid w:val="0E855450"/>
    <w:rsid w:val="0E8F2773"/>
    <w:rsid w:val="0E927B6D"/>
    <w:rsid w:val="0EA31D7A"/>
    <w:rsid w:val="0EBE4724"/>
    <w:rsid w:val="0EC64F0E"/>
    <w:rsid w:val="0F0C791F"/>
    <w:rsid w:val="0F4627D5"/>
    <w:rsid w:val="0F910E5A"/>
    <w:rsid w:val="0F977B31"/>
    <w:rsid w:val="0F9A317D"/>
    <w:rsid w:val="0FC24482"/>
    <w:rsid w:val="0FC85F3C"/>
    <w:rsid w:val="103E7FAD"/>
    <w:rsid w:val="104B091B"/>
    <w:rsid w:val="104F432B"/>
    <w:rsid w:val="105618BD"/>
    <w:rsid w:val="10900DB0"/>
    <w:rsid w:val="10B4399D"/>
    <w:rsid w:val="10CD05D2"/>
    <w:rsid w:val="10DB3A4D"/>
    <w:rsid w:val="10E36DA6"/>
    <w:rsid w:val="112A2E6C"/>
    <w:rsid w:val="11AB78C4"/>
    <w:rsid w:val="11BA36A6"/>
    <w:rsid w:val="11BC1440"/>
    <w:rsid w:val="11BF511D"/>
    <w:rsid w:val="11C73FD2"/>
    <w:rsid w:val="11C75D80"/>
    <w:rsid w:val="11D706B9"/>
    <w:rsid w:val="11E626AA"/>
    <w:rsid w:val="122B34BE"/>
    <w:rsid w:val="12435D4E"/>
    <w:rsid w:val="1246139A"/>
    <w:rsid w:val="126B64B5"/>
    <w:rsid w:val="127977A8"/>
    <w:rsid w:val="129E4D32"/>
    <w:rsid w:val="12C86253"/>
    <w:rsid w:val="13117BFA"/>
    <w:rsid w:val="132D60B6"/>
    <w:rsid w:val="136536CE"/>
    <w:rsid w:val="137E6912"/>
    <w:rsid w:val="13916645"/>
    <w:rsid w:val="13966D2C"/>
    <w:rsid w:val="139928A3"/>
    <w:rsid w:val="13BA420B"/>
    <w:rsid w:val="13E7095B"/>
    <w:rsid w:val="13EC7D20"/>
    <w:rsid w:val="14076907"/>
    <w:rsid w:val="141C6857"/>
    <w:rsid w:val="14215C1B"/>
    <w:rsid w:val="14577C9C"/>
    <w:rsid w:val="14A01236"/>
    <w:rsid w:val="14AD74AF"/>
    <w:rsid w:val="14BA7E1E"/>
    <w:rsid w:val="14D1667B"/>
    <w:rsid w:val="14FB646C"/>
    <w:rsid w:val="151B59E7"/>
    <w:rsid w:val="154C400F"/>
    <w:rsid w:val="15674EC2"/>
    <w:rsid w:val="156F0C08"/>
    <w:rsid w:val="15C103B0"/>
    <w:rsid w:val="15FA6724"/>
    <w:rsid w:val="161812A0"/>
    <w:rsid w:val="16393E7A"/>
    <w:rsid w:val="164934BA"/>
    <w:rsid w:val="164E6A70"/>
    <w:rsid w:val="16526A99"/>
    <w:rsid w:val="16691AFB"/>
    <w:rsid w:val="16737EDB"/>
    <w:rsid w:val="16D921F7"/>
    <w:rsid w:val="16E46FC8"/>
    <w:rsid w:val="16EF148E"/>
    <w:rsid w:val="16FF7D6A"/>
    <w:rsid w:val="1764561A"/>
    <w:rsid w:val="17667DE9"/>
    <w:rsid w:val="176F6C9D"/>
    <w:rsid w:val="17710C68"/>
    <w:rsid w:val="178169D1"/>
    <w:rsid w:val="17B7090E"/>
    <w:rsid w:val="17E92EF4"/>
    <w:rsid w:val="17EF1B5C"/>
    <w:rsid w:val="18021952"/>
    <w:rsid w:val="18376FC8"/>
    <w:rsid w:val="183F2B14"/>
    <w:rsid w:val="18597E8B"/>
    <w:rsid w:val="186744D7"/>
    <w:rsid w:val="1869193F"/>
    <w:rsid w:val="1890336F"/>
    <w:rsid w:val="18F7519C"/>
    <w:rsid w:val="18F83FA0"/>
    <w:rsid w:val="18FF04F5"/>
    <w:rsid w:val="192C5153"/>
    <w:rsid w:val="19473C76"/>
    <w:rsid w:val="19921369"/>
    <w:rsid w:val="19A74E14"/>
    <w:rsid w:val="19A90B8D"/>
    <w:rsid w:val="19B83B87"/>
    <w:rsid w:val="19BE1AE9"/>
    <w:rsid w:val="19BE3F0C"/>
    <w:rsid w:val="19C57049"/>
    <w:rsid w:val="1A11228E"/>
    <w:rsid w:val="1A250C23"/>
    <w:rsid w:val="1A304E0A"/>
    <w:rsid w:val="1A4563DB"/>
    <w:rsid w:val="1A4C776A"/>
    <w:rsid w:val="1A97509C"/>
    <w:rsid w:val="1ADD03C2"/>
    <w:rsid w:val="1AF419EA"/>
    <w:rsid w:val="1B067919"/>
    <w:rsid w:val="1B1069E9"/>
    <w:rsid w:val="1B1C538E"/>
    <w:rsid w:val="1B285AE1"/>
    <w:rsid w:val="1B5E59A7"/>
    <w:rsid w:val="1B6F1962"/>
    <w:rsid w:val="1B7927E1"/>
    <w:rsid w:val="1BA62EAA"/>
    <w:rsid w:val="1BA76B95"/>
    <w:rsid w:val="1BC82E20"/>
    <w:rsid w:val="1BE13EE2"/>
    <w:rsid w:val="1BE516ED"/>
    <w:rsid w:val="1BF25A30"/>
    <w:rsid w:val="1C351416"/>
    <w:rsid w:val="1C4B1948"/>
    <w:rsid w:val="1C8651B5"/>
    <w:rsid w:val="1CAD440A"/>
    <w:rsid w:val="1CB57848"/>
    <w:rsid w:val="1CCC4B92"/>
    <w:rsid w:val="1D0460DA"/>
    <w:rsid w:val="1D13631D"/>
    <w:rsid w:val="1D232A04"/>
    <w:rsid w:val="1D2822C8"/>
    <w:rsid w:val="1D3833BB"/>
    <w:rsid w:val="1D81597C"/>
    <w:rsid w:val="1DC2042C"/>
    <w:rsid w:val="1DE5415D"/>
    <w:rsid w:val="1DEA52D0"/>
    <w:rsid w:val="1DED3012"/>
    <w:rsid w:val="1DFD5F2E"/>
    <w:rsid w:val="1E00340E"/>
    <w:rsid w:val="1E0C1579"/>
    <w:rsid w:val="1E1357AB"/>
    <w:rsid w:val="1E24645F"/>
    <w:rsid w:val="1E2A6014"/>
    <w:rsid w:val="1E3D18A3"/>
    <w:rsid w:val="1E7159F1"/>
    <w:rsid w:val="1E821BBD"/>
    <w:rsid w:val="1E916BED"/>
    <w:rsid w:val="1E965458"/>
    <w:rsid w:val="1E9D0FA2"/>
    <w:rsid w:val="1EB12291"/>
    <w:rsid w:val="1EBD5A9A"/>
    <w:rsid w:val="1EF04B68"/>
    <w:rsid w:val="1EF94BAD"/>
    <w:rsid w:val="1EFB6330"/>
    <w:rsid w:val="1F046865"/>
    <w:rsid w:val="1F3A2287"/>
    <w:rsid w:val="1F4E0F0C"/>
    <w:rsid w:val="1F826904"/>
    <w:rsid w:val="1FAB2B00"/>
    <w:rsid w:val="1FD004F5"/>
    <w:rsid w:val="200104F7"/>
    <w:rsid w:val="207E61A3"/>
    <w:rsid w:val="210B4FE1"/>
    <w:rsid w:val="213845A4"/>
    <w:rsid w:val="214116AB"/>
    <w:rsid w:val="21442F49"/>
    <w:rsid w:val="215B0191"/>
    <w:rsid w:val="217A696B"/>
    <w:rsid w:val="21871088"/>
    <w:rsid w:val="21973CB2"/>
    <w:rsid w:val="219874DF"/>
    <w:rsid w:val="219F2875"/>
    <w:rsid w:val="21C61BB0"/>
    <w:rsid w:val="21DC6A43"/>
    <w:rsid w:val="223B5ECD"/>
    <w:rsid w:val="223C6316"/>
    <w:rsid w:val="224A27E1"/>
    <w:rsid w:val="22911FDC"/>
    <w:rsid w:val="22934188"/>
    <w:rsid w:val="22A31049"/>
    <w:rsid w:val="22D95913"/>
    <w:rsid w:val="22E92DAE"/>
    <w:rsid w:val="230D4FDE"/>
    <w:rsid w:val="23464EA4"/>
    <w:rsid w:val="23476D20"/>
    <w:rsid w:val="23627FFE"/>
    <w:rsid w:val="237B69CA"/>
    <w:rsid w:val="237C16B0"/>
    <w:rsid w:val="238C46D8"/>
    <w:rsid w:val="23927D83"/>
    <w:rsid w:val="23EA6579"/>
    <w:rsid w:val="241C1F5B"/>
    <w:rsid w:val="24332DB1"/>
    <w:rsid w:val="2479115B"/>
    <w:rsid w:val="24863D83"/>
    <w:rsid w:val="24AC1230"/>
    <w:rsid w:val="24CF6FCD"/>
    <w:rsid w:val="24E24F97"/>
    <w:rsid w:val="24E2690A"/>
    <w:rsid w:val="24E90B49"/>
    <w:rsid w:val="24ED56A6"/>
    <w:rsid w:val="25626093"/>
    <w:rsid w:val="25754769"/>
    <w:rsid w:val="257A518B"/>
    <w:rsid w:val="25A97AD1"/>
    <w:rsid w:val="25B763DF"/>
    <w:rsid w:val="25B950A2"/>
    <w:rsid w:val="25F13214"/>
    <w:rsid w:val="2608197C"/>
    <w:rsid w:val="262F166B"/>
    <w:rsid w:val="26301CEE"/>
    <w:rsid w:val="26647BE9"/>
    <w:rsid w:val="26A83F7A"/>
    <w:rsid w:val="26C64400"/>
    <w:rsid w:val="26E86A6C"/>
    <w:rsid w:val="270E64D3"/>
    <w:rsid w:val="271909D4"/>
    <w:rsid w:val="27194E78"/>
    <w:rsid w:val="273870AC"/>
    <w:rsid w:val="27545EB0"/>
    <w:rsid w:val="275A1718"/>
    <w:rsid w:val="27D17500"/>
    <w:rsid w:val="280E3973"/>
    <w:rsid w:val="281D580C"/>
    <w:rsid w:val="282B09BF"/>
    <w:rsid w:val="28414686"/>
    <w:rsid w:val="2858552C"/>
    <w:rsid w:val="28760480"/>
    <w:rsid w:val="28935DFB"/>
    <w:rsid w:val="28B20F47"/>
    <w:rsid w:val="28C50E13"/>
    <w:rsid w:val="28CD7CC8"/>
    <w:rsid w:val="292634B6"/>
    <w:rsid w:val="294E705B"/>
    <w:rsid w:val="29A22F02"/>
    <w:rsid w:val="29BF5862"/>
    <w:rsid w:val="29CD4916"/>
    <w:rsid w:val="29D46E34"/>
    <w:rsid w:val="29DD03DE"/>
    <w:rsid w:val="29E17ECF"/>
    <w:rsid w:val="2A3C3357"/>
    <w:rsid w:val="2A3E6438"/>
    <w:rsid w:val="2A465E57"/>
    <w:rsid w:val="2A644D4B"/>
    <w:rsid w:val="2A6F1145"/>
    <w:rsid w:val="2AA85EB4"/>
    <w:rsid w:val="2AA920B2"/>
    <w:rsid w:val="2AB47391"/>
    <w:rsid w:val="2AC86999"/>
    <w:rsid w:val="2AE635CA"/>
    <w:rsid w:val="2B050B4A"/>
    <w:rsid w:val="2B2946EC"/>
    <w:rsid w:val="2B3E7086"/>
    <w:rsid w:val="2B585F6F"/>
    <w:rsid w:val="2B6C4E5B"/>
    <w:rsid w:val="2B7803BF"/>
    <w:rsid w:val="2B786611"/>
    <w:rsid w:val="2B8723B0"/>
    <w:rsid w:val="2B9B22FF"/>
    <w:rsid w:val="2BF35C97"/>
    <w:rsid w:val="2BF74787"/>
    <w:rsid w:val="2C212804"/>
    <w:rsid w:val="2C3D33B6"/>
    <w:rsid w:val="2C567FD4"/>
    <w:rsid w:val="2C5A7AC4"/>
    <w:rsid w:val="2C625899"/>
    <w:rsid w:val="2C6B2166"/>
    <w:rsid w:val="2C7C664B"/>
    <w:rsid w:val="2CC04FE2"/>
    <w:rsid w:val="2CC236E0"/>
    <w:rsid w:val="2CC4551C"/>
    <w:rsid w:val="2CDF4D6E"/>
    <w:rsid w:val="2CE83748"/>
    <w:rsid w:val="2CF17CED"/>
    <w:rsid w:val="2D0447D1"/>
    <w:rsid w:val="2D081976"/>
    <w:rsid w:val="2D55064C"/>
    <w:rsid w:val="2D9B2143"/>
    <w:rsid w:val="2DB11966"/>
    <w:rsid w:val="2DD90EBD"/>
    <w:rsid w:val="2DE50A82"/>
    <w:rsid w:val="2DED4A0D"/>
    <w:rsid w:val="2DFE59A5"/>
    <w:rsid w:val="2E135152"/>
    <w:rsid w:val="2E4862BB"/>
    <w:rsid w:val="2E5B7B24"/>
    <w:rsid w:val="2EBA4D54"/>
    <w:rsid w:val="2EFC1307"/>
    <w:rsid w:val="2F000DF7"/>
    <w:rsid w:val="2F0023CF"/>
    <w:rsid w:val="2F2148C9"/>
    <w:rsid w:val="2F2443BA"/>
    <w:rsid w:val="2FB65C4E"/>
    <w:rsid w:val="2FCF4325"/>
    <w:rsid w:val="2FE8479E"/>
    <w:rsid w:val="2FE95140"/>
    <w:rsid w:val="2FED236F"/>
    <w:rsid w:val="301306B6"/>
    <w:rsid w:val="30596861"/>
    <w:rsid w:val="307B44AD"/>
    <w:rsid w:val="308710A4"/>
    <w:rsid w:val="308E2433"/>
    <w:rsid w:val="30C145B6"/>
    <w:rsid w:val="30C51E78"/>
    <w:rsid w:val="30CA6168"/>
    <w:rsid w:val="30D756C5"/>
    <w:rsid w:val="30E408FB"/>
    <w:rsid w:val="310A7BF7"/>
    <w:rsid w:val="31215055"/>
    <w:rsid w:val="313E5C07"/>
    <w:rsid w:val="31405C07"/>
    <w:rsid w:val="315040D6"/>
    <w:rsid w:val="317C228B"/>
    <w:rsid w:val="317F1D7B"/>
    <w:rsid w:val="319F45D0"/>
    <w:rsid w:val="31A4058C"/>
    <w:rsid w:val="322D16CC"/>
    <w:rsid w:val="32322F6A"/>
    <w:rsid w:val="32377CE5"/>
    <w:rsid w:val="323B0398"/>
    <w:rsid w:val="3240775C"/>
    <w:rsid w:val="32430FFB"/>
    <w:rsid w:val="32582CF8"/>
    <w:rsid w:val="32584AA6"/>
    <w:rsid w:val="32A3685F"/>
    <w:rsid w:val="32CC7242"/>
    <w:rsid w:val="32E0684A"/>
    <w:rsid w:val="32EC680E"/>
    <w:rsid w:val="32F73FAA"/>
    <w:rsid w:val="32FB3683"/>
    <w:rsid w:val="3304078A"/>
    <w:rsid w:val="330E250E"/>
    <w:rsid w:val="33525999"/>
    <w:rsid w:val="338D69D1"/>
    <w:rsid w:val="338E62A6"/>
    <w:rsid w:val="339A1BDE"/>
    <w:rsid w:val="33B757FC"/>
    <w:rsid w:val="33D30C84"/>
    <w:rsid w:val="33EA5BD2"/>
    <w:rsid w:val="33EF31E8"/>
    <w:rsid w:val="33FE78CF"/>
    <w:rsid w:val="34406B87"/>
    <w:rsid w:val="34417EFB"/>
    <w:rsid w:val="345B6AD0"/>
    <w:rsid w:val="345E283C"/>
    <w:rsid w:val="34653E67"/>
    <w:rsid w:val="3476063E"/>
    <w:rsid w:val="34882FB8"/>
    <w:rsid w:val="34A264AC"/>
    <w:rsid w:val="34B66017"/>
    <w:rsid w:val="34E40873"/>
    <w:rsid w:val="35081E1D"/>
    <w:rsid w:val="35101668"/>
    <w:rsid w:val="356E45E1"/>
    <w:rsid w:val="358D16B6"/>
    <w:rsid w:val="3598445E"/>
    <w:rsid w:val="35B77D36"/>
    <w:rsid w:val="35B9585C"/>
    <w:rsid w:val="35D54660"/>
    <w:rsid w:val="35DC779C"/>
    <w:rsid w:val="35FA5E74"/>
    <w:rsid w:val="361F35B9"/>
    <w:rsid w:val="363E2205"/>
    <w:rsid w:val="36691F3B"/>
    <w:rsid w:val="367125DA"/>
    <w:rsid w:val="3679148F"/>
    <w:rsid w:val="36B71BA1"/>
    <w:rsid w:val="36BB17A3"/>
    <w:rsid w:val="37021484"/>
    <w:rsid w:val="370E209F"/>
    <w:rsid w:val="37337890"/>
    <w:rsid w:val="373A0C1E"/>
    <w:rsid w:val="378E2D18"/>
    <w:rsid w:val="3793032E"/>
    <w:rsid w:val="3799307A"/>
    <w:rsid w:val="37CB1876"/>
    <w:rsid w:val="37DF17C6"/>
    <w:rsid w:val="37EF3B02"/>
    <w:rsid w:val="38233460"/>
    <w:rsid w:val="38397128"/>
    <w:rsid w:val="384635F3"/>
    <w:rsid w:val="384D5E3A"/>
    <w:rsid w:val="38674EBC"/>
    <w:rsid w:val="38737F46"/>
    <w:rsid w:val="38971721"/>
    <w:rsid w:val="38A16A2C"/>
    <w:rsid w:val="38AE3672"/>
    <w:rsid w:val="38B30C88"/>
    <w:rsid w:val="38CC58A6"/>
    <w:rsid w:val="38EA21D0"/>
    <w:rsid w:val="39074B30"/>
    <w:rsid w:val="390908A8"/>
    <w:rsid w:val="393D0552"/>
    <w:rsid w:val="396B1563"/>
    <w:rsid w:val="397D2D0A"/>
    <w:rsid w:val="39A806AD"/>
    <w:rsid w:val="39A9208B"/>
    <w:rsid w:val="39AF695B"/>
    <w:rsid w:val="39BA1BA2"/>
    <w:rsid w:val="39BF3C58"/>
    <w:rsid w:val="39F91825"/>
    <w:rsid w:val="3A017687"/>
    <w:rsid w:val="3A146B43"/>
    <w:rsid w:val="3A2B253A"/>
    <w:rsid w:val="3A4D4A47"/>
    <w:rsid w:val="3A52002D"/>
    <w:rsid w:val="3A6A35C8"/>
    <w:rsid w:val="3A802DEC"/>
    <w:rsid w:val="3A865F28"/>
    <w:rsid w:val="3A8A1702"/>
    <w:rsid w:val="3A8D5509"/>
    <w:rsid w:val="3AAC6A87"/>
    <w:rsid w:val="3AAF5F7A"/>
    <w:rsid w:val="3B40257B"/>
    <w:rsid w:val="3B506C62"/>
    <w:rsid w:val="3B605538"/>
    <w:rsid w:val="3B6444BC"/>
    <w:rsid w:val="3B855C59"/>
    <w:rsid w:val="3BBB4F2B"/>
    <w:rsid w:val="3BDF34A3"/>
    <w:rsid w:val="3C2E1D30"/>
    <w:rsid w:val="3C75637C"/>
    <w:rsid w:val="3C8841DA"/>
    <w:rsid w:val="3C8C1F1C"/>
    <w:rsid w:val="3CB02ABC"/>
    <w:rsid w:val="3D26272A"/>
    <w:rsid w:val="3D4B4715"/>
    <w:rsid w:val="3D4E0F7F"/>
    <w:rsid w:val="3D5D7415"/>
    <w:rsid w:val="3D7B733F"/>
    <w:rsid w:val="3D8F5751"/>
    <w:rsid w:val="3DD5696E"/>
    <w:rsid w:val="3DE6740A"/>
    <w:rsid w:val="3E217342"/>
    <w:rsid w:val="3E235573"/>
    <w:rsid w:val="3E295549"/>
    <w:rsid w:val="3EA76B21"/>
    <w:rsid w:val="3EBE4AC0"/>
    <w:rsid w:val="3EC34ABA"/>
    <w:rsid w:val="3EEF6792"/>
    <w:rsid w:val="3EF1250A"/>
    <w:rsid w:val="3EF30CB8"/>
    <w:rsid w:val="3F010273"/>
    <w:rsid w:val="3F151D29"/>
    <w:rsid w:val="3F1E7077"/>
    <w:rsid w:val="3F312907"/>
    <w:rsid w:val="3F390BF1"/>
    <w:rsid w:val="3F5A57C4"/>
    <w:rsid w:val="3F626F64"/>
    <w:rsid w:val="3F8C2233"/>
    <w:rsid w:val="3FC7326B"/>
    <w:rsid w:val="3FDB6D16"/>
    <w:rsid w:val="3FF15E3E"/>
    <w:rsid w:val="40271F5C"/>
    <w:rsid w:val="40517064"/>
    <w:rsid w:val="405E2763"/>
    <w:rsid w:val="40A515E4"/>
    <w:rsid w:val="40CF6695"/>
    <w:rsid w:val="40F921F9"/>
    <w:rsid w:val="411053AE"/>
    <w:rsid w:val="41222415"/>
    <w:rsid w:val="41586871"/>
    <w:rsid w:val="415F7297"/>
    <w:rsid w:val="41FF4258"/>
    <w:rsid w:val="420E5181"/>
    <w:rsid w:val="421B164C"/>
    <w:rsid w:val="42266D7A"/>
    <w:rsid w:val="423B3A9C"/>
    <w:rsid w:val="424E557E"/>
    <w:rsid w:val="4257452B"/>
    <w:rsid w:val="425D1C65"/>
    <w:rsid w:val="42907D1D"/>
    <w:rsid w:val="42945242"/>
    <w:rsid w:val="42A47894"/>
    <w:rsid w:val="42AE0712"/>
    <w:rsid w:val="42C341BE"/>
    <w:rsid w:val="42F94BC5"/>
    <w:rsid w:val="42FF47E0"/>
    <w:rsid w:val="43046110"/>
    <w:rsid w:val="4345211F"/>
    <w:rsid w:val="43594821"/>
    <w:rsid w:val="43607C5E"/>
    <w:rsid w:val="438C0A54"/>
    <w:rsid w:val="43911BC6"/>
    <w:rsid w:val="43A15B81"/>
    <w:rsid w:val="43AC2EA4"/>
    <w:rsid w:val="43B90147"/>
    <w:rsid w:val="43E048FB"/>
    <w:rsid w:val="43E4623C"/>
    <w:rsid w:val="44044A8E"/>
    <w:rsid w:val="44184095"/>
    <w:rsid w:val="442C703E"/>
    <w:rsid w:val="44337301"/>
    <w:rsid w:val="44456514"/>
    <w:rsid w:val="444E3F5B"/>
    <w:rsid w:val="44636FA8"/>
    <w:rsid w:val="446C618F"/>
    <w:rsid w:val="449556E6"/>
    <w:rsid w:val="44CD1324"/>
    <w:rsid w:val="44EB5279"/>
    <w:rsid w:val="45017F6C"/>
    <w:rsid w:val="451231DA"/>
    <w:rsid w:val="45440EBA"/>
    <w:rsid w:val="4565163D"/>
    <w:rsid w:val="456A2EC1"/>
    <w:rsid w:val="456C0BE8"/>
    <w:rsid w:val="45773704"/>
    <w:rsid w:val="45C83899"/>
    <w:rsid w:val="45CC15DB"/>
    <w:rsid w:val="45FA056A"/>
    <w:rsid w:val="46265D80"/>
    <w:rsid w:val="46276DF2"/>
    <w:rsid w:val="462F6C33"/>
    <w:rsid w:val="463352C3"/>
    <w:rsid w:val="46341091"/>
    <w:rsid w:val="463E3977"/>
    <w:rsid w:val="46452C8E"/>
    <w:rsid w:val="465869CB"/>
    <w:rsid w:val="46625A9C"/>
    <w:rsid w:val="467E4D2F"/>
    <w:rsid w:val="46B75DE7"/>
    <w:rsid w:val="46BF36A1"/>
    <w:rsid w:val="46C6725C"/>
    <w:rsid w:val="46CB34A9"/>
    <w:rsid w:val="46DB13AA"/>
    <w:rsid w:val="46F30DEA"/>
    <w:rsid w:val="47107E8E"/>
    <w:rsid w:val="4712572F"/>
    <w:rsid w:val="4714279A"/>
    <w:rsid w:val="47356D0C"/>
    <w:rsid w:val="475A2C17"/>
    <w:rsid w:val="47A70117"/>
    <w:rsid w:val="47AB1CFA"/>
    <w:rsid w:val="47B9793D"/>
    <w:rsid w:val="47CA16E7"/>
    <w:rsid w:val="47F646ED"/>
    <w:rsid w:val="48054931"/>
    <w:rsid w:val="483D40E4"/>
    <w:rsid w:val="487C0C8C"/>
    <w:rsid w:val="48D16F09"/>
    <w:rsid w:val="48E94252"/>
    <w:rsid w:val="48F77B4E"/>
    <w:rsid w:val="4953791E"/>
    <w:rsid w:val="495F40F2"/>
    <w:rsid w:val="49746212"/>
    <w:rsid w:val="49926A58"/>
    <w:rsid w:val="499739B2"/>
    <w:rsid w:val="49E113CD"/>
    <w:rsid w:val="49F70953"/>
    <w:rsid w:val="4A25750C"/>
    <w:rsid w:val="4A275032"/>
    <w:rsid w:val="4A392FB7"/>
    <w:rsid w:val="4A4554B8"/>
    <w:rsid w:val="4A4D25BF"/>
    <w:rsid w:val="4A665B98"/>
    <w:rsid w:val="4A855938"/>
    <w:rsid w:val="4A920BB5"/>
    <w:rsid w:val="4A9B77CE"/>
    <w:rsid w:val="4ABA6D0D"/>
    <w:rsid w:val="4AE76A3D"/>
    <w:rsid w:val="4B0729A8"/>
    <w:rsid w:val="4B427C4A"/>
    <w:rsid w:val="4B4C0AC8"/>
    <w:rsid w:val="4B6127C6"/>
    <w:rsid w:val="4B6E0A3F"/>
    <w:rsid w:val="4B7C13AE"/>
    <w:rsid w:val="4B865C4C"/>
    <w:rsid w:val="4BA15EF4"/>
    <w:rsid w:val="4BA601D9"/>
    <w:rsid w:val="4BBD7344"/>
    <w:rsid w:val="4BBE19C6"/>
    <w:rsid w:val="4BDA124D"/>
    <w:rsid w:val="4C17581E"/>
    <w:rsid w:val="4C3937BB"/>
    <w:rsid w:val="4C3E2B07"/>
    <w:rsid w:val="4C4243A5"/>
    <w:rsid w:val="4C4B65CA"/>
    <w:rsid w:val="4C983FC5"/>
    <w:rsid w:val="4CA55C37"/>
    <w:rsid w:val="4CB9269A"/>
    <w:rsid w:val="4CBB4158"/>
    <w:rsid w:val="4CDB65A8"/>
    <w:rsid w:val="4D0913A1"/>
    <w:rsid w:val="4D1B69A4"/>
    <w:rsid w:val="4D233AF8"/>
    <w:rsid w:val="4D391406"/>
    <w:rsid w:val="4D4144B0"/>
    <w:rsid w:val="4D6D6403"/>
    <w:rsid w:val="4D720CBA"/>
    <w:rsid w:val="4D866514"/>
    <w:rsid w:val="4D8E361A"/>
    <w:rsid w:val="4D9329DF"/>
    <w:rsid w:val="4DA90454"/>
    <w:rsid w:val="4E0434B0"/>
    <w:rsid w:val="4E890570"/>
    <w:rsid w:val="4E8F13F8"/>
    <w:rsid w:val="4E90258F"/>
    <w:rsid w:val="4EB3158A"/>
    <w:rsid w:val="4EB65D2B"/>
    <w:rsid w:val="4EC05161"/>
    <w:rsid w:val="4EC372F3"/>
    <w:rsid w:val="4ECC6F71"/>
    <w:rsid w:val="4ED2501F"/>
    <w:rsid w:val="4EDD7D8F"/>
    <w:rsid w:val="4EE75E48"/>
    <w:rsid w:val="4EFB6A8D"/>
    <w:rsid w:val="4F3F6884"/>
    <w:rsid w:val="4F440434"/>
    <w:rsid w:val="4F451303"/>
    <w:rsid w:val="4F5C39D0"/>
    <w:rsid w:val="4F6576EA"/>
    <w:rsid w:val="4F840831"/>
    <w:rsid w:val="4FD95020"/>
    <w:rsid w:val="4FFE4A87"/>
    <w:rsid w:val="50243DC2"/>
    <w:rsid w:val="502D16BB"/>
    <w:rsid w:val="504D50C7"/>
    <w:rsid w:val="505521CD"/>
    <w:rsid w:val="5057107B"/>
    <w:rsid w:val="50574197"/>
    <w:rsid w:val="506D5769"/>
    <w:rsid w:val="5076286F"/>
    <w:rsid w:val="509B39D5"/>
    <w:rsid w:val="50D16BFD"/>
    <w:rsid w:val="50DD197E"/>
    <w:rsid w:val="50EC67A1"/>
    <w:rsid w:val="510725D4"/>
    <w:rsid w:val="511A787A"/>
    <w:rsid w:val="5127568D"/>
    <w:rsid w:val="51321301"/>
    <w:rsid w:val="51EE6435"/>
    <w:rsid w:val="526D37FE"/>
    <w:rsid w:val="52952D55"/>
    <w:rsid w:val="529F6597"/>
    <w:rsid w:val="52A86F2C"/>
    <w:rsid w:val="52B04C99"/>
    <w:rsid w:val="52B912A6"/>
    <w:rsid w:val="52EC51A6"/>
    <w:rsid w:val="52FC2DD4"/>
    <w:rsid w:val="532A16EF"/>
    <w:rsid w:val="53426A39"/>
    <w:rsid w:val="53781D06"/>
    <w:rsid w:val="537B63EF"/>
    <w:rsid w:val="538708F0"/>
    <w:rsid w:val="544E58B1"/>
    <w:rsid w:val="5498331A"/>
    <w:rsid w:val="54A13C33"/>
    <w:rsid w:val="54A61249"/>
    <w:rsid w:val="54A86D6F"/>
    <w:rsid w:val="54B514D4"/>
    <w:rsid w:val="54B629D5"/>
    <w:rsid w:val="54D062C6"/>
    <w:rsid w:val="54D97C18"/>
    <w:rsid w:val="55447D13"/>
    <w:rsid w:val="55466588"/>
    <w:rsid w:val="55564A1D"/>
    <w:rsid w:val="55972982"/>
    <w:rsid w:val="559E1FC9"/>
    <w:rsid w:val="55C7591B"/>
    <w:rsid w:val="562E599A"/>
    <w:rsid w:val="564927D4"/>
    <w:rsid w:val="564F7C22"/>
    <w:rsid w:val="56560406"/>
    <w:rsid w:val="56737851"/>
    <w:rsid w:val="56A45C5C"/>
    <w:rsid w:val="56CF18BD"/>
    <w:rsid w:val="56D025AE"/>
    <w:rsid w:val="571728EA"/>
    <w:rsid w:val="573214BA"/>
    <w:rsid w:val="575500C7"/>
    <w:rsid w:val="57596A47"/>
    <w:rsid w:val="576A2A02"/>
    <w:rsid w:val="579B705F"/>
    <w:rsid w:val="57A20D27"/>
    <w:rsid w:val="57A4224B"/>
    <w:rsid w:val="57BA5BA5"/>
    <w:rsid w:val="589F0295"/>
    <w:rsid w:val="58DC4904"/>
    <w:rsid w:val="58DF6166"/>
    <w:rsid w:val="58FD7F05"/>
    <w:rsid w:val="5903310E"/>
    <w:rsid w:val="590F551F"/>
    <w:rsid w:val="592941F7"/>
    <w:rsid w:val="592D018B"/>
    <w:rsid w:val="598002BB"/>
    <w:rsid w:val="598D0C2A"/>
    <w:rsid w:val="59951CB1"/>
    <w:rsid w:val="59CF2FF0"/>
    <w:rsid w:val="5A0B70A9"/>
    <w:rsid w:val="5A24333C"/>
    <w:rsid w:val="5A6776CD"/>
    <w:rsid w:val="5AA42DEF"/>
    <w:rsid w:val="5AA93841"/>
    <w:rsid w:val="5ACD1A01"/>
    <w:rsid w:val="5B1E422F"/>
    <w:rsid w:val="5B2B588C"/>
    <w:rsid w:val="5B4A6DD2"/>
    <w:rsid w:val="5BC05CBD"/>
    <w:rsid w:val="5BD95E69"/>
    <w:rsid w:val="5BDB3ECE"/>
    <w:rsid w:val="5C0444C1"/>
    <w:rsid w:val="5C3F0B21"/>
    <w:rsid w:val="5C473312"/>
    <w:rsid w:val="5C5310D4"/>
    <w:rsid w:val="5C642116"/>
    <w:rsid w:val="5C657C3C"/>
    <w:rsid w:val="5C693576"/>
    <w:rsid w:val="5C8005D2"/>
    <w:rsid w:val="5CAA564F"/>
    <w:rsid w:val="5CAC13C7"/>
    <w:rsid w:val="5CAC7619"/>
    <w:rsid w:val="5CC24948"/>
    <w:rsid w:val="5D042FB1"/>
    <w:rsid w:val="5D137698"/>
    <w:rsid w:val="5D230958"/>
    <w:rsid w:val="5D620ED1"/>
    <w:rsid w:val="5D79574D"/>
    <w:rsid w:val="5D8804B0"/>
    <w:rsid w:val="5D902A97"/>
    <w:rsid w:val="5DF03535"/>
    <w:rsid w:val="5E6F08FE"/>
    <w:rsid w:val="5E7D301B"/>
    <w:rsid w:val="5EFB3FC6"/>
    <w:rsid w:val="5F137306"/>
    <w:rsid w:val="5F5F48D5"/>
    <w:rsid w:val="5F697A43"/>
    <w:rsid w:val="5F816F91"/>
    <w:rsid w:val="5FB26F83"/>
    <w:rsid w:val="5FB962D5"/>
    <w:rsid w:val="6008725C"/>
    <w:rsid w:val="600D03CE"/>
    <w:rsid w:val="600D78DD"/>
    <w:rsid w:val="60106D78"/>
    <w:rsid w:val="601856F1"/>
    <w:rsid w:val="602F356E"/>
    <w:rsid w:val="607246D5"/>
    <w:rsid w:val="60762418"/>
    <w:rsid w:val="60803296"/>
    <w:rsid w:val="608274FA"/>
    <w:rsid w:val="608926BB"/>
    <w:rsid w:val="608B6453"/>
    <w:rsid w:val="609B1E7E"/>
    <w:rsid w:val="609E371C"/>
    <w:rsid w:val="60A9679A"/>
    <w:rsid w:val="60B66CB8"/>
    <w:rsid w:val="60C93929"/>
    <w:rsid w:val="61245255"/>
    <w:rsid w:val="61251748"/>
    <w:rsid w:val="614C4F26"/>
    <w:rsid w:val="615C17DE"/>
    <w:rsid w:val="617C580C"/>
    <w:rsid w:val="61D60E53"/>
    <w:rsid w:val="61F54763"/>
    <w:rsid w:val="62145A44"/>
    <w:rsid w:val="6230574E"/>
    <w:rsid w:val="624125B1"/>
    <w:rsid w:val="624D0F56"/>
    <w:rsid w:val="62534787"/>
    <w:rsid w:val="625E13B5"/>
    <w:rsid w:val="62665185"/>
    <w:rsid w:val="626C3AD2"/>
    <w:rsid w:val="62A36DC8"/>
    <w:rsid w:val="62A52BD5"/>
    <w:rsid w:val="62E93375"/>
    <w:rsid w:val="633A3BD0"/>
    <w:rsid w:val="635414A1"/>
    <w:rsid w:val="63817343"/>
    <w:rsid w:val="638B442C"/>
    <w:rsid w:val="63ED479F"/>
    <w:rsid w:val="64236413"/>
    <w:rsid w:val="643028DD"/>
    <w:rsid w:val="647867E2"/>
    <w:rsid w:val="647E75FB"/>
    <w:rsid w:val="649317EA"/>
    <w:rsid w:val="64963088"/>
    <w:rsid w:val="64E35BA2"/>
    <w:rsid w:val="64E9765C"/>
    <w:rsid w:val="64F43D8A"/>
    <w:rsid w:val="65195904"/>
    <w:rsid w:val="651D7306"/>
    <w:rsid w:val="652341F0"/>
    <w:rsid w:val="652D1F1F"/>
    <w:rsid w:val="655A2308"/>
    <w:rsid w:val="655F791E"/>
    <w:rsid w:val="65644F35"/>
    <w:rsid w:val="657A4758"/>
    <w:rsid w:val="65946767"/>
    <w:rsid w:val="659B1574"/>
    <w:rsid w:val="65A80432"/>
    <w:rsid w:val="65CE23AE"/>
    <w:rsid w:val="661D0829"/>
    <w:rsid w:val="6626043C"/>
    <w:rsid w:val="662F101F"/>
    <w:rsid w:val="664130B0"/>
    <w:rsid w:val="6646463A"/>
    <w:rsid w:val="6647411B"/>
    <w:rsid w:val="665B79B3"/>
    <w:rsid w:val="66684399"/>
    <w:rsid w:val="666D0EE1"/>
    <w:rsid w:val="666D7E19"/>
    <w:rsid w:val="6674473C"/>
    <w:rsid w:val="66911D59"/>
    <w:rsid w:val="66A12257"/>
    <w:rsid w:val="66BC2B4E"/>
    <w:rsid w:val="66E0683D"/>
    <w:rsid w:val="67112E9A"/>
    <w:rsid w:val="672D2785"/>
    <w:rsid w:val="67337356"/>
    <w:rsid w:val="6780592A"/>
    <w:rsid w:val="678161BB"/>
    <w:rsid w:val="67C21F0D"/>
    <w:rsid w:val="67EB425D"/>
    <w:rsid w:val="67FA1B80"/>
    <w:rsid w:val="68113F91"/>
    <w:rsid w:val="681809F8"/>
    <w:rsid w:val="68237E31"/>
    <w:rsid w:val="682E39BC"/>
    <w:rsid w:val="683703B4"/>
    <w:rsid w:val="683A1F7D"/>
    <w:rsid w:val="683C5CF5"/>
    <w:rsid w:val="68550B65"/>
    <w:rsid w:val="686D2352"/>
    <w:rsid w:val="689478DF"/>
    <w:rsid w:val="689B6EBF"/>
    <w:rsid w:val="689C481C"/>
    <w:rsid w:val="689C6793"/>
    <w:rsid w:val="68AA0EB0"/>
    <w:rsid w:val="68AF01E5"/>
    <w:rsid w:val="68B818C6"/>
    <w:rsid w:val="68BB366D"/>
    <w:rsid w:val="68CF6B69"/>
    <w:rsid w:val="68D91796"/>
    <w:rsid w:val="68D93544"/>
    <w:rsid w:val="69004FEC"/>
    <w:rsid w:val="69385B48"/>
    <w:rsid w:val="69E95A08"/>
    <w:rsid w:val="6A1231B1"/>
    <w:rsid w:val="6A892E36"/>
    <w:rsid w:val="6A966FCB"/>
    <w:rsid w:val="6B064C4C"/>
    <w:rsid w:val="6B154DF6"/>
    <w:rsid w:val="6B276469"/>
    <w:rsid w:val="6B637A3C"/>
    <w:rsid w:val="6B6D4E8A"/>
    <w:rsid w:val="6B724E0D"/>
    <w:rsid w:val="6B9B01DE"/>
    <w:rsid w:val="6BA14EAA"/>
    <w:rsid w:val="6C4A472B"/>
    <w:rsid w:val="6C557385"/>
    <w:rsid w:val="6C726189"/>
    <w:rsid w:val="6CA91B93"/>
    <w:rsid w:val="6CB5251A"/>
    <w:rsid w:val="6CB57E24"/>
    <w:rsid w:val="6CBA368C"/>
    <w:rsid w:val="6CBA7B30"/>
    <w:rsid w:val="6CCB7647"/>
    <w:rsid w:val="6CE22475"/>
    <w:rsid w:val="6CF52916"/>
    <w:rsid w:val="6CFE0684"/>
    <w:rsid w:val="6D10720A"/>
    <w:rsid w:val="6D2F3213"/>
    <w:rsid w:val="6D480DCC"/>
    <w:rsid w:val="6D6D7BF5"/>
    <w:rsid w:val="6D9E6B0A"/>
    <w:rsid w:val="6DAE1443"/>
    <w:rsid w:val="6DB158A5"/>
    <w:rsid w:val="6DC26133"/>
    <w:rsid w:val="6DDE3254"/>
    <w:rsid w:val="6DEA61F3"/>
    <w:rsid w:val="6E2A7ECB"/>
    <w:rsid w:val="6E4678CD"/>
    <w:rsid w:val="6E66587A"/>
    <w:rsid w:val="6E970129"/>
    <w:rsid w:val="6E9C129B"/>
    <w:rsid w:val="6EAD16FA"/>
    <w:rsid w:val="6EBE56B6"/>
    <w:rsid w:val="6F0F5F11"/>
    <w:rsid w:val="6F977CB5"/>
    <w:rsid w:val="6F983BAA"/>
    <w:rsid w:val="6FA006CC"/>
    <w:rsid w:val="6FB16FC8"/>
    <w:rsid w:val="6FCF56A0"/>
    <w:rsid w:val="6FE50A20"/>
    <w:rsid w:val="6FF9096F"/>
    <w:rsid w:val="702563DC"/>
    <w:rsid w:val="702618B0"/>
    <w:rsid w:val="702B3EA4"/>
    <w:rsid w:val="7047490B"/>
    <w:rsid w:val="704E09C0"/>
    <w:rsid w:val="707F70C6"/>
    <w:rsid w:val="70983CE4"/>
    <w:rsid w:val="70A80AF0"/>
    <w:rsid w:val="70AD3C34"/>
    <w:rsid w:val="70E77B62"/>
    <w:rsid w:val="70F215A3"/>
    <w:rsid w:val="710650F2"/>
    <w:rsid w:val="713019A0"/>
    <w:rsid w:val="71302AFD"/>
    <w:rsid w:val="713A2FED"/>
    <w:rsid w:val="713A7FA7"/>
    <w:rsid w:val="71445530"/>
    <w:rsid w:val="71645191"/>
    <w:rsid w:val="71744751"/>
    <w:rsid w:val="718A7AD1"/>
    <w:rsid w:val="71B2527A"/>
    <w:rsid w:val="71F72C8D"/>
    <w:rsid w:val="721B2E1F"/>
    <w:rsid w:val="7245605D"/>
    <w:rsid w:val="72541E8D"/>
    <w:rsid w:val="7298621E"/>
    <w:rsid w:val="72B56DCF"/>
    <w:rsid w:val="72B8241C"/>
    <w:rsid w:val="72C96758"/>
    <w:rsid w:val="72E15E16"/>
    <w:rsid w:val="72F421C5"/>
    <w:rsid w:val="73090CF4"/>
    <w:rsid w:val="73092C77"/>
    <w:rsid w:val="73514DB9"/>
    <w:rsid w:val="73612AB3"/>
    <w:rsid w:val="737A5923"/>
    <w:rsid w:val="73951571"/>
    <w:rsid w:val="73AB01D2"/>
    <w:rsid w:val="73C3551C"/>
    <w:rsid w:val="74176E60"/>
    <w:rsid w:val="74793E2D"/>
    <w:rsid w:val="748702F8"/>
    <w:rsid w:val="749834CA"/>
    <w:rsid w:val="74B8445B"/>
    <w:rsid w:val="74DD43BC"/>
    <w:rsid w:val="74DF35FC"/>
    <w:rsid w:val="74F040EF"/>
    <w:rsid w:val="74FA015C"/>
    <w:rsid w:val="751A2C77"/>
    <w:rsid w:val="7524023C"/>
    <w:rsid w:val="7564182E"/>
    <w:rsid w:val="757E2BAF"/>
    <w:rsid w:val="757F4D4C"/>
    <w:rsid w:val="75826D11"/>
    <w:rsid w:val="75A35605"/>
    <w:rsid w:val="75B82733"/>
    <w:rsid w:val="75ED4AD2"/>
    <w:rsid w:val="768865A9"/>
    <w:rsid w:val="768E74FF"/>
    <w:rsid w:val="76B455F0"/>
    <w:rsid w:val="76E539FB"/>
    <w:rsid w:val="772375CF"/>
    <w:rsid w:val="772E53A2"/>
    <w:rsid w:val="773274E3"/>
    <w:rsid w:val="77387FCF"/>
    <w:rsid w:val="77493684"/>
    <w:rsid w:val="7782124A"/>
    <w:rsid w:val="77AA19D3"/>
    <w:rsid w:val="77DF669D"/>
    <w:rsid w:val="77ED3C94"/>
    <w:rsid w:val="780E7FED"/>
    <w:rsid w:val="783E7867"/>
    <w:rsid w:val="7863107C"/>
    <w:rsid w:val="7879264D"/>
    <w:rsid w:val="78827754"/>
    <w:rsid w:val="78852DA0"/>
    <w:rsid w:val="78BD7139"/>
    <w:rsid w:val="78C0202A"/>
    <w:rsid w:val="78D635FC"/>
    <w:rsid w:val="791446AE"/>
    <w:rsid w:val="79393B8B"/>
    <w:rsid w:val="794C38BE"/>
    <w:rsid w:val="797B5EB0"/>
    <w:rsid w:val="798849E6"/>
    <w:rsid w:val="79A4194C"/>
    <w:rsid w:val="79EB757B"/>
    <w:rsid w:val="7B163C1F"/>
    <w:rsid w:val="7B18439F"/>
    <w:rsid w:val="7B284B90"/>
    <w:rsid w:val="7B302174"/>
    <w:rsid w:val="7B560A24"/>
    <w:rsid w:val="7BA07C1D"/>
    <w:rsid w:val="7BAB22FB"/>
    <w:rsid w:val="7BCB7664"/>
    <w:rsid w:val="7BEE6EAE"/>
    <w:rsid w:val="7C093CE8"/>
    <w:rsid w:val="7C245012"/>
    <w:rsid w:val="7C386316"/>
    <w:rsid w:val="7C4B4301"/>
    <w:rsid w:val="7C9378B1"/>
    <w:rsid w:val="7CAD4288"/>
    <w:rsid w:val="7CB21814"/>
    <w:rsid w:val="7CC05E30"/>
    <w:rsid w:val="7CC320E9"/>
    <w:rsid w:val="7CE24C65"/>
    <w:rsid w:val="7CED360A"/>
    <w:rsid w:val="7D0804C4"/>
    <w:rsid w:val="7D410524"/>
    <w:rsid w:val="7D43322A"/>
    <w:rsid w:val="7D8A0E59"/>
    <w:rsid w:val="7D8F021D"/>
    <w:rsid w:val="7DD07AD5"/>
    <w:rsid w:val="7DD24CD9"/>
    <w:rsid w:val="7DD937B6"/>
    <w:rsid w:val="7DF30503"/>
    <w:rsid w:val="7DF613AB"/>
    <w:rsid w:val="7E164242"/>
    <w:rsid w:val="7E327526"/>
    <w:rsid w:val="7E590F57"/>
    <w:rsid w:val="7E7E09BD"/>
    <w:rsid w:val="7ED06D3F"/>
    <w:rsid w:val="7ED87795"/>
    <w:rsid w:val="7EDB7CB8"/>
    <w:rsid w:val="7EE7417B"/>
    <w:rsid w:val="7F0B407F"/>
    <w:rsid w:val="7FB50DA6"/>
    <w:rsid w:val="7FEC3648"/>
    <w:rsid w:val="7FEE1B73"/>
    <w:rsid w:val="7FF84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19"/>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styleId="4">
    <w:name w:val="heading 2"/>
    <w:basedOn w:val="1"/>
    <w:next w:val="1"/>
    <w:link w:val="20"/>
    <w:unhideWhenUsed/>
    <w:qFormat/>
    <w:uiPriority w:val="0"/>
    <w:pPr>
      <w:keepNext/>
      <w:keepLines/>
      <w:spacing w:before="260" w:after="260"/>
      <w:ind w:firstLine="0" w:firstLineChars="0"/>
      <w:jc w:val="center"/>
      <w:outlineLvl w:val="1"/>
    </w:pPr>
    <w:rPr>
      <w:rFonts w:ascii="等线 Light" w:hAnsi="等线 Light" w:eastAsia="宋体" w:cs="Times New Roman"/>
      <w:b/>
      <w:bCs/>
      <w:sz w:val="32"/>
      <w:szCs w:val="32"/>
    </w:rPr>
  </w:style>
  <w:style w:type="paragraph" w:styleId="5">
    <w:name w:val="heading 3"/>
    <w:basedOn w:val="1"/>
    <w:next w:val="1"/>
    <w:link w:val="21"/>
    <w:unhideWhenUsed/>
    <w:qFormat/>
    <w:uiPriority w:val="0"/>
    <w:pPr>
      <w:keepNext/>
      <w:keepLines/>
      <w:spacing w:line="360" w:lineRule="auto"/>
      <w:outlineLvl w:val="2"/>
    </w:pPr>
    <w:rPr>
      <w:rFonts w:eastAsia="楷体"/>
      <w:b/>
      <w:bCs/>
      <w:sz w:val="32"/>
      <w:szCs w:val="32"/>
    </w:rPr>
  </w:style>
  <w:style w:type="character" w:default="1" w:styleId="15">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
    <w:link w:val="22"/>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paragraph" w:customStyle="1" w:styleId="17">
    <w:name w:val="公文正文（2023）"/>
    <w:link w:val="23"/>
    <w:qFormat/>
    <w:uiPriority w:val="0"/>
    <w:pPr>
      <w:widowControl w:val="0"/>
      <w:overflowPunct/>
      <w:spacing w:line="560" w:lineRule="exact"/>
      <w:ind w:firstLine="720" w:firstLineChars="200"/>
      <w:jc w:val="both"/>
    </w:pPr>
    <w:rPr>
      <w:rFonts w:ascii="仿宋_GB2312" w:hAnsi="仿宋_GB2312" w:eastAsia="仿宋_GB2312" w:cs="Arial"/>
      <w:snapToGrid w:val="0"/>
      <w:color w:val="000000"/>
      <w:spacing w:val="-6"/>
      <w:kern w:val="0"/>
      <w:sz w:val="32"/>
      <w:szCs w:val="22"/>
    </w:rPr>
  </w:style>
  <w:style w:type="paragraph" w:customStyle="1" w:styleId="18">
    <w:name w:val="二级标题（2023）"/>
    <w:next w:val="17"/>
    <w:link w:val="24"/>
    <w:qFormat/>
    <w:uiPriority w:val="0"/>
    <w:pPr>
      <w:snapToGrid/>
      <w:spacing w:line="560" w:lineRule="exact"/>
      <w:ind w:firstLine="440" w:firstLineChars="200"/>
      <w:jc w:val="both"/>
    </w:pPr>
    <w:rPr>
      <w:rFonts w:ascii="楷体_GB2312" w:hAnsi="楷体_GB2312" w:eastAsia="楷体_GB2312" w:cs="Times New Roman"/>
      <w:bCs/>
      <w:spacing w:val="-6"/>
      <w:sz w:val="32"/>
      <w:szCs w:val="32"/>
    </w:rPr>
  </w:style>
  <w:style w:type="character" w:customStyle="1" w:styleId="19">
    <w:name w:val="标题 1 字符"/>
    <w:link w:val="3"/>
    <w:qFormat/>
    <w:uiPriority w:val="0"/>
    <w:rPr>
      <w:rFonts w:ascii="Times New Roman" w:hAnsi="Times New Roman" w:eastAsia="黑体"/>
      <w:b/>
      <w:bCs/>
      <w:kern w:val="44"/>
      <w:sz w:val="36"/>
      <w:szCs w:val="44"/>
    </w:rPr>
  </w:style>
  <w:style w:type="character" w:customStyle="1" w:styleId="20">
    <w:name w:val="标题 2 字符"/>
    <w:link w:val="4"/>
    <w:qFormat/>
    <w:uiPriority w:val="0"/>
    <w:rPr>
      <w:rFonts w:ascii="等线 Light" w:hAnsi="等线 Light" w:eastAsia="宋体" w:cs="Times New Roman"/>
      <w:b/>
      <w:bCs/>
      <w:kern w:val="2"/>
      <w:sz w:val="32"/>
      <w:szCs w:val="32"/>
    </w:rPr>
  </w:style>
  <w:style w:type="character" w:customStyle="1" w:styleId="21">
    <w:name w:val="标题 3 字符"/>
    <w:link w:val="5"/>
    <w:qFormat/>
    <w:uiPriority w:val="0"/>
    <w:rPr>
      <w:rFonts w:ascii="Times New Roman" w:hAnsi="Times New Roman" w:eastAsia="楷体"/>
      <w:b/>
      <w:bCs/>
      <w:kern w:val="2"/>
      <w:sz w:val="32"/>
      <w:szCs w:val="32"/>
    </w:rPr>
  </w:style>
  <w:style w:type="character" w:customStyle="1" w:styleId="22">
    <w:name w:val="脚注文本 Char"/>
    <w:link w:val="10"/>
    <w:qFormat/>
    <w:uiPriority w:val="0"/>
    <w:rPr>
      <w:sz w:val="18"/>
    </w:rPr>
  </w:style>
  <w:style w:type="character" w:customStyle="1" w:styleId="23">
    <w:name w:val="公文正文（2023） Char"/>
    <w:link w:val="17"/>
    <w:qFormat/>
    <w:uiPriority w:val="0"/>
    <w:rPr>
      <w:rFonts w:ascii="仿宋_GB2312" w:hAnsi="仿宋_GB2312" w:eastAsia="仿宋_GB2312" w:cs="Arial"/>
      <w:snapToGrid w:val="0"/>
      <w:color w:val="000000"/>
      <w:spacing w:val="-6"/>
      <w:kern w:val="0"/>
      <w:sz w:val="32"/>
      <w:szCs w:val="22"/>
    </w:rPr>
  </w:style>
  <w:style w:type="character" w:customStyle="1" w:styleId="24">
    <w:name w:val="二级标题（2023） Char"/>
    <w:link w:val="18"/>
    <w:qFormat/>
    <w:uiPriority w:val="0"/>
    <w:rPr>
      <w:rFonts w:ascii="楷体_GB2312" w:hAnsi="楷体_GB2312" w:eastAsia="楷体_GB2312" w:cs="Times New Roman"/>
      <w:bCs/>
      <w:spacing w:val="-6"/>
      <w:sz w:val="32"/>
      <w:szCs w:val="32"/>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7">
    <w:name w:val="正文 New New New New New New New New New New New New New New New New New New New New New New New New New New New New New New New New New"/>
    <w:basedOn w:val="26"/>
    <w:qFormat/>
    <w:uiPriority w:val="0"/>
    <w:rPr>
      <w:rFonts w:ascii="Times New Roman" w:hAnsi="Times New Roman" w:eastAsia="宋体" w:cs="Times New Roman"/>
      <w:sz w:val="21"/>
      <w:szCs w:val="21"/>
    </w:rPr>
  </w:style>
  <w:style w:type="paragraph" w:customStyle="1" w:styleId="28">
    <w:name w:val="普通(网站) New"/>
    <w:basedOn w:val="26"/>
    <w:qFormat/>
    <w:uiPriority w:val="0"/>
    <w:pPr>
      <w:spacing w:before="100" w:beforeLines="0" w:beforeAutospacing="1" w:after="100" w:afterLines="0" w:afterAutospacing="1"/>
      <w:jc w:val="left"/>
    </w:pPr>
    <w:rPr>
      <w:rFonts w:ascii="Calibri" w:hAnsi="Calibri" w:eastAsia="宋体" w:cs="Calibri"/>
      <w:kern w:val="0"/>
      <w:sz w:val="24"/>
    </w:rPr>
  </w:style>
  <w:style w:type="paragraph" w:customStyle="1" w:styleId="29">
    <w:name w:val="WPSOffice手动目录 3"/>
    <w:qFormat/>
    <w:uiPriority w:val="0"/>
    <w:pPr>
      <w:ind w:leftChars="400"/>
    </w:pPr>
    <w:rPr>
      <w:rFonts w:ascii="Times New Roman" w:hAnsi="Times New Roman" w:eastAsia="宋体" w:cs="Times New Roman"/>
      <w:sz w:val="20"/>
      <w:szCs w:val="20"/>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普通(网站)1"/>
    <w:basedOn w:val="26"/>
    <w:qFormat/>
    <w:uiPriority w:val="0"/>
    <w:pPr>
      <w:spacing w:before="100" w:beforeLines="0" w:beforeAutospacing="1" w:after="100" w:afterLines="0" w:afterAutospacing="1"/>
      <w:jc w:val="left"/>
    </w:pPr>
    <w:rPr>
      <w:rFonts w:ascii="Calibri" w:hAnsi="Calibri" w:eastAsia="宋体" w:cs="Calibri"/>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14614</Words>
  <Characters>15083</Characters>
  <Lines>0</Lines>
  <Paragraphs>0</Paragraphs>
  <TotalTime>17</TotalTime>
  <ScaleCrop>false</ScaleCrop>
  <LinksUpToDate>false</LinksUpToDate>
  <CharactersWithSpaces>15229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11</cp:lastModifiedBy>
  <cp:lastPrinted>2021-02-26T02:45:00Z</cp:lastPrinted>
  <dcterms:modified xsi:type="dcterms:W3CDTF">2023-07-28T08:38:50Z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9A3CBBBDB00B4C7AB79CA70267A0BA2A</vt:lpwstr>
  </property>
</Properties>
</file>