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武江区仲裁院深入基层实地检查劳动人事争议调解机构运行情况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Style w:val="5"/>
          <w:rFonts w:hint="eastAsia" w:ascii="仿宋_GB2312" w:hAnsi="仿宋_GB2312" w:eastAsia="仿宋_GB2312" w:cs="仿宋_GB2312"/>
          <w:b w:val="0"/>
          <w:bCs w:val="0"/>
          <w:i w:val="0"/>
          <w:iCs w:val="0"/>
          <w:smallCaps w:val="0"/>
          <w:strike w:val="0"/>
          <w:sz w:val="32"/>
          <w:szCs w:val="32"/>
          <w:lang w:val="en-US"/>
        </w:rPr>
      </w:pPr>
      <w:r>
        <w:rPr>
          <w:rStyle w:val="5"/>
          <w:rFonts w:hint="eastAsia" w:ascii="仿宋_GB2312" w:hAnsi="仿宋_GB2312" w:eastAsia="仿宋_GB2312" w:cs="仿宋_GB2312"/>
          <w:b w:val="0"/>
          <w:bCs w:val="0"/>
          <w:i w:val="0"/>
          <w:iCs w:val="0"/>
          <w:smallCaps w:val="0"/>
          <w:strike w:val="0"/>
          <w:sz w:val="32"/>
          <w:szCs w:val="32"/>
        </w:rPr>
        <w:t>为鼓励支持劳动者以协商调解等柔性化方式妥善解决劳动争议，指导推动乡镇（街道）劳动争议调解组织建设，力争将劳动争议化解在基层。</w:t>
      </w:r>
      <w:r>
        <w:rPr>
          <w:rStyle w:val="5"/>
          <w:rFonts w:hint="eastAsia" w:ascii="仿宋_GB2312" w:hAnsi="仿宋_GB2312" w:eastAsia="仿宋_GB2312" w:cs="仿宋_GB2312"/>
          <w:b w:val="0"/>
          <w:bCs w:val="0"/>
          <w:i w:val="0"/>
          <w:iCs w:val="0"/>
          <w:smallCaps w:val="0"/>
          <w:strike w:val="0"/>
          <w:sz w:val="32"/>
          <w:szCs w:val="32"/>
          <w:lang w:val="en-US"/>
        </w:rPr>
        <w:t>2023年4月，武江区仲裁院一行前往重阳镇、龙归镇以及新华街道检查基层劳动人事争议调解中心运行情况。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Style w:val="5"/>
          <w:rFonts w:hint="eastAsia" w:ascii="仿宋_GB2312" w:hAnsi="仿宋_GB2312" w:eastAsia="仿宋_GB2312" w:cs="仿宋_GB2312"/>
          <w:b w:val="0"/>
          <w:bCs w:val="0"/>
          <w:i w:val="0"/>
          <w:iCs w:val="0"/>
          <w:smallCaps w:val="0"/>
          <w:strike w:val="0"/>
          <w:sz w:val="32"/>
          <w:szCs w:val="32"/>
          <w:lang w:val="en-US"/>
        </w:rPr>
      </w:pPr>
      <w:bookmarkStart w:id="0" w:name="_GoBack"/>
      <w:bookmarkEnd w:id="0"/>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387350</wp:posOffset>
            </wp:positionH>
            <wp:positionV relativeFrom="paragraph">
              <wp:posOffset>144145</wp:posOffset>
            </wp:positionV>
            <wp:extent cx="5027930" cy="3771265"/>
            <wp:effectExtent l="0" t="0" r="1270" b="635"/>
            <wp:wrapTopAndBottom/>
            <wp:docPr id="1" name="图片 1" descr="2023重阳镇检查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重阳镇检查图片2"/>
                    <pic:cNvPicPr>
                      <a:picLocks noChangeAspect="1"/>
                    </pic:cNvPicPr>
                  </pic:nvPicPr>
                  <pic:blipFill>
                    <a:blip r:embed="rId7"/>
                    <a:stretch>
                      <a:fillRect/>
                    </a:stretch>
                  </pic:blipFill>
                  <pic:spPr>
                    <a:xfrm>
                      <a:off x="0" y="0"/>
                      <a:ext cx="5027930" cy="3771265"/>
                    </a:xfrm>
                    <a:prstGeom prst="rect">
                      <a:avLst/>
                    </a:prstGeom>
                  </pic:spPr>
                </pic:pic>
              </a:graphicData>
            </a:graphic>
          </wp:anchor>
        </w:drawing>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Style w:val="5"/>
          <w:rFonts w:hint="eastAsia" w:ascii="仿宋_GB2312" w:hAnsi="仿宋_GB2312" w:eastAsia="仿宋_GB2312" w:cs="仿宋_GB2312"/>
          <w:b w:val="0"/>
          <w:bCs w:val="0"/>
          <w:i w:val="0"/>
          <w:iCs w:val="0"/>
          <w:smallCaps w:val="0"/>
          <w:strike w:val="0"/>
          <w:sz w:val="32"/>
          <w:szCs w:val="32"/>
          <w:lang w:val="en-US"/>
        </w:rPr>
      </w:pPr>
      <w:r>
        <w:rPr>
          <w:rStyle w:val="5"/>
          <w:rFonts w:hint="eastAsia" w:ascii="仿宋_GB2312" w:hAnsi="仿宋_GB2312" w:eastAsia="仿宋_GB2312" w:cs="仿宋_GB2312"/>
          <w:b w:val="0"/>
          <w:bCs w:val="0"/>
          <w:i w:val="0"/>
          <w:iCs w:val="0"/>
          <w:smallCaps w:val="0"/>
          <w:strike w:val="0"/>
          <w:sz w:val="32"/>
          <w:szCs w:val="32"/>
          <w:lang w:val="en-US"/>
        </w:rPr>
        <w:t>本次走访，</w:t>
      </w:r>
      <w:r>
        <w:rPr>
          <w:rStyle w:val="5"/>
          <w:rFonts w:hint="eastAsia" w:ascii="仿宋_GB2312" w:hAnsi="仿宋_GB2312" w:eastAsia="仿宋_GB2312" w:cs="仿宋_GB2312"/>
          <w:b w:val="0"/>
          <w:bCs w:val="0"/>
          <w:i w:val="0"/>
          <w:iCs w:val="0"/>
          <w:smallCaps w:val="0"/>
          <w:strike w:val="0"/>
          <w:sz w:val="32"/>
          <w:szCs w:val="32"/>
        </w:rPr>
        <w:t>旨在加强对基层劳动人事争议调解机构的监管和指导，提高调解质量和效率，保护当事人合法权益。检查中，我区仲裁院重点关注调解机构的组织架构、人员配备、调解程序、调解效果等方面，并针对存在的问题提出指导意见和建议。通过这次检查，重阳、龙归、新华街道三地的劳动人事争议调解中心均已设立，并</w:t>
      </w:r>
      <w:r>
        <w:rPr>
          <w:rStyle w:val="5"/>
          <w:rFonts w:hint="eastAsia" w:ascii="仿宋_GB2312" w:hAnsi="仿宋_GB2312" w:eastAsia="仿宋_GB2312" w:cs="仿宋_GB2312"/>
          <w:b w:val="0"/>
          <w:bCs w:val="0"/>
          <w:i w:val="0"/>
          <w:iCs w:val="0"/>
          <w:smallCaps w:val="0"/>
          <w:strike w:val="0"/>
          <w:sz w:val="32"/>
          <w:szCs w:val="32"/>
          <w:lang w:val="en-US"/>
        </w:rPr>
        <w:t>并将调解程序、职责、行为规范等张贴上墙，各调解中心运行良好。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640" w:firstLineChars="200"/>
        <w:jc w:val="both"/>
        <w:textAlignment w:val="auto"/>
        <w:rPr>
          <w:rStyle w:val="5"/>
          <w:rFonts w:hint="eastAsia" w:ascii="仿宋_GB2312" w:hAnsi="仿宋_GB2312" w:eastAsia="仿宋_GB2312" w:cs="仿宋_GB2312"/>
          <w:b w:val="0"/>
          <w:bCs w:val="0"/>
          <w:i w:val="0"/>
          <w:iCs w:val="0"/>
          <w:smallCaps w:val="0"/>
          <w:strike w:val="0"/>
          <w:sz w:val="32"/>
          <w:szCs w:val="32"/>
          <w:lang w:val="en-US"/>
        </w:rPr>
      </w:pPr>
      <w:r>
        <w:rPr>
          <w:rStyle w:val="5"/>
          <w:rFonts w:hint="eastAsia" w:ascii="仿宋_GB2312" w:hAnsi="仿宋_GB2312" w:eastAsia="仿宋_GB2312" w:cs="仿宋_GB2312"/>
          <w:b w:val="0"/>
          <w:bCs w:val="0"/>
          <w:i w:val="0"/>
          <w:iCs w:val="0"/>
          <w:smallCaps w:val="0"/>
          <w:strike w:val="0"/>
          <w:sz w:val="32"/>
          <w:szCs w:val="32"/>
          <w:lang w:val="en-US"/>
        </w:rPr>
        <w:drawing>
          <wp:inline distT="0" distB="0" distL="114300" distR="114300">
            <wp:extent cx="5616575" cy="4211955"/>
            <wp:effectExtent l="0" t="0" r="3175" b="17145"/>
            <wp:docPr id="2" name="图片 2" descr="2023重阳镇检查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重阳镇检查图片"/>
                    <pic:cNvPicPr>
                      <a:picLocks noChangeAspect="1"/>
                    </pic:cNvPicPr>
                  </pic:nvPicPr>
                  <pic:blipFill>
                    <a:blip r:embed="rId8"/>
                    <a:stretch>
                      <a:fillRect/>
                    </a:stretch>
                  </pic:blipFill>
                  <pic:spPr>
                    <a:xfrm>
                      <a:off x="0" y="0"/>
                      <a:ext cx="5616575" cy="4211955"/>
                    </a:xfrm>
                    <a:prstGeom prst="rect">
                      <a:avLst/>
                    </a:prstGeom>
                  </pic:spPr>
                </pic:pic>
              </a:graphicData>
            </a:graphic>
          </wp:inline>
        </w:drawing>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Style w:val="5"/>
          <w:rFonts w:hint="eastAsia" w:ascii="仿宋_GB2312" w:hAnsi="仿宋_GB2312" w:eastAsia="仿宋_GB2312" w:cs="仿宋_GB2312"/>
          <w:b w:val="0"/>
          <w:bCs w:val="0"/>
          <w:i w:val="0"/>
          <w:iCs w:val="0"/>
          <w:smallCaps w:val="0"/>
          <w:strike w:val="0"/>
          <w:sz w:val="32"/>
          <w:szCs w:val="32"/>
          <w:lang w:val="en-US"/>
        </w:rPr>
      </w:pPr>
      <w:r>
        <w:rPr>
          <w:rStyle w:val="5"/>
          <w:rFonts w:hint="eastAsia" w:ascii="仿宋_GB2312" w:hAnsi="仿宋_GB2312" w:eastAsia="仿宋_GB2312" w:cs="仿宋_GB2312"/>
          <w:b w:val="0"/>
          <w:bCs w:val="0"/>
          <w:i w:val="0"/>
          <w:iCs w:val="0"/>
          <w:smallCaps w:val="0"/>
          <w:strike w:val="0"/>
          <w:sz w:val="32"/>
          <w:szCs w:val="32"/>
          <w:lang w:val="en-US"/>
        </w:rPr>
        <w:t>据悉，重阳镇于今年3月成功调解一宗涉及因解除劳动关系而主张经济补偿金的案件。该案是源于公司方于劳动者方因责任归咎而发生的争议，涉案金额高达八万六千元，经重阳镇劳动人事争议调解中心介入调解，双方达成友好协商，互相让步，最终在该调解中心的见证下签订了调解协议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9" w:h="16848"/>
          <w:pgMar w:top="2098" w:right="1474" w:bottom="1984" w:left="1587" w:header="850" w:footer="1474" w:gutter="0"/>
          <w:paperSrc/>
          <w:pgNumType w:start="1"/>
          <w:cols w:space="720" w:num="1"/>
          <w:titlePg/>
          <w:rtlGutter w:val="0"/>
          <w:docGrid w:type="lines" w:linePitch="534" w:charSpace="0"/>
        </w:sectPr>
      </w:pPr>
      <w:r>
        <w:rPr>
          <w:rStyle w:val="5"/>
          <w:rFonts w:hint="eastAsia" w:ascii="仿宋_GB2312" w:hAnsi="仿宋_GB2312" w:eastAsia="仿宋_GB2312" w:cs="仿宋_GB2312"/>
          <w:b w:val="0"/>
          <w:bCs w:val="0"/>
          <w:i w:val="0"/>
          <w:iCs w:val="0"/>
          <w:smallCaps w:val="0"/>
          <w:strike w:val="0"/>
          <w:sz w:val="32"/>
          <w:szCs w:val="32"/>
        </w:rPr>
        <w:t>通过本次走访，武江区仲裁院进一步了解了基层各劳动人事争议调解中心的运行情况，交流了调解工作心得。接下来，我区仲裁院希望进一步加强与基层调解机构的沟通与合作，共同推动劳动人事争议调解工作的规范化、专业化和高效化，争取逐步实现程序衔接、资源整合、信息共享，推动形成劳动争议多元化解新格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2098" w:right="1474" w:bottom="1984" w:left="1587" w:header="850" w:footer="1474" w:gutter="0"/>
      <w:paperSrc/>
      <w:cols w:space="425" w:num="1"/>
      <w:rtlGutter w:val="0"/>
      <w:docGrid w:type="lines" w:linePitch="5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6203950</wp:posOffset>
              </wp:positionH>
              <wp:positionV relativeFrom="page">
                <wp:posOffset>9730740</wp:posOffset>
              </wp:positionV>
              <wp:extent cx="395605" cy="123190"/>
              <wp:effectExtent l="0" t="0" r="0" b="0"/>
              <wp:wrapNone/>
              <wp:docPr id="3" name="Shape 1"/>
              <wp:cNvGraphicFramePr/>
              <a:graphic xmlns:a="http://schemas.openxmlformats.org/drawingml/2006/main">
                <a:graphicData uri="http://schemas.microsoft.com/office/word/2010/wordprocessingShape">
                  <wps:wsp>
                    <wps:cNvSpPr txBox="1"/>
                    <wps:spPr>
                      <a:xfrm>
                        <a:off x="0" y="0"/>
                        <a:ext cx="395605" cy="1231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Style w:val="7"/>
                              <w:b w:val="0"/>
                              <w:bCs w:val="0"/>
                              <w:i w:val="0"/>
                              <w:iCs w:val="0"/>
                              <w:smallCaps w:val="0"/>
                              <w:strike w:val="0"/>
                              <w:sz w:val="24"/>
                              <w:szCs w:val="24"/>
                              <w:lang w:val="en-US" w:eastAsia="en-US" w:bidi="en-US"/>
                            </w:rPr>
                            <w:t>—1 —</w:t>
                          </w:r>
                        </w:p>
                      </w:txbxContent>
                    </wps:txbx>
                    <wps:bodyPr wrap="none" lIns="0" tIns="0" rIns="0" bIns="0">
                      <a:spAutoFit/>
                    </wps:bodyPr>
                  </wps:wsp>
                </a:graphicData>
              </a:graphic>
            </wp:anchor>
          </w:drawing>
        </mc:Choice>
        <mc:Fallback>
          <w:pict>
            <v:shape id="Shape 1" o:spid="_x0000_s1026" o:spt="202" type="#_x0000_t202" style="position:absolute;left:0pt;margin-left:488.5pt;margin-top:766.2pt;height:9.7pt;width:31.15pt;mso-position-horizontal-relative:page;mso-position-vertical-relative:page;mso-wrap-style:none;z-index:-251656192;mso-width-relative:page;mso-height-relative:page;" filled="f" stroked="f" coordsize="21600,21600" o:gfxdata="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1MgOzZ&#10;AAAADgEAAA8AAAAAAAAAAQAgAAAAIgAAAGRycy9kb3ducmV2LnhtbFBLAQIUABQAAAAIAIdO4kCj&#10;MGJ8rQEAAG8DAAAOAAAAAAAAAAEAIAAAACg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Style w:val="7"/>
                        <w:b w:val="0"/>
                        <w:bCs w:val="0"/>
                        <w:i w:val="0"/>
                        <w:iCs w:val="0"/>
                        <w:smallCaps w:val="0"/>
                        <w:strike w:val="0"/>
                        <w:sz w:val="24"/>
                        <w:szCs w:val="24"/>
                        <w:lang w:val="en-US" w:eastAsia="en-US" w:bidi="en-US"/>
                      </w:rPr>
                      <w:t>—1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26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ZiZGQ3MDNkYzBlMjg3ZDdlZTQzZThlZGM5OWIifQ=="/>
  </w:docVars>
  <w:rsids>
    <w:rsidRoot w:val="45C76911"/>
    <w:rsid w:val="183879D7"/>
    <w:rsid w:val="319309CF"/>
    <w:rsid w:val="45C76911"/>
    <w:rsid w:val="52946FDD"/>
    <w:rsid w:val="548B7EC0"/>
    <w:rsid w:val="5FBA0B42"/>
    <w:rsid w:val="7679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Style 7"/>
    <w:basedOn w:val="1"/>
    <w:link w:val="5"/>
    <w:qFormat/>
    <w:uiPriority w:val="0"/>
    <w:pPr>
      <w:widowControl w:val="0"/>
      <w:shd w:val="clear" w:color="auto" w:fill="auto"/>
      <w:spacing w:line="439" w:lineRule="auto"/>
      <w:ind w:firstLine="400"/>
    </w:pPr>
    <w:rPr>
      <w:rFonts w:ascii="宋体" w:hAnsi="宋体" w:eastAsia="宋体" w:cs="宋体"/>
      <w:sz w:val="26"/>
      <w:szCs w:val="26"/>
      <w:u w:val="none"/>
      <w:lang w:val="zh-CN" w:eastAsia="zh-CN" w:bidi="zh-CN"/>
    </w:rPr>
  </w:style>
  <w:style w:type="character" w:customStyle="1" w:styleId="5">
    <w:name w:val="Char Style 8"/>
    <w:basedOn w:val="3"/>
    <w:link w:val="4"/>
    <w:qFormat/>
    <w:uiPriority w:val="0"/>
    <w:rPr>
      <w:rFonts w:ascii="宋体" w:hAnsi="宋体" w:eastAsia="宋体" w:cs="宋体"/>
      <w:sz w:val="26"/>
      <w:szCs w:val="26"/>
      <w:u w:val="none"/>
      <w:lang w:val="zh-CN" w:eastAsia="zh-CN" w:bidi="zh-CN"/>
    </w:rPr>
  </w:style>
  <w:style w:type="paragraph" w:customStyle="1" w:styleId="6">
    <w:name w:val="Style 4"/>
    <w:basedOn w:val="1"/>
    <w:link w:val="7"/>
    <w:qFormat/>
    <w:uiPriority w:val="0"/>
    <w:pPr>
      <w:widowControl w:val="0"/>
      <w:shd w:val="clear" w:color="auto" w:fill="auto"/>
    </w:pPr>
    <w:rPr>
      <w:sz w:val="20"/>
      <w:szCs w:val="20"/>
      <w:u w:val="none"/>
      <w:lang w:val="zh-CN" w:eastAsia="zh-CN" w:bidi="zh-CN"/>
    </w:rPr>
  </w:style>
  <w:style w:type="character" w:customStyle="1" w:styleId="7">
    <w:name w:val="Char Style 5"/>
    <w:basedOn w:val="3"/>
    <w:link w:val="6"/>
    <w:qFormat/>
    <w:uiPriority w:val="0"/>
    <w:rPr>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582</Words>
  <Characters>585</Characters>
  <Lines>0</Lines>
  <Paragraphs>0</Paragraphs>
  <TotalTime>14</TotalTime>
  <ScaleCrop>false</ScaleCrop>
  <LinksUpToDate>false</LinksUpToDate>
  <CharactersWithSpaces>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2023-04-19T03:35:00Z</dcterms:created>
  <dc:creator>Administrator</dc:creator>
  <cp:lastModifiedBy>Administrator</cp:lastModifiedBy>
  <dcterms:modified xsi:type="dcterms:W3CDTF">2023-04-20T08:10:13Z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F2EE41FC9A994310AC4020675850E82D</vt:lpwstr>
  </property>
</Properties>
</file>