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</w:p>
    <w:p>
      <w:pPr>
        <w:spacing w:line="6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武</w:t>
      </w:r>
      <w:r>
        <w:rPr>
          <w:rFonts w:hint="eastAsia" w:ascii="方正小标宋简体" w:hAnsi="宋体" w:eastAsia="方正小标宋简体"/>
          <w:sz w:val="44"/>
          <w:szCs w:val="44"/>
        </w:rPr>
        <w:t>江区部门整体支出绩效自评报告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spacing w:line="600" w:lineRule="exact"/>
        <w:rPr>
          <w:rFonts w:ascii="仿宋_GB2312" w:eastAsia="仿宋_GB2312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一、部门概况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bCs/>
          <w:sz w:val="32"/>
          <w:szCs w:val="32"/>
        </w:rPr>
        <w:t>职能、机构设置及人员情况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1、部门职能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（1）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宣传贯彻落实党和国家各项方针政策和法律法规，执行上级的决议、决定。研究决定本乡镇经济建设、政治建设、文化建设、社会建设、生态文明建设和党的建设等方面的重大问题。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）落实基层党建工作责任制，加强基层党组织建设和党员队伍建设。落实全面从严治党主体责任和意识形态工作责任，加强基层党风廉政建设，维护和执行党的纪律。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）统筹制定并组织实施区域发展重大决策和建设规划，拟订并组织实施经济和产业发展规划和年度计划，深入实施乡村振兴战略，因地制宜发展区域特色经济，指导农村经济结构调整和推进经济增长方式转变，营造发展环境，组织农村基础设施建设，落实强农惠农措施，提高经济发展的质量和水平。履行生态环境保护的属地职责。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）统筹负责辖区公共服务工作，推进便民服务平台标准化建设。组织实施公共服务、党群服务、社会事务、政务服务等工作。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）统筹负责辖区综合治理工作，加强社会主义民主法治建设，组织开展社会治安综合治理、反邪教和平安建设、法治建设等有关工作。做好基层信访调解工作，化解社会矛盾，维护社会稳定。负责辖区公共安全及安全生产监管，构建公共安全防控体系，建立应对突发紧急事件的处理预案，做好应急管理相关工作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（6）统筹负责辖区综合行政执法工作，按权限负责相关领域执法工作。整合辖区相关执法力量和资源，开展综合行政执法。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（7）完善党领导下的基层社会治理体系，提高基层自治水平。健全村（社区）管理和服务机制，推行网格化管理和服务。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（8）动员辖区内各类单位、社会组织和村（居）民等社会力量参与社会治理，引导辖区单位履行社会责任，整合区域内各种社会力量为辖区发展服务。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（9）编制及执行本乡镇财政预决算计划，负责镇本级财务、审计以及集体资产管理工作，指导监督村（居）财务和资产管理工作。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（10）按照干部管理权限，负责干部的培育、选拔、管理和使用工作。做好人才服务和引进工作。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（11）完成区委、区政府交办的其他任务。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2、机构设置及人员情况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龙归镇</w:t>
      </w:r>
      <w:r>
        <w:rPr>
          <w:rFonts w:hint="eastAsia" w:ascii="仿宋_GB2312" w:eastAsia="仿宋_GB2312"/>
          <w:sz w:val="32"/>
          <w:szCs w:val="32"/>
        </w:rPr>
        <w:t>内设机构10个，分别是党政综合办公室、人大办公室、党建工作办公室（组织人事办公室）、纪检监察办公室、公共服务办公室（党群服务中心）、综合治理办公室、综合行政执法办公室（综合行政执法队）、规划建设办公室（生态环境保护办公室）、应急管理办公室、农业农村办公室（经济发展办公室）。此外，纳入本部门编制预算但未单独核算的下属单位有4个，分别是龙归镇财政所、龙归镇公共服务中心、龙归镇敬老院、龙归镇退役军人服务站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龙归镇本级及下属单位总编制数为111人，其中行政编制67人，事业编制34人，参公编制6人，机关工勤编4人。2022年末实有人数106人，其中行政编制66人，事业编制32人，参公编制4人，机关工勤编4人。2022年部门整体在职人员控制率为95.50%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收支总体情况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1.部门整体收入情况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2022年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龙归镇政府部门整体预算收入为</w:t>
      </w:r>
      <w:r>
        <w:rPr>
          <w:rFonts w:hint="eastAsia" w:ascii="仿宋_GB2312" w:eastAsia="仿宋_GB2312"/>
          <w:sz w:val="32"/>
          <w:szCs w:val="32"/>
        </w:rPr>
        <w:t>5994.4932万元，其中：一般公共预算财政拨款收入3952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54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万元、政府性基金预算财政拨款收入334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07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41万元，其他收入623.2224万元。年初结转和结余1084.6549万元。具体预算收入情况见表1-1。</w:t>
      </w:r>
    </w:p>
    <w:p>
      <w:pPr>
        <w:pStyle w:val="8"/>
        <w:rPr>
          <w:rFonts w:eastAsia="宋体"/>
          <w:b/>
          <w:bCs/>
        </w:rPr>
      </w:pPr>
      <w:r>
        <w:rPr>
          <w:rFonts w:eastAsia="宋体"/>
          <w:b/>
          <w:bCs/>
        </w:rPr>
        <w:t>表1-</w:t>
      </w:r>
      <w:r>
        <w:rPr>
          <w:rFonts w:hint="eastAsia" w:eastAsia="宋体"/>
          <w:b/>
          <w:bCs/>
          <w:lang w:val="en-US" w:eastAsia="zh-CN"/>
        </w:rPr>
        <w:t>1</w:t>
      </w:r>
      <w:r>
        <w:rPr>
          <w:rFonts w:eastAsia="宋体"/>
          <w:b/>
          <w:bCs/>
        </w:rPr>
        <w:t xml:space="preserve"> 202</w:t>
      </w:r>
      <w:r>
        <w:rPr>
          <w:rFonts w:hint="eastAsia" w:eastAsia="宋体"/>
          <w:b/>
          <w:bCs/>
          <w:lang w:val="en-US" w:eastAsia="zh-CN"/>
        </w:rPr>
        <w:t>2</w:t>
      </w:r>
      <w:r>
        <w:rPr>
          <w:rFonts w:eastAsia="宋体"/>
          <w:b/>
          <w:bCs/>
        </w:rPr>
        <w:t>年龙归镇部门整体收入情况表（元）</w:t>
      </w:r>
    </w:p>
    <w:tbl>
      <w:tblPr>
        <w:tblStyle w:val="4"/>
        <w:tblW w:w="89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7"/>
        <w:gridCol w:w="2131"/>
        <w:gridCol w:w="2025"/>
        <w:gridCol w:w="1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tblHeader/>
        </w:trPr>
        <w:tc>
          <w:tcPr>
            <w:tcW w:w="2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收入项目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年初预算数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调整预算数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一、一般公共预算财政拨款收入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53,969,923.91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39,525,418.40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39,525,418.40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二、政府性基金预算财政拨款收入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3,340,740.67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3,340,740.67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三、国有资本经营预算财政拨款收入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四、上级补助收入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五、事业收入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六、经营收入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七、附属单位上缴收入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八、其他收入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6,232,223.65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6,232,223.65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本年收入合计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53,969,923.91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49,098,382.72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49,098,382.72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 xml:space="preserve">  使用非财政拨款结余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 xml:space="preserve">  年初结转和结余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sz w:val="22"/>
              </w:rPr>
              <w:t>0.00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10,846,549.16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10,846,549.16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总计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53,969,923.91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59,944,931.88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59,944,931.88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2.部门整体支出情况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年龙归镇政府部门整体支出年初预算数为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5396.9924</w:t>
      </w:r>
      <w:r>
        <w:rPr>
          <w:rFonts w:hint="eastAsia" w:ascii="仿宋_GB2312" w:eastAsia="仿宋_GB2312"/>
          <w:sz w:val="32"/>
          <w:szCs w:val="32"/>
        </w:rPr>
        <w:t>万元，年中调增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109.836</w:t>
      </w:r>
      <w:r>
        <w:rPr>
          <w:rFonts w:hint="eastAsia" w:ascii="仿宋_GB2312" w:eastAsia="仿宋_GB2312"/>
          <w:sz w:val="32"/>
          <w:szCs w:val="32"/>
        </w:rPr>
        <w:t>万元，调整预算数为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5506.8284</w:t>
      </w:r>
      <w:r>
        <w:rPr>
          <w:rFonts w:hint="eastAsia" w:ascii="仿宋_GB2312" w:eastAsia="仿宋_GB2312"/>
          <w:sz w:val="32"/>
          <w:szCs w:val="32"/>
        </w:rPr>
        <w:t>万元，预算调整率为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2.04</w:t>
      </w:r>
      <w:r>
        <w:rPr>
          <w:rFonts w:hint="eastAsia"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决算支出数为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5506.8284</w:t>
      </w:r>
      <w:r>
        <w:rPr>
          <w:rFonts w:hint="eastAsia" w:ascii="仿宋_GB2312" w:eastAsia="仿宋_GB2312"/>
          <w:sz w:val="32"/>
          <w:szCs w:val="32"/>
        </w:rPr>
        <w:t>万元，预算执行率为100%。部门年末结转和结余资金487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664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万元。具体支出情况见表1-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rPr>
          <w:rFonts w:eastAsia="宋体"/>
          <w:b/>
          <w:bCs/>
        </w:rPr>
      </w:pPr>
      <w:r>
        <w:rPr>
          <w:rFonts w:eastAsia="宋体"/>
          <w:b/>
          <w:bCs/>
        </w:rPr>
        <w:t>表1-</w:t>
      </w:r>
      <w:r>
        <w:rPr>
          <w:rFonts w:hint="eastAsia" w:eastAsia="宋体"/>
          <w:b/>
          <w:bCs/>
          <w:lang w:val="en-US" w:eastAsia="zh-CN"/>
        </w:rPr>
        <w:t>2</w:t>
      </w:r>
      <w:r>
        <w:rPr>
          <w:rFonts w:eastAsia="宋体"/>
          <w:b/>
          <w:bCs/>
        </w:rPr>
        <w:t xml:space="preserve"> 202</w:t>
      </w:r>
      <w:r>
        <w:rPr>
          <w:rFonts w:hint="eastAsia" w:eastAsia="宋体"/>
          <w:b/>
          <w:bCs/>
          <w:lang w:val="en-US" w:eastAsia="zh-CN"/>
        </w:rPr>
        <w:t>2</w:t>
      </w:r>
      <w:r>
        <w:rPr>
          <w:rFonts w:eastAsia="宋体"/>
          <w:b/>
          <w:bCs/>
        </w:rPr>
        <w:t>年龙归镇部门整体支出情况表（元）</w:t>
      </w:r>
    </w:p>
    <w:tbl>
      <w:tblPr>
        <w:tblStyle w:val="4"/>
        <w:tblW w:w="864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843"/>
        <w:gridCol w:w="19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部门支出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调整预算数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14,966,692.76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19,096,134.67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default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19,00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6436.40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 xml:space="preserve">      人员经费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13,277,812.76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17,874,418.40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17,874,418.40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 xml:space="preserve">      公用经费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1,688,880.00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1,221,716.27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1,1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32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,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18.00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39,003,231.15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35,972,149.63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36,06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,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84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7.90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 xml:space="preserve">    其中：基本建设类项目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三、上缴上级支出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四、经营支出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五、对附属单位补助支出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2"/>
                <w:sz w:val="22"/>
                <w:lang w:val="en-US" w:eastAsia="zh-CN" w:bidi="ar-SA"/>
              </w:rPr>
            </w:pP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本年</w:t>
            </w:r>
            <w:r>
              <w:rPr>
                <w:rFonts w:hint="eastAsia" w:eastAsia="宋体" w:cs="Times New Roman"/>
                <w:b/>
                <w:bCs/>
                <w:color w:val="000000"/>
                <w:sz w:val="22"/>
                <w:lang w:val="en-US" w:eastAsia="zh-CN"/>
              </w:rPr>
              <w:t>支出</w:t>
            </w:r>
            <w:r>
              <w:rPr>
                <w:rFonts w:eastAsia="宋体" w:cs="Times New Roman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宋体" w:cs="Times New Roman"/>
                <w:b/>
                <w:bCs/>
                <w:color w:val="000000"/>
                <w:kern w:val="2"/>
                <w:sz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53,969,923.91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宋体" w:cs="Times New Roman"/>
                <w:b/>
                <w:bCs/>
                <w:color w:val="000000"/>
                <w:kern w:val="2"/>
                <w:sz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55,068,284.30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 w:eastAsia="宋体" w:cs="Times New Roman"/>
                <w:b/>
                <w:bCs/>
                <w:color w:val="000000"/>
                <w:kern w:val="2"/>
                <w:sz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sz w:val="22"/>
              </w:rPr>
              <w:t>55,068,284.30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240" w:lineRule="auto"/>
              <w:ind w:firstLine="220" w:firstLineChars="10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结余分配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default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 xml:space="preserve">  年末结转和结余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default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  <w:lang w:val="en-US" w:eastAsia="zh-CN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4,876,647.58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szCs w:val="22"/>
              </w:rPr>
              <w:t>4,876,647.58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总计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53,969,923.91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59,944,931.88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right"/>
              <w:rPr>
                <w:rFonts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59,944,931.88</w:t>
            </w:r>
          </w:p>
        </w:tc>
      </w:tr>
    </w:tbl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部门预算编制情况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龙归镇政府预算为汇总预算，包括：本级预算，以及纳入编制范围未独立核算的下属事业单位预算。下属事业单位具体包括：龙归镇财政所、龙归镇公共服务中心、龙归镇敬老院、龙归镇退役军人服务站。2022 年本部门收入预算5396.99万元，比上年增加3234.46 万元，增长149.6 %，主要原因是新增涉农统筹整合转移支付资金、冲下精品样板村项目资金及一体化工程项目资金 ；支出预算5396.99 万元，比上年增加3234.46 万元，增长149.6 %，主要原因是新增支出涉农统筹整合转移支付资金、冲下精品样板村项目资金及一体化工程项目资金。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以习近平新时代中国特色社会主义思想为指导，全面深入贯彻党的十九大和十九届二中、三中、四中、五中全会精神和对广东重要讲话、重要指示批示精神，在做好常态化疫情防控工作的前提下，紧紧围绕镇党委、镇政府的中心工作，坚持稳中求进工作总基调，坚持新发展理念、牢固树立集中财力办大事意识，牢固树立“过紧日子”的思想，大力压减一般性支出，严控“三公”经费支出，严格执行财政预算，严格执行各项财经制度，规范和加强财政资金的监管和使用，确保重点支出和民生支出，较好的完成了全镇财政预算目标任务。</w:t>
      </w:r>
    </w:p>
    <w:p>
      <w:pPr>
        <w:spacing w:line="60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二、支出情况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（一）部门基本支出情况。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龙归镇政府基本支出决算数为1900.6436万元，占部门整体支出决算的34.51%，涉及4个支出科目，包括一般公共服务支出1328.3739万元、社会保障和就业支出385.8888万元、卫生健康支出71.0331万元、住房保障支出115.3479万元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部门项目支出情况。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年龙归镇政府项目支出涉及8个支出科目，包括一般公共服务支出、科学技术支出、文化旅游体育与传媒支出、社会保障与就业支出、卫生健康支出、城乡社区支出、农林水支出、其他支出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具体包括镇（街）提升专项经费，小水电企业以奖代补，电站分红、参股退息、电站资源费以及卫生健康工作经费等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</w:t>
      </w:r>
      <w:r>
        <w:rPr>
          <w:rFonts w:hint="eastAsia" w:ascii="仿宋_GB2312" w:eastAsia="仿宋_GB2312"/>
          <w:sz w:val="32"/>
          <w:szCs w:val="32"/>
        </w:rPr>
        <w:t>个项目，项目财政资金来源有上级转移支付、专项债、区级财政拨款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项目绩效目标情况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镇</w:t>
      </w:r>
      <w:r>
        <w:rPr>
          <w:rFonts w:hint="eastAsia" w:ascii="仿宋_GB2312" w:eastAsia="仿宋_GB2312"/>
          <w:sz w:val="32"/>
          <w:szCs w:val="32"/>
        </w:rPr>
        <w:t>按照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eastAsia="仿宋_GB2312"/>
          <w:sz w:val="32"/>
          <w:szCs w:val="32"/>
        </w:rPr>
        <w:t>工作部署，结合部门职能，以及部门工作计划，科学设定绩效目标。整体绩效目标与预算资金相匹配，契合客观实际，与部门履职和年度工作任务匹配，保障工作任务层层落实。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eastAsia="仿宋_GB2312"/>
          <w:sz w:val="32"/>
          <w:szCs w:val="32"/>
        </w:rPr>
        <w:t>项目资金使用情况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2022年龙归镇项目支出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3606.1848</w:t>
      </w:r>
      <w:r>
        <w:rPr>
          <w:rFonts w:hint="eastAsia" w:ascii="仿宋_GB2312" w:eastAsia="仿宋_GB2312"/>
          <w:sz w:val="32"/>
          <w:szCs w:val="32"/>
        </w:rPr>
        <w:t>万元，其中一般公共服务支出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1688.3314</w:t>
      </w:r>
      <w:r>
        <w:rPr>
          <w:rFonts w:hint="eastAsia" w:ascii="仿宋_GB2312" w:eastAsia="仿宋_GB2312"/>
          <w:sz w:val="32"/>
          <w:szCs w:val="32"/>
        </w:rPr>
        <w:t>万元，科学技术支出7.46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</w:t>
      </w:r>
      <w:r>
        <w:rPr>
          <w:rFonts w:hint="eastAsia" w:ascii="仿宋_GB2312" w:eastAsia="仿宋_GB2312"/>
          <w:sz w:val="32"/>
          <w:szCs w:val="32"/>
        </w:rPr>
        <w:t>万元，文化旅游体育与传媒支出17.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8969</w:t>
      </w:r>
      <w:r>
        <w:rPr>
          <w:rFonts w:hint="eastAsia" w:ascii="仿宋_GB2312" w:eastAsia="仿宋_GB2312"/>
          <w:sz w:val="32"/>
          <w:szCs w:val="32"/>
        </w:rPr>
        <w:t>万元，社会保障和就业支出73.86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eastAsia="仿宋_GB2312"/>
          <w:sz w:val="32"/>
          <w:szCs w:val="32"/>
        </w:rPr>
        <w:t>万元，卫生健康支出17.2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655</w:t>
      </w:r>
      <w:r>
        <w:rPr>
          <w:rFonts w:hint="eastAsia" w:ascii="仿宋_GB2312" w:eastAsia="仿宋_GB2312"/>
          <w:sz w:val="32"/>
          <w:szCs w:val="32"/>
        </w:rPr>
        <w:t>万元，城乡社区支出97.3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385</w:t>
      </w:r>
      <w:r>
        <w:rPr>
          <w:rFonts w:hint="eastAsia" w:ascii="仿宋_GB2312" w:eastAsia="仿宋_GB2312"/>
          <w:sz w:val="32"/>
          <w:szCs w:val="32"/>
        </w:rPr>
        <w:t>万元，农林水支出1359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.0023</w:t>
      </w:r>
      <w:r>
        <w:rPr>
          <w:rFonts w:hint="eastAsia" w:ascii="仿宋_GB2312" w:eastAsia="仿宋_GB2312"/>
          <w:sz w:val="32"/>
          <w:szCs w:val="32"/>
        </w:rPr>
        <w:t>万元，灾害防治及应急管理支出10.9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554</w:t>
      </w:r>
      <w:r>
        <w:rPr>
          <w:rFonts w:hint="eastAsia" w:ascii="仿宋_GB2312" w:eastAsia="仿宋_GB2312"/>
          <w:sz w:val="32"/>
          <w:szCs w:val="32"/>
        </w:rPr>
        <w:t>万元，其他支出334.07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项目资金的支出使用参照经费管理要求进行收支管理，确保专款专用、投入到位、充分发挥效益。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</w:rPr>
        <w:t>项目绩效自评及其他需要说明的情况。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绩效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自评</w:t>
      </w:r>
      <w:r>
        <w:rPr>
          <w:rFonts w:hint="eastAsia" w:ascii="仿宋_GB2312" w:eastAsia="仿宋_GB2312"/>
          <w:sz w:val="32"/>
          <w:szCs w:val="32"/>
        </w:rPr>
        <w:t>围绕我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镇</w:t>
      </w:r>
      <w:r>
        <w:rPr>
          <w:rFonts w:hint="eastAsia" w:ascii="仿宋_GB2312" w:eastAsia="仿宋_GB2312"/>
          <w:sz w:val="32"/>
          <w:szCs w:val="32"/>
        </w:rPr>
        <w:t>预算资金管理开展，严格把控预算资金收支，将预算收支全面纳入绩效管理，在单位内逐步树立预算绩效管理理念，不断提高财政资金使用效益。绩效评价小组严格按照评分要求和评分标准，实事求是，认真填报自评表，深入分析整体支出绩效情况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综合自评得分92分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三公经费情况。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龙归镇</w:t>
      </w:r>
      <w:r>
        <w:rPr>
          <w:rFonts w:hint="eastAsia" w:ascii="仿宋_GB2312" w:eastAsia="仿宋_GB2312"/>
          <w:sz w:val="32"/>
          <w:szCs w:val="32"/>
        </w:rPr>
        <w:t>严控“三公”经费支出，厉行节约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“三公”经费预算24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68万元，“三公”经费实际支出21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63万元，比上年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10.09 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87.45%，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增加原因：机构改革，工商所和国土所归并至龙归镇政府，相关经费下拨。</w:t>
      </w:r>
      <w:r>
        <w:rPr>
          <w:rFonts w:hint="eastAsia" w:ascii="仿宋_GB2312" w:eastAsia="仿宋_GB2312"/>
          <w:sz w:val="32"/>
          <w:szCs w:val="32"/>
        </w:rPr>
        <w:t>本年度公务用车运行维护费17万元，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115.19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原因：工商所和国土所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车辆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调拨至龙归镇政府</w:t>
      </w:r>
      <w:r>
        <w:rPr>
          <w:rFonts w:hint="eastAsia" w:ascii="仿宋_GB2312" w:eastAsia="仿宋_GB2312"/>
          <w:sz w:val="32"/>
          <w:szCs w:val="32"/>
        </w:rPr>
        <w:t>。2022年度公务接待费4.63 万元，增加27.26%，原因：2022年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乡村振兴相关工作、各部门专项视察调研工作等方面的公务接待</w:t>
      </w:r>
      <w:r>
        <w:rPr>
          <w:rFonts w:hint="eastAsia" w:ascii="仿宋_GB2312" w:eastAsia="仿宋_GB2312"/>
          <w:sz w:val="32"/>
          <w:szCs w:val="32"/>
        </w:rPr>
        <w:t>与上年相比增加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三、存在问题及下一步工作计划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一是需进一步研究完善项目经费管理制度，不断加强项目跟踪检查；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部分项目</w:t>
      </w:r>
      <w:r>
        <w:rPr>
          <w:rFonts w:hint="eastAsia" w:ascii="仿宋_GB2312" w:eastAsia="仿宋_GB2312"/>
          <w:sz w:val="32"/>
          <w:szCs w:val="32"/>
        </w:rPr>
        <w:t>从立项到结项时限较长，其中存在不确定因素影响，导致实际执行情况与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 xml:space="preserve">财政的执行进度有差距，从而影响项目的经费执行进度。 </w:t>
      </w:r>
    </w:p>
    <w:p>
      <w:pPr>
        <w:numPr>
          <w:ilvl w:val="0"/>
          <w:numId w:val="4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一是提前精细做好预算。根据单位实际，全面、科学、合理提前谋划，精打细算，尽早启动年度申报工作；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 xml:space="preserve">是强化项目跟踪管理。认真对照预算方案，细化事前、事中、事后全过程监督管理，提高预算执行效果。 </w:t>
      </w:r>
    </w:p>
    <w:p>
      <w:pPr>
        <w:spacing w:line="60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资金使用管理应延续</w:t>
      </w:r>
      <w:r>
        <w:rPr>
          <w:rFonts w:hint="eastAsia" w:ascii="仿宋_GB2312" w:eastAsia="仿宋_GB2312"/>
          <w:sz w:val="32"/>
          <w:szCs w:val="32"/>
        </w:rPr>
        <w:t>好的经验方法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一是严格执行年度预算，严格遵守财经纪律，严格落实“八项规定”及实施细则，杜绝工作中不必要的开支。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二是细化预算管理，编制全面、科学、合理，预算管理规范，提高预算编制准确性。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三是规范会计核算，提升部门决算编制质量。上一年度预算执行完毕和预算项目实施完成后，各项目均对照年初确定的项目绩效目标，及时开展项目绩效自评，形成绩效自评报告，上报财政。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四是绩效工作管理工作领导小组对各绩效指标完成的进度、质量、和效益情况、按照过程管理和日常考核的要求进行跟踪管理，适时督查，提高工作质量。</w:t>
      </w:r>
    </w:p>
    <w:sectPr>
      <w:pgSz w:w="11906" w:h="16838"/>
      <w:pgMar w:top="1440" w:right="1800" w:bottom="1440" w:left="12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DDFD7"/>
    <w:multiLevelType w:val="singleLevel"/>
    <w:tmpl w:val="DC4DDFD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7AB25F0"/>
    <w:multiLevelType w:val="singleLevel"/>
    <w:tmpl w:val="F7AB25F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A176A3B"/>
    <w:multiLevelType w:val="singleLevel"/>
    <w:tmpl w:val="3A176A3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57AABAF"/>
    <w:multiLevelType w:val="singleLevel"/>
    <w:tmpl w:val="757AABA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WExMDIwMTAyNTlkY2I3MDQ0MGE2NzkwYzQ5NGQifQ=="/>
  </w:docVars>
  <w:rsids>
    <w:rsidRoot w:val="00F22CA7"/>
    <w:rsid w:val="000560B1"/>
    <w:rsid w:val="000F38CF"/>
    <w:rsid w:val="00114F85"/>
    <w:rsid w:val="00182223"/>
    <w:rsid w:val="003361D5"/>
    <w:rsid w:val="003B25CA"/>
    <w:rsid w:val="004903E7"/>
    <w:rsid w:val="00534213"/>
    <w:rsid w:val="006F6EA7"/>
    <w:rsid w:val="0087074D"/>
    <w:rsid w:val="00916C35"/>
    <w:rsid w:val="009C14D0"/>
    <w:rsid w:val="009F6DF6"/>
    <w:rsid w:val="00A812EA"/>
    <w:rsid w:val="00B43536"/>
    <w:rsid w:val="00E409B6"/>
    <w:rsid w:val="00EE444F"/>
    <w:rsid w:val="00F22CA7"/>
    <w:rsid w:val="00F83470"/>
    <w:rsid w:val="00FC0F1F"/>
    <w:rsid w:val="0E750D6D"/>
    <w:rsid w:val="10316818"/>
    <w:rsid w:val="1BEA0FB0"/>
    <w:rsid w:val="1BF02DB9"/>
    <w:rsid w:val="2A0C3112"/>
    <w:rsid w:val="2D6B0F82"/>
    <w:rsid w:val="2E96363C"/>
    <w:rsid w:val="33057F85"/>
    <w:rsid w:val="35C3492E"/>
    <w:rsid w:val="39921607"/>
    <w:rsid w:val="468762A1"/>
    <w:rsid w:val="46B97E40"/>
    <w:rsid w:val="497F2E4D"/>
    <w:rsid w:val="5375086E"/>
    <w:rsid w:val="57222B13"/>
    <w:rsid w:val="5AC369CF"/>
    <w:rsid w:val="604B6B43"/>
    <w:rsid w:val="6069795C"/>
    <w:rsid w:val="7867636F"/>
    <w:rsid w:val="7C5079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 w:locked="1"/>
    <w:lsdException w:unhideWhenUsed="0" w:uiPriority="0" w:semiHidden="0" w:name="heading 2" w:locked="1"/>
    <w:lsdException w:unhideWhenUsed="0" w:uiPriority="0" w:semiHidden="0" w:name="heading 3" w:locked="1"/>
    <w:lsdException w:unhideWhenUsed="0" w:uiPriority="0" w:semiHidden="0" w:name="heading 4" w:locked="1"/>
    <w:lsdException w:unhideWhenUsed="0" w:uiPriority="0" w:semiHidden="0" w:name="heading 5" w:locked="1"/>
    <w:lsdException w:unhideWhenUsed="0" w:uiPriority="0" w:semiHidden="0" w:name="heading 6" w:locked="1"/>
    <w:lsdException w:unhideWhenUsed="0" w:uiPriority="0" w:semiHidden="0" w:name="heading 7" w:locked="1"/>
    <w:lsdException w:unhideWhenUsed="0" w:uiPriority="0" w:semiHidden="0" w:name="heading 8" w:locked="1"/>
    <w:lsdException w:unhideWhenUsed="0" w:uiPriority="0" w:semiHidden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unhideWhenUsed="0" w:uiPriority="0" w:name="footer"/>
    <w:lsdException w:unhideWhenUsed="0" w:uiPriority="0" w:semiHidden="0" w:name="index heading"/>
    <w:lsdException w:unhideWhenUsed="0" w:uiPriority="0" w:semiHidden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 w:locked="1"/>
    <w:lsdException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 w:locked="1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0"/>
    <w:rPr>
      <w:rFonts w:ascii="Times New Roman" w:hAnsi="Times New Roman" w:eastAsia="宋体" w:cs="Times New Roman"/>
      <w:sz w:val="18"/>
      <w:szCs w:val="18"/>
    </w:rPr>
  </w:style>
  <w:style w:type="paragraph" w:styleId="8">
    <w:name w:val="No Spacing"/>
    <w:next w:val="1"/>
    <w:qFormat/>
    <w:uiPriority w:val="0"/>
    <w:pPr>
      <w:spacing w:line="360" w:lineRule="auto"/>
      <w:jc w:val="center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258</Characters>
  <Lines>2</Lines>
  <Paragraphs>1</Paragraphs>
  <TotalTime>0</TotalTime>
  <ScaleCrop>false</ScaleCrop>
  <LinksUpToDate>false</LinksUpToDate>
  <CharactersWithSpaces>302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2021-01-18T11:58:00Z</dcterms:created>
  <dc:creator>lenovo</dc:creator>
  <cp:lastModifiedBy>Lina妈</cp:lastModifiedBy>
  <cp:lastPrinted>2018-10-25T02:57:00Z</cp:lastPrinted>
  <dcterms:modified xsi:type="dcterms:W3CDTF">2023-09-22T10:51:54Z</dcterms:modified>
  <dc:title>附件3-1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4D0CBAC370814930B079CA26BD7E7379_13</vt:lpwstr>
  </property>
</Properties>
</file>