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eastAsia="方正大标宋简体"/>
          <w:color w:val="FF0000"/>
          <w:spacing w:val="-20"/>
          <w:w w:val="80"/>
          <w:sz w:val="90"/>
          <w:szCs w:val="90"/>
        </w:rPr>
      </w:pPr>
      <w:r>
        <w:rPr>
          <w:rFonts w:hint="eastAsia" w:ascii="宋体"/>
          <w:b/>
          <w:bCs/>
          <w:color w:val="FF0000"/>
          <w:spacing w:val="-60"/>
          <w:sz w:val="72"/>
          <w:szCs w:val="72"/>
        </w:rPr>
        <w:t>韶关市武江区</w:t>
      </w:r>
      <w:r>
        <w:rPr>
          <w:rFonts w:hint="eastAsia" w:ascii="宋体"/>
          <w:b/>
          <w:bCs/>
          <w:color w:val="FF0000"/>
          <w:spacing w:val="-60"/>
          <w:sz w:val="72"/>
          <w:szCs w:val="72"/>
          <w:lang w:val="en-US" w:eastAsia="zh-CN"/>
        </w:rPr>
        <w:t>市场监督</w:t>
      </w:r>
      <w:r>
        <w:rPr>
          <w:rFonts w:hint="eastAsia" w:ascii="宋体"/>
          <w:b/>
          <w:bCs/>
          <w:color w:val="FF0000"/>
          <w:spacing w:val="-60"/>
          <w:sz w:val="72"/>
          <w:szCs w:val="72"/>
        </w:rPr>
        <w:t>管理局</w:t>
      </w:r>
    </w:p>
    <w:tbl>
      <w:tblPr>
        <w:tblStyle w:val="7"/>
        <w:tblW w:w="0" w:type="auto"/>
        <w:jc w:val="center"/>
        <w:tblBorders>
          <w:top w:val="thinThickSmallGap" w:color="FF0000" w:sz="2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43"/>
      </w:tblGrid>
      <w:tr>
        <w:tblPrEx>
          <w:tblBorders>
            <w:top w:val="thinThickSmallGap" w:color="FF0000" w:sz="2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 w:hRule="atLeast"/>
          <w:jc w:val="center"/>
        </w:trPr>
        <w:tc>
          <w:tcPr>
            <w:tcW w:w="9743" w:type="dxa"/>
            <w:tcBorders>
              <w:top w:val="thinThickSmallGap" w:color="FF0000" w:sz="24" w:space="0"/>
              <w:left w:val="nil"/>
              <w:bottom w:val="nil"/>
              <w:right w:val="nil"/>
            </w:tcBorders>
            <w:noWrap w:val="0"/>
            <w:vAlign w:val="top"/>
          </w:tcPr>
          <w:p>
            <w:pPr>
              <w:spacing w:line="20" w:lineRule="exact"/>
              <w:ind w:right="252" w:rightChars="120"/>
              <w:jc w:val="center"/>
              <w:rPr>
                <w:rFonts w:eastAsia="华文宋体"/>
                <w:color w:val="FF0000"/>
                <w:sz w:val="18"/>
              </w:rPr>
            </w:pPr>
          </w:p>
        </w:tc>
      </w:tr>
    </w:tbl>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武江区市场监管局2022年工作总结</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及2023年工作计划</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kinsoku/>
        <w:wordWrap/>
        <w:overflowPunct/>
        <w:topLinePunct w:val="0"/>
        <w:autoSpaceDN/>
        <w:bidi w:val="0"/>
        <w:spacing w:line="56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2022年，武江区市场监管局认真贯彻落实区委、区政府中心工作，充分发挥市场监管部门职能，多管齐下，坚持一手抓疫情防控，一手抓市场监管，多措并举保障市场秩序稳定运行。</w:t>
      </w:r>
    </w:p>
    <w:p>
      <w:pPr>
        <w:keepNext w:val="0"/>
        <w:keepLines w:val="0"/>
        <w:pageBreakBefore w:val="0"/>
        <w:numPr>
          <w:ilvl w:val="0"/>
          <w:numId w:val="1"/>
        </w:numPr>
        <w:kinsoku/>
        <w:wordWrap/>
        <w:overflowPunct/>
        <w:topLinePunct w:val="0"/>
        <w:autoSpaceDN/>
        <w:bidi w:val="0"/>
        <w:spacing w:line="560" w:lineRule="exact"/>
        <w:ind w:firstLine="64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2022年工作总结</w:t>
      </w:r>
    </w:p>
    <w:p>
      <w:pPr>
        <w:keepNext w:val="0"/>
        <w:keepLines w:val="0"/>
        <w:pageBreakBefore w:val="0"/>
        <w:numPr>
          <w:ilvl w:val="0"/>
          <w:numId w:val="2"/>
        </w:numPr>
        <w:kinsoku/>
        <w:wordWrap/>
        <w:overflowPunct/>
        <w:topLinePunct w:val="0"/>
        <w:autoSpaceDN/>
        <w:bidi w:val="0"/>
        <w:spacing w:line="560" w:lineRule="exact"/>
        <w:ind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聚焦民生保障，严抓疫情防控及洪灾后复工复产</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Times New Roman" w:hAnsi="Times New Roman" w:eastAsia="仿宋_GB2312" w:cs="仿宋_GB2312"/>
          <w:b w:val="0"/>
          <w:bCs w:val="0"/>
          <w:color w:val="auto"/>
          <w:sz w:val="32"/>
          <w:szCs w:val="32"/>
          <w:highlight w:val="none"/>
          <w:lang w:val="en-US" w:eastAsia="zh-CN"/>
        </w:rPr>
      </w:pPr>
      <w:r>
        <w:rPr>
          <w:rFonts w:hint="eastAsia" w:ascii="仿宋_GB2312" w:hAnsi="仿宋_GB2312" w:eastAsia="仿宋_GB2312" w:cs="仿宋_GB2312"/>
          <w:b/>
          <w:bCs/>
          <w:sz w:val="32"/>
          <w:szCs w:val="32"/>
          <w:lang w:val="en-US" w:eastAsia="zh-CN"/>
        </w:rPr>
        <w:t>慎终如始做好疫情防控。</w:t>
      </w:r>
      <w:r>
        <w:rPr>
          <w:rFonts w:hint="eastAsia" w:ascii="仿宋_GB2312" w:hAnsi="仿宋_GB2312" w:eastAsia="仿宋_GB2312" w:cs="仿宋_GB2312"/>
          <w:b w:val="0"/>
          <w:bCs w:val="0"/>
          <w:sz w:val="32"/>
          <w:szCs w:val="32"/>
          <w:lang w:val="en-US" w:eastAsia="zh-CN"/>
        </w:rPr>
        <w:t>一是严格落实常态化疫情防控措施。</w:t>
      </w:r>
      <w:r>
        <w:rPr>
          <w:rFonts w:hint="eastAsia" w:ascii="仿宋_GB2312" w:hAnsi="仿宋_GB2312" w:eastAsia="仿宋_GB2312" w:cs="仿宋_GB2312"/>
          <w:sz w:val="32"/>
          <w:szCs w:val="32"/>
          <w:lang w:val="en-US" w:eastAsia="zh-CN"/>
        </w:rPr>
        <w:t>紧抓重点人群、重点场所核酸检测和疫苗接种工作。</w:t>
      </w:r>
      <w:r>
        <w:rPr>
          <w:rFonts w:hint="eastAsia" w:ascii="仿宋_GB2312" w:hAnsi="仿宋_GB2312" w:eastAsia="仿宋_GB2312" w:cs="仿宋_GB2312"/>
          <w:color w:val="auto"/>
          <w:kern w:val="2"/>
          <w:sz w:val="32"/>
          <w:szCs w:val="32"/>
          <w:lang w:val="en-US" w:eastAsia="zh-CN" w:bidi="ar-SA"/>
        </w:rPr>
        <w:t>根据市、区疫情防控办的工作部署，在春节、冬奥会、五一等重要时间节点，组织对农贸市场、餐饮从业人员、零售药店从业人员、外卖行业从业人员等“暴露性”服务行业的一线工作人员，开展重点行业重点人员核酸检测工作，共计采集人员核酸样本4.2万余份。积极推动重点行业</w:t>
      </w:r>
      <w:r>
        <w:rPr>
          <w:rFonts w:hint="eastAsia" w:ascii="仿宋_GB2312" w:hAnsi="仿宋_GB2312" w:eastAsia="仿宋_GB2312" w:cs="仿宋_GB2312"/>
          <w:b w:val="0"/>
          <w:bCs w:val="0"/>
          <w:color w:val="auto"/>
          <w:kern w:val="2"/>
          <w:sz w:val="32"/>
          <w:szCs w:val="32"/>
          <w:lang w:val="en-US" w:eastAsia="zh-CN" w:bidi="ar-SA"/>
        </w:rPr>
        <w:t>从业人员接种疫苗，</w:t>
      </w:r>
      <w:r>
        <w:rPr>
          <w:rStyle w:val="9"/>
          <w:rFonts w:hint="eastAsia" w:ascii="仿宋_GB2312" w:hAnsi="仿宋_GB2312" w:eastAsia="仿宋_GB2312" w:cs="仿宋_GB2312"/>
          <w:color w:val="auto"/>
          <w:sz w:val="32"/>
          <w:szCs w:val="32"/>
          <w:highlight w:val="none"/>
          <w:lang w:val="en-US" w:eastAsia="zh-CN"/>
        </w:rPr>
        <w:t>目前市场监管领域各重点行业从业人员加强针接种率均达到90%以上</w:t>
      </w:r>
      <w:r>
        <w:rPr>
          <w:rStyle w:val="9"/>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val="en-US" w:eastAsia="zh-CN"/>
        </w:rPr>
        <w:t>紧抓进口冷链食品常态化监测，统筹协调开展进口冷链食品及相关从业人员风险排查和整改专项行动，截止11月30日，</w:t>
      </w:r>
      <w:r>
        <w:rPr>
          <w:rFonts w:hint="eastAsia" w:ascii="仿宋_GB2312" w:hAnsi="仿宋_GB2312" w:eastAsia="仿宋_GB2312" w:cs="仿宋_GB2312"/>
          <w:color w:val="auto"/>
          <w:kern w:val="2"/>
          <w:sz w:val="32"/>
          <w:szCs w:val="32"/>
          <w:highlight w:val="none"/>
          <w:lang w:val="en-US" w:eastAsia="zh-CN" w:bidi="ar-SA"/>
        </w:rPr>
        <w:t>对进口冷链食品环境、产品、从业人员开展核酸检测</w:t>
      </w:r>
      <w:r>
        <w:rPr>
          <w:rStyle w:val="9"/>
          <w:rFonts w:hint="eastAsia" w:ascii="仿宋_GB2312" w:hAnsi="仿宋_GB2312" w:eastAsia="仿宋_GB2312" w:cs="仿宋_GB2312"/>
          <w:color w:val="auto"/>
          <w:sz w:val="32"/>
          <w:szCs w:val="32"/>
          <w:highlight w:val="none"/>
          <w:lang w:val="en-US" w:eastAsia="zh-CN"/>
        </w:rPr>
        <w:t>共计开展核酸检测13462份，其中直接接</w:t>
      </w:r>
      <w:r>
        <w:rPr>
          <w:rStyle w:val="9"/>
          <w:rFonts w:hint="default" w:ascii="Times New Roman" w:hAnsi="Times New Roman" w:eastAsia="仿宋_GB2312" w:cs="Times New Roman"/>
          <w:color w:val="auto"/>
          <w:sz w:val="32"/>
          <w:szCs w:val="32"/>
          <w:highlight w:val="none"/>
          <w:lang w:val="en-US" w:eastAsia="zh-CN"/>
        </w:rPr>
        <w:t>触人员</w:t>
      </w:r>
      <w:r>
        <w:rPr>
          <w:rStyle w:val="9"/>
          <w:rFonts w:hint="eastAsia" w:eastAsia="仿宋_GB2312" w:cs="Times New Roman"/>
          <w:color w:val="auto"/>
          <w:sz w:val="32"/>
          <w:szCs w:val="32"/>
          <w:highlight w:val="none"/>
          <w:lang w:val="en-US" w:eastAsia="zh-CN"/>
        </w:rPr>
        <w:t>3118</w:t>
      </w:r>
      <w:r>
        <w:rPr>
          <w:rStyle w:val="9"/>
          <w:rFonts w:hint="default" w:ascii="Times New Roman" w:hAnsi="Times New Roman" w:eastAsia="仿宋_GB2312" w:cs="Times New Roman"/>
          <w:color w:val="auto"/>
          <w:sz w:val="32"/>
          <w:szCs w:val="32"/>
          <w:highlight w:val="none"/>
          <w:lang w:val="en-US" w:eastAsia="zh-CN"/>
        </w:rPr>
        <w:t>份、产品</w:t>
      </w:r>
      <w:r>
        <w:rPr>
          <w:rStyle w:val="9"/>
          <w:rFonts w:hint="eastAsia" w:eastAsia="仿宋_GB2312" w:cs="Times New Roman"/>
          <w:color w:val="auto"/>
          <w:sz w:val="32"/>
          <w:szCs w:val="32"/>
          <w:highlight w:val="none"/>
          <w:lang w:val="en-US" w:eastAsia="zh-CN"/>
        </w:rPr>
        <w:t>6436</w:t>
      </w:r>
      <w:r>
        <w:rPr>
          <w:rStyle w:val="9"/>
          <w:rFonts w:hint="default" w:ascii="Times New Roman" w:hAnsi="Times New Roman" w:eastAsia="仿宋_GB2312" w:cs="Times New Roman"/>
          <w:color w:val="auto"/>
          <w:sz w:val="32"/>
          <w:szCs w:val="32"/>
          <w:highlight w:val="none"/>
          <w:lang w:val="en-US" w:eastAsia="zh-CN"/>
        </w:rPr>
        <w:t>份、环境样本</w:t>
      </w:r>
      <w:r>
        <w:rPr>
          <w:rStyle w:val="9"/>
          <w:rFonts w:hint="eastAsia" w:eastAsia="仿宋_GB2312" w:cs="Times New Roman"/>
          <w:color w:val="auto"/>
          <w:sz w:val="32"/>
          <w:szCs w:val="32"/>
          <w:highlight w:val="none"/>
          <w:lang w:val="en-US" w:eastAsia="zh-CN"/>
        </w:rPr>
        <w:t>2888</w:t>
      </w:r>
      <w:r>
        <w:rPr>
          <w:rStyle w:val="9"/>
          <w:rFonts w:hint="default" w:ascii="Times New Roman" w:hAnsi="Times New Roman" w:eastAsia="仿宋_GB2312" w:cs="Times New Roman"/>
          <w:color w:val="auto"/>
          <w:sz w:val="32"/>
          <w:szCs w:val="32"/>
          <w:highlight w:val="none"/>
          <w:lang w:val="en-US" w:eastAsia="zh-CN"/>
        </w:rPr>
        <w:t>份。</w:t>
      </w:r>
      <w:r>
        <w:rPr>
          <w:rFonts w:hint="eastAsia" w:ascii="仿宋_GB2312" w:hAnsi="仿宋_GB2312" w:eastAsia="仿宋_GB2312" w:cs="仿宋_GB2312"/>
          <w:sz w:val="32"/>
          <w:szCs w:val="32"/>
          <w:lang w:val="en-US" w:eastAsia="zh-CN"/>
        </w:rPr>
        <w:t>加强“哨点”防线，保持监测预警持续灵敏，强化药店监测预警机制。</w:t>
      </w:r>
      <w:r>
        <w:rPr>
          <w:rFonts w:hint="default" w:ascii="仿宋_GB2312" w:hAnsi="仿宋_GB2312" w:eastAsia="仿宋_GB2312" w:cs="仿宋_GB2312"/>
          <w:sz w:val="32"/>
          <w:szCs w:val="32"/>
          <w:highlight w:val="none"/>
          <w:lang w:val="en-US" w:eastAsia="zh-CN"/>
        </w:rPr>
        <w:t>截止</w:t>
      </w:r>
      <w:r>
        <w:rPr>
          <w:rFonts w:hint="eastAsia" w:ascii="仿宋_GB2312" w:hAnsi="仿宋_GB2312" w:eastAsia="仿宋_GB2312" w:cs="仿宋_GB2312"/>
          <w:sz w:val="32"/>
          <w:szCs w:val="32"/>
          <w:highlight w:val="none"/>
          <w:lang w:val="en-US" w:eastAsia="zh-CN"/>
        </w:rPr>
        <w:t>目前</w:t>
      </w:r>
      <w:r>
        <w:rPr>
          <w:rFonts w:hint="eastAsia" w:ascii="Times New Roman" w:hAnsi="Times New Roman" w:eastAsia="仿宋_GB2312" w:cs="仿宋_GB2312"/>
          <w:b w:val="0"/>
          <w:bCs w:val="0"/>
          <w:color w:val="auto"/>
          <w:sz w:val="32"/>
          <w:szCs w:val="32"/>
          <w:highlight w:val="none"/>
          <w:lang w:val="en-US" w:eastAsia="zh-CN"/>
        </w:rPr>
        <w:t>，</w:t>
      </w:r>
      <w:r>
        <w:rPr>
          <w:rFonts w:hint="default" w:ascii="Times New Roman" w:hAnsi="Times New Roman" w:eastAsia="仿宋_GB2312" w:cs="仿宋_GB2312"/>
          <w:b w:val="0"/>
          <w:bCs w:val="0"/>
          <w:color w:val="auto"/>
          <w:sz w:val="32"/>
          <w:szCs w:val="32"/>
          <w:highlight w:val="none"/>
          <w:lang w:val="en-US" w:eastAsia="zh-CN"/>
        </w:rPr>
        <w:t>全区各药店统计到购买退热类药品人数共计</w:t>
      </w:r>
      <w:r>
        <w:rPr>
          <w:rFonts w:hint="eastAsia" w:eastAsia="仿宋_GB2312" w:cs="仿宋_GB2312"/>
          <w:b w:val="0"/>
          <w:bCs w:val="0"/>
          <w:color w:val="auto"/>
          <w:sz w:val="32"/>
          <w:szCs w:val="32"/>
          <w:highlight w:val="none"/>
          <w:lang w:val="en-US" w:eastAsia="zh-CN"/>
        </w:rPr>
        <w:t>1.4万余</w:t>
      </w:r>
      <w:r>
        <w:rPr>
          <w:rFonts w:hint="default" w:ascii="Times New Roman" w:hAnsi="Times New Roman" w:eastAsia="仿宋_GB2312" w:cs="仿宋_GB2312"/>
          <w:b w:val="0"/>
          <w:bCs w:val="0"/>
          <w:color w:val="auto"/>
          <w:sz w:val="32"/>
          <w:szCs w:val="32"/>
          <w:highlight w:val="none"/>
          <w:lang w:val="en-US" w:eastAsia="zh-CN"/>
        </w:rPr>
        <w:t>人，疫情线索共</w:t>
      </w:r>
      <w:r>
        <w:rPr>
          <w:rFonts w:hint="eastAsia" w:ascii="Times New Roman" w:hAnsi="Times New Roman" w:eastAsia="仿宋_GB2312" w:cs="仿宋_GB2312"/>
          <w:b w:val="0"/>
          <w:bCs w:val="0"/>
          <w:color w:val="auto"/>
          <w:sz w:val="32"/>
          <w:szCs w:val="32"/>
          <w:highlight w:val="none"/>
          <w:lang w:val="en-US" w:eastAsia="zh-CN"/>
        </w:rPr>
        <w:t>73</w:t>
      </w:r>
      <w:r>
        <w:rPr>
          <w:rFonts w:hint="default" w:ascii="Times New Roman" w:hAnsi="Times New Roman" w:eastAsia="仿宋_GB2312" w:cs="仿宋_GB2312"/>
          <w:b w:val="0"/>
          <w:bCs w:val="0"/>
          <w:color w:val="auto"/>
          <w:sz w:val="32"/>
          <w:szCs w:val="32"/>
          <w:highlight w:val="none"/>
          <w:lang w:val="en-US" w:eastAsia="zh-CN"/>
        </w:rPr>
        <w:t>条，其中发热</w:t>
      </w:r>
      <w:r>
        <w:rPr>
          <w:rFonts w:hint="eastAsia" w:ascii="Times New Roman" w:hAnsi="Times New Roman" w:eastAsia="仿宋_GB2312" w:cs="仿宋_GB2312"/>
          <w:b w:val="0"/>
          <w:bCs w:val="0"/>
          <w:color w:val="auto"/>
          <w:sz w:val="32"/>
          <w:szCs w:val="32"/>
          <w:highlight w:val="none"/>
          <w:lang w:val="en-US" w:eastAsia="zh-CN"/>
        </w:rPr>
        <w:t>50</w:t>
      </w:r>
      <w:r>
        <w:rPr>
          <w:rFonts w:hint="default" w:ascii="Times New Roman" w:hAnsi="Times New Roman" w:eastAsia="仿宋_GB2312" w:cs="仿宋_GB2312"/>
          <w:b w:val="0"/>
          <w:bCs w:val="0"/>
          <w:color w:val="auto"/>
          <w:sz w:val="32"/>
          <w:szCs w:val="32"/>
          <w:highlight w:val="none"/>
          <w:lang w:val="en-US" w:eastAsia="zh-CN"/>
        </w:rPr>
        <w:t>人，</w:t>
      </w:r>
      <w:r>
        <w:rPr>
          <w:rFonts w:hint="eastAsia" w:ascii="Times New Roman" w:hAnsi="Times New Roman" w:eastAsia="仿宋_GB2312" w:cs="仿宋_GB2312"/>
          <w:b w:val="0"/>
          <w:bCs w:val="0"/>
          <w:color w:val="auto"/>
          <w:sz w:val="32"/>
          <w:szCs w:val="32"/>
          <w:highlight w:val="none"/>
          <w:lang w:val="en-US" w:eastAsia="zh-CN"/>
        </w:rPr>
        <w:t>中高风险19人，均及时</w:t>
      </w:r>
      <w:r>
        <w:rPr>
          <w:rFonts w:hint="default" w:ascii="Times New Roman" w:hAnsi="Times New Roman" w:eastAsia="仿宋_GB2312" w:cs="仿宋_GB2312"/>
          <w:b w:val="0"/>
          <w:bCs w:val="0"/>
          <w:color w:val="auto"/>
          <w:sz w:val="32"/>
          <w:szCs w:val="32"/>
          <w:highlight w:val="none"/>
          <w:lang w:val="en-US" w:eastAsia="zh-CN"/>
        </w:rPr>
        <w:t>转辖区三人小组跟进</w:t>
      </w:r>
      <w:r>
        <w:rPr>
          <w:rFonts w:hint="eastAsia"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lang w:val="en-US" w:eastAsia="zh-CN"/>
        </w:rPr>
        <w:t>检查药店211家次，发出责令整改通知书49份，对严重违反疫情防控规定的药店停业整顿15家次，约谈药店3家次。</w:t>
      </w: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kern w:val="2"/>
          <w:sz w:val="32"/>
          <w:szCs w:val="32"/>
          <w:highlight w:val="none"/>
          <w:lang w:val="en-US" w:eastAsia="zh-CN" w:bidi="ar-SA"/>
        </w:rPr>
        <w:t>积极</w:t>
      </w:r>
      <w:r>
        <w:rPr>
          <w:rFonts w:hint="default" w:ascii="仿宋_GB2312" w:hAnsi="仿宋_GB2312" w:eastAsia="仿宋_GB2312" w:cs="仿宋_GB2312"/>
          <w:kern w:val="2"/>
          <w:sz w:val="32"/>
          <w:szCs w:val="32"/>
          <w:highlight w:val="none"/>
          <w:lang w:val="en-US" w:eastAsia="zh-CN" w:bidi="ar-SA"/>
        </w:rPr>
        <w:t>参与本地</w:t>
      </w:r>
      <w:r>
        <w:rPr>
          <w:rFonts w:hint="eastAsia" w:ascii="仿宋_GB2312" w:hAnsi="仿宋_GB2312" w:eastAsia="仿宋_GB2312" w:cs="仿宋_GB2312"/>
          <w:kern w:val="2"/>
          <w:sz w:val="32"/>
          <w:szCs w:val="32"/>
          <w:highlight w:val="none"/>
          <w:lang w:val="en-US" w:eastAsia="zh-CN" w:bidi="ar-SA"/>
        </w:rPr>
        <w:t>疫情处置</w:t>
      </w:r>
      <w:r>
        <w:rPr>
          <w:rFonts w:hint="default" w:ascii="仿宋_GB2312" w:hAnsi="仿宋_GB2312" w:eastAsia="仿宋_GB2312" w:cs="仿宋_GB2312"/>
          <w:kern w:val="2"/>
          <w:sz w:val="32"/>
          <w:szCs w:val="32"/>
          <w:highlight w:val="none"/>
          <w:lang w:val="en-US" w:eastAsia="zh-CN" w:bidi="ar-SA"/>
        </w:rPr>
        <w:t>和涉疫产品流入事件处置</w:t>
      </w:r>
      <w:r>
        <w:rPr>
          <w:rFonts w:hint="eastAsia" w:ascii="仿宋_GB2312" w:hAnsi="仿宋_GB2312" w:eastAsia="仿宋_GB2312" w:cs="仿宋_GB2312"/>
          <w:kern w:val="2"/>
          <w:sz w:val="32"/>
          <w:szCs w:val="32"/>
          <w:highlight w:val="none"/>
          <w:lang w:val="en-US" w:eastAsia="zh-CN" w:bidi="ar-SA"/>
        </w:rPr>
        <w:t>，</w:t>
      </w:r>
      <w:r>
        <w:rPr>
          <w:rFonts w:hint="eastAsia" w:ascii="Times New Roman" w:hAnsi="Times New Roman" w:eastAsia="仿宋_GB2312" w:cs="仿宋_GB2312"/>
          <w:b w:val="0"/>
          <w:bCs w:val="0"/>
          <w:color w:val="auto"/>
          <w:sz w:val="32"/>
          <w:szCs w:val="32"/>
          <w:highlight w:val="none"/>
          <w:lang w:val="en-US" w:eastAsia="zh-CN"/>
        </w:rPr>
        <w:t>圆满完成各项工作任务，有效防范本地疫情风险。截止至目前，出动执法人员1072人次，巡查餐饮服务单位7568家次，单位食堂148家次，隔离点酒店9家，劝阻集体聚餐1家14围，发现问题64个，发出责令整改通知书52份，对拒不执行暂停堂食防疫规定的32家餐饮单位依法责令停业整顿，发放疫情防控宣传资料5000余份。</w:t>
      </w:r>
    </w:p>
    <w:p>
      <w:pPr>
        <w:keepNext w:val="0"/>
        <w:keepLines w:val="0"/>
        <w:pageBreakBefore w:val="0"/>
        <w:numPr>
          <w:ilvl w:val="0"/>
          <w:numId w:val="0"/>
        </w:numPr>
        <w:kinsoku/>
        <w:wordWrap/>
        <w:overflowPunct/>
        <w:topLinePunct w:val="0"/>
        <w:autoSpaceDN/>
        <w:bidi w:val="0"/>
        <w:spacing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认真开展洪灾后监管及复工复产工作。</w:t>
      </w:r>
      <w:r>
        <w:rPr>
          <w:rFonts w:hint="eastAsia" w:ascii="仿宋_GB2312" w:hAnsi="仿宋_GB2312" w:eastAsia="仿宋_GB2312" w:cs="仿宋_GB2312"/>
          <w:sz w:val="32"/>
          <w:szCs w:val="32"/>
          <w:lang w:val="en-US" w:eastAsia="zh-CN"/>
        </w:rPr>
        <w:t>灾后对主管的餐饮、食品生产、零售药店、农贸市场、特种设备等行业受灾情况进行走访，快速掌握、统计辖区相关行业受灾损失情况。加强对受灾食品药品经营单位的监督检查，严防因水灾受污染的食品和受损药械流入市场，全力保障食品药品安全。强化粮、油、肉、禽、蛋、菜、奶、盐、水等生活必需品和相关防汛救灾物资价格监管。共出动38车次，196人次，检查市场主体390家，发放《价格行为提醒告诫书》390份。加强辖区内收洪灾影响停用的580台电梯的安全监察，及时排查治理隐患。</w:t>
      </w:r>
    </w:p>
    <w:p>
      <w:pPr>
        <w:keepNext w:val="0"/>
        <w:keepLines w:val="0"/>
        <w:pageBreakBefore w:val="0"/>
        <w:numPr>
          <w:ilvl w:val="0"/>
          <w:numId w:val="2"/>
        </w:numPr>
        <w:kinsoku/>
        <w:wordWrap/>
        <w:overflowPunct/>
        <w:topLinePunct w:val="0"/>
        <w:autoSpaceDN/>
        <w:bidi w:val="0"/>
        <w:spacing w:line="560" w:lineRule="exact"/>
        <w:ind w:left="0" w:leftChars="0"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聚焦商事制度改革，着力创新监管方式</w:t>
      </w:r>
    </w:p>
    <w:p>
      <w:pPr>
        <w:keepNext w:val="0"/>
        <w:keepLines w:val="0"/>
        <w:pageBreakBefore w:val="0"/>
        <w:numPr>
          <w:ilvl w:val="0"/>
          <w:numId w:val="0"/>
        </w:numPr>
        <w:kinsoku/>
        <w:wordWrap/>
        <w:overflowPunct/>
        <w:topLinePunct w:val="0"/>
        <w:autoSpaceDN/>
        <w:bidi w:val="0"/>
        <w:spacing w:line="560" w:lineRule="exact"/>
        <w:ind w:firstLine="64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推进开办企业“一网通办、一窗通取”，依托省开办企业“一网通办”平台，将开办企业涉及到的商事登记、印章刻制、发票申领和税控设备、银行开户等多个事项全面彻底整合，办事环节压至1个，实现开办企业全流程“一网通办、一窗通取”。通过大力推行全程电子化登记、放宽登记条件、实行“容缺登记”等措施，持续提升商事登记便利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进一步降低企业开办成本。</w:t>
      </w:r>
      <w:r>
        <w:rPr>
          <w:rFonts w:hint="eastAsia" w:ascii="仿宋_GB2312" w:hAnsi="仿宋_GB2312" w:eastAsia="仿宋_GB2312" w:cs="仿宋_GB2312"/>
          <w:sz w:val="32"/>
          <w:szCs w:val="32"/>
          <w:lang w:val="en-US" w:eastAsia="zh-CN"/>
        </w:rPr>
        <w:t>从</w:t>
      </w:r>
      <w:r>
        <w:rPr>
          <w:rFonts w:hint="default" w:ascii="仿宋_GB2312" w:hAnsi="仿宋_GB2312" w:eastAsia="仿宋_GB2312" w:cs="仿宋_GB2312"/>
          <w:sz w:val="32"/>
          <w:szCs w:val="32"/>
          <w:lang w:val="en-US" w:eastAsia="zh-CN"/>
        </w:rPr>
        <w:t>今年1月底</w:t>
      </w:r>
      <w:r>
        <w:rPr>
          <w:rFonts w:hint="eastAsia" w:ascii="仿宋_GB2312" w:hAnsi="仿宋_GB2312" w:eastAsia="仿宋_GB2312" w:cs="仿宋_GB2312"/>
          <w:sz w:val="32"/>
          <w:szCs w:val="32"/>
          <w:lang w:val="en-US" w:eastAsia="zh-CN"/>
        </w:rPr>
        <w:t>起</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把</w:t>
      </w:r>
      <w:r>
        <w:rPr>
          <w:rFonts w:hint="default" w:ascii="仿宋_GB2312" w:hAnsi="仿宋_GB2312" w:eastAsia="仿宋_GB2312" w:cs="仿宋_GB2312"/>
          <w:sz w:val="32"/>
          <w:szCs w:val="32"/>
          <w:lang w:val="en-US" w:eastAsia="zh-CN"/>
        </w:rPr>
        <w:t>原为新开办企业免费刻制二枚印章升级为免费刻制四枚印章。今年</w:t>
      </w:r>
      <w:r>
        <w:rPr>
          <w:rFonts w:hint="eastAsia" w:ascii="仿宋_GB2312" w:hAnsi="仿宋_GB2312" w:eastAsia="仿宋_GB2312" w:cs="仿宋_GB2312"/>
          <w:sz w:val="32"/>
          <w:szCs w:val="32"/>
          <w:lang w:val="en-US" w:eastAsia="zh-CN"/>
        </w:rPr>
        <w:t>以来为</w:t>
      </w:r>
      <w:r>
        <w:rPr>
          <w:rFonts w:hint="eastAsia" w:ascii="仿宋_GB2312" w:hAnsi="仿宋_GB2312" w:eastAsia="仿宋_GB2312" w:cs="仿宋_GB2312"/>
          <w:sz w:val="32"/>
          <w:szCs w:val="32"/>
        </w:rPr>
        <w:t>新办企业免费刻制印章共</w:t>
      </w:r>
      <w:r>
        <w:rPr>
          <w:rFonts w:hint="eastAsia" w:ascii="仿宋_GB2312" w:hAnsi="仿宋_GB2312" w:eastAsia="仿宋_GB2312" w:cs="仿宋_GB2312"/>
          <w:sz w:val="32"/>
          <w:szCs w:val="32"/>
          <w:lang w:val="en-US" w:eastAsia="zh-CN"/>
        </w:rPr>
        <w:t>2567</w:t>
      </w:r>
      <w:r>
        <w:rPr>
          <w:rFonts w:hint="eastAsia" w:ascii="仿宋_GB2312" w:hAnsi="仿宋_GB2312" w:eastAsia="仿宋_GB2312" w:cs="仿宋_GB2312"/>
          <w:sz w:val="32"/>
          <w:szCs w:val="32"/>
        </w:rPr>
        <w:t>枚，为企业节约成本</w:t>
      </w:r>
      <w:r>
        <w:rPr>
          <w:rFonts w:hint="eastAsia" w:ascii="仿宋_GB2312" w:hAnsi="仿宋_GB2312" w:eastAsia="仿宋_GB2312" w:cs="仿宋_GB2312"/>
          <w:sz w:val="32"/>
          <w:szCs w:val="32"/>
          <w:lang w:eastAsia="zh-CN"/>
        </w:rPr>
        <w:t>约</w:t>
      </w:r>
      <w:r>
        <w:rPr>
          <w:rFonts w:hint="eastAsia" w:ascii="仿宋_GB2312" w:hAnsi="仿宋_GB2312" w:eastAsia="仿宋_GB2312" w:cs="仿宋_GB2312"/>
          <w:sz w:val="32"/>
          <w:szCs w:val="32"/>
          <w:lang w:val="en-US" w:eastAsia="zh-CN"/>
        </w:rPr>
        <w:t>28万</w:t>
      </w:r>
      <w:r>
        <w:rPr>
          <w:rFonts w:hint="eastAsia" w:ascii="仿宋_GB2312" w:hAnsi="仿宋_GB2312" w:eastAsia="仿宋_GB2312" w:cs="仿宋_GB2312"/>
          <w:sz w:val="32"/>
          <w:szCs w:val="32"/>
        </w:rPr>
        <w:t>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截止到2022年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月底，全区登记市场主体27901户，注册资本（金）4983522.3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万元，从业人员95561人，与去年同期相比增长分别为18.</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7%、6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rPr>
        <w:t>%。今年新登记市场主体3703户，其中，企业</w:t>
      </w:r>
      <w:r>
        <w:rPr>
          <w:rFonts w:hint="eastAsia" w:ascii="仿宋_GB2312" w:hAnsi="仿宋_GB2312" w:eastAsia="仿宋_GB2312" w:cs="仿宋_GB2312"/>
          <w:sz w:val="32"/>
          <w:szCs w:val="32"/>
          <w:lang w:val="en-US" w:eastAsia="zh-CN"/>
        </w:rPr>
        <w:t>738</w:t>
      </w:r>
      <w:r>
        <w:rPr>
          <w:rFonts w:hint="eastAsia" w:ascii="仿宋_GB2312" w:hAnsi="仿宋_GB2312" w:eastAsia="仿宋_GB2312" w:cs="仿宋_GB2312"/>
          <w:sz w:val="32"/>
          <w:szCs w:val="32"/>
        </w:rPr>
        <w:t>户，个体工商户2964户，农民专业合作社1户。</w:t>
      </w:r>
    </w:p>
    <w:p>
      <w:pPr>
        <w:keepNext w:val="0"/>
        <w:keepLines w:val="0"/>
        <w:pageBreakBefore w:val="0"/>
        <w:numPr>
          <w:ilvl w:val="0"/>
          <w:numId w:val="0"/>
        </w:numPr>
        <w:kinsoku/>
        <w:wordWrap/>
        <w:overflowPunct/>
        <w:topLinePunct w:val="0"/>
        <w:autoSpaceDN/>
        <w:bidi w:val="0"/>
        <w:spacing w:line="560" w:lineRule="exact"/>
        <w:ind w:firstLine="64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积极推进“双随机、一公开”监管工作，督促各区“双随机、一公开”监管工作联席会议成员单位制定2022年双随机本部门计划及跨部门联合抽查计划，推进完善市场监管领域各部门的“一单两库一细则”，建立完善市场监管领域各部门的“双随机”联合抽查机制。多措并举开展2021年年度报告工作， 2021年度企业年报基数5417家，其中5285家完成年报，年报率达到97.56%，将其中132家未年报企业纳入经营异常名录。加快建立“僵尸企业”强制退出机制，将连续未年报企业并经区税务局复核企业纳税情况的150户拟吊销企业，作为案件来源移送至执法大队，展开实质吊销工作。</w:t>
      </w:r>
    </w:p>
    <w:p>
      <w:pPr>
        <w:keepNext w:val="0"/>
        <w:keepLines w:val="0"/>
        <w:pageBreakBefore w:val="0"/>
        <w:numPr>
          <w:ilvl w:val="0"/>
          <w:numId w:val="2"/>
        </w:numPr>
        <w:kinsoku/>
        <w:wordWrap/>
        <w:overflowPunct/>
        <w:topLinePunct w:val="0"/>
        <w:autoSpaceDN/>
        <w:bidi w:val="0"/>
        <w:spacing w:line="560" w:lineRule="exact"/>
        <w:ind w:left="0" w:leftChars="0" w:firstLine="643"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聚焦市场安全秩序，提升监管效能</w:t>
      </w:r>
    </w:p>
    <w:p>
      <w:pPr>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食品安全方面：</w:t>
      </w:r>
      <w:r>
        <w:rPr>
          <w:rFonts w:hint="eastAsia" w:ascii="仿宋_GB2312" w:hAnsi="仿宋_GB2312" w:eastAsia="仿宋_GB2312" w:cs="仿宋_GB2312"/>
          <w:sz w:val="32"/>
          <w:szCs w:val="32"/>
          <w:lang w:val="en-US" w:eastAsia="zh-CN"/>
        </w:rPr>
        <w:t>紧紧围绕“四个最严”要求，严抓食品安全不放松。</w:t>
      </w:r>
      <w:r>
        <w:rPr>
          <w:rFonts w:hint="eastAsia" w:ascii="仿宋_GB2312" w:hAnsi="仿宋_GB2312" w:eastAsia="仿宋_GB2312" w:cs="仿宋_GB2312"/>
          <w:b/>
          <w:sz w:val="32"/>
          <w:szCs w:val="32"/>
        </w:rPr>
        <w:t>开展</w:t>
      </w:r>
      <w:r>
        <w:rPr>
          <w:rFonts w:hint="eastAsia" w:ascii="仿宋_GB2312" w:hAnsi="仿宋_GB2312" w:eastAsia="仿宋_GB2312" w:cs="仿宋_GB2312"/>
          <w:b/>
          <w:sz w:val="32"/>
          <w:szCs w:val="32"/>
          <w:lang w:val="en-US" w:eastAsia="zh-CN"/>
        </w:rPr>
        <w:t>食品安全</w:t>
      </w:r>
      <w:r>
        <w:rPr>
          <w:rFonts w:hint="eastAsia" w:ascii="仿宋_GB2312" w:hAnsi="仿宋_GB2312" w:eastAsia="仿宋_GB2312" w:cs="仿宋_GB2312"/>
          <w:b/>
          <w:sz w:val="32"/>
          <w:szCs w:val="32"/>
        </w:rPr>
        <w:t>“守底线、查隐患、保安全”专项行动</w:t>
      </w:r>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val="0"/>
          <w:bCs/>
          <w:sz w:val="32"/>
          <w:szCs w:val="32"/>
          <w:lang w:val="en-US" w:eastAsia="zh-CN"/>
        </w:rPr>
        <w:t>今年以来</w:t>
      </w:r>
      <w:r>
        <w:rPr>
          <w:rFonts w:hint="eastAsia" w:ascii="仿宋_GB2312" w:hAnsi="仿宋_GB2312" w:eastAsia="仿宋_GB2312" w:cs="仿宋_GB2312"/>
          <w:color w:val="000000"/>
          <w:sz w:val="32"/>
          <w:szCs w:val="32"/>
          <w:lang w:eastAsia="zh-CN"/>
        </w:rPr>
        <w:t>，检查餐饮服务单位</w:t>
      </w:r>
      <w:r>
        <w:rPr>
          <w:rFonts w:hint="eastAsia" w:ascii="仿宋_GB2312" w:hAnsi="仿宋_GB2312" w:eastAsia="仿宋_GB2312" w:cs="仿宋_GB2312"/>
          <w:color w:val="000000"/>
          <w:sz w:val="32"/>
          <w:szCs w:val="32"/>
          <w:lang w:val="en-US" w:eastAsia="zh-CN"/>
        </w:rPr>
        <w:t>812家次，其中检查经营使用进口冷链食品的餐饮单位102家次，入网餐饮服务单位252家次，通过“互联网＋明厨亮灶”平台巡查学校幼儿园食堂215家次，下发线上整改通知书24份，</w:t>
      </w:r>
      <w:r>
        <w:rPr>
          <w:rFonts w:hint="eastAsia" w:ascii="仿宋_GB2312" w:hAnsi="仿宋_GB2312" w:eastAsia="仿宋_GB2312" w:cs="仿宋_GB2312"/>
          <w:sz w:val="32"/>
          <w:szCs w:val="32"/>
          <w:lang w:val="en-US" w:eastAsia="zh-CN"/>
        </w:rPr>
        <w:t>均已督促整改落实。</w:t>
      </w:r>
      <w:r>
        <w:rPr>
          <w:rFonts w:hint="eastAsia" w:ascii="仿宋_GB2312" w:hAnsi="仿宋_GB2312" w:eastAsia="仿宋_GB2312" w:cs="仿宋_GB2312"/>
          <w:sz w:val="32"/>
          <w:szCs w:val="32"/>
        </w:rPr>
        <w:t>强化食品</w:t>
      </w:r>
      <w:r>
        <w:rPr>
          <w:rFonts w:hint="eastAsia" w:ascii="仿宋_GB2312" w:hAnsi="仿宋_GB2312" w:eastAsia="仿宋_GB2312" w:cs="仿宋_GB2312"/>
          <w:sz w:val="32"/>
          <w:szCs w:val="32"/>
          <w:lang w:val="en-US" w:eastAsia="zh-CN"/>
        </w:rPr>
        <w:t>生产、</w:t>
      </w:r>
      <w:r>
        <w:rPr>
          <w:rFonts w:hint="eastAsia" w:ascii="仿宋_GB2312" w:hAnsi="仿宋_GB2312" w:eastAsia="仿宋_GB2312" w:cs="仿宋_GB2312"/>
          <w:sz w:val="32"/>
          <w:szCs w:val="32"/>
        </w:rPr>
        <w:t>流通领域监管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着力整治食品安全突出问题，净化食品经营环境，规范食品消费市场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检查食品生产企业22家次，食品加工小作坊32家次，食品经营单位351家次，针对执法中发现的问题通过“回头看”的方式督促整改落实，及时有效消除食品安全隐患。</w:t>
      </w:r>
      <w:r>
        <w:rPr>
          <w:rFonts w:hint="eastAsia" w:ascii="仿宋_GB2312" w:hAnsi="仿宋_GB2312" w:eastAsia="仿宋_GB2312" w:cs="仿宋_GB2312"/>
          <w:b/>
          <w:bCs/>
          <w:sz w:val="32"/>
          <w:szCs w:val="32"/>
        </w:rPr>
        <w:t>加强粮食生产经营监管</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val="en-US" w:eastAsia="zh-CN"/>
        </w:rPr>
        <w:t>督促辖区16家正常经营的食品生产企业按要求落实信用网上承诺。加强食品生产企业日常监管，今年以来共检查食品生产企业22家次，食品小作坊31家次。对1家连续三年内监督抽检不合格产品食品生产企业、1家食品小作坊进行了约谈；对1家不符合食品生产环境要求的食品小作坊进行立案查处，罚没入库1万元；对1家在核准场所外擅自设立生产场所的食品小作坊责令停业整顿；取缔1家无证生产白酒小作坊；督促3家生产环境不符合要求的小作坊完成升级改造。</w:t>
      </w:r>
      <w:r>
        <w:rPr>
          <w:rFonts w:hint="eastAsia" w:ascii="仿宋_GB2312" w:hAnsi="仿宋_GB2312" w:eastAsia="仿宋_GB2312" w:cs="仿宋_GB2312"/>
          <w:b/>
          <w:bCs/>
          <w:sz w:val="32"/>
          <w:szCs w:val="32"/>
          <w:lang w:val="en-US" w:eastAsia="zh-CN"/>
        </w:rPr>
        <w:t>开展学校食堂、托管机构、学生集体用餐配送单位专项检查，</w:t>
      </w:r>
      <w:r>
        <w:rPr>
          <w:rFonts w:hint="eastAsia" w:ascii="仿宋_GB2312" w:hAnsi="仿宋_GB2312" w:eastAsia="仿宋_GB2312" w:cs="仿宋_GB2312"/>
          <w:b w:val="0"/>
          <w:bCs w:val="0"/>
          <w:sz w:val="32"/>
          <w:szCs w:val="32"/>
          <w:lang w:val="en-US" w:eastAsia="zh-CN"/>
        </w:rPr>
        <w:t>今年以来共</w:t>
      </w:r>
      <w:r>
        <w:rPr>
          <w:rFonts w:hint="eastAsia" w:ascii="仿宋_GB2312" w:hAnsi="仿宋_GB2312" w:eastAsia="仿宋_GB2312" w:cs="仿宋_GB2312"/>
          <w:b w:val="0"/>
          <w:bCs w:val="0"/>
          <w:color w:val="000000"/>
          <w:sz w:val="32"/>
          <w:szCs w:val="32"/>
          <w:lang w:val="en-US" w:eastAsia="zh-CN"/>
        </w:rPr>
        <w:t>监督检查学校食堂763家次，其中检查学校（幼儿园）食堂231家次，集体用餐配送单位10家次，校外托管机构253家次，学校周边餐饮单位137家次，学校周边食品销售单位132家次，校园及校园周边食品经营单位监督检查覆盖率达100%，</w:t>
      </w:r>
      <w:r>
        <w:rPr>
          <w:rFonts w:hint="eastAsia" w:ascii="仿宋_GB2312" w:hAnsi="仿宋_GB2312" w:eastAsia="仿宋_GB2312" w:cs="仿宋_GB2312"/>
          <w:b w:val="0"/>
          <w:bCs w:val="0"/>
          <w:sz w:val="32"/>
          <w:szCs w:val="32"/>
          <w:lang w:val="en-US" w:eastAsia="zh-CN"/>
        </w:rPr>
        <w:t>检查发现存在问题56家单位，</w:t>
      </w:r>
      <w:r>
        <w:rPr>
          <w:rFonts w:hint="eastAsia" w:ascii="仿宋" w:hAnsi="仿宋" w:eastAsia="仿宋" w:cs="仿宋"/>
          <w:sz w:val="32"/>
          <w:szCs w:val="32"/>
          <w:lang w:val="en-US" w:eastAsia="zh-CN"/>
        </w:rPr>
        <w:t>下发监督意见书15份，</w:t>
      </w:r>
      <w:r>
        <w:rPr>
          <w:rFonts w:hint="eastAsia" w:ascii="仿宋_GB2312" w:hAnsi="仿宋_GB2312" w:eastAsia="仿宋_GB2312" w:cs="仿宋_GB2312"/>
          <w:b w:val="0"/>
          <w:bCs w:val="0"/>
          <w:sz w:val="32"/>
          <w:szCs w:val="32"/>
          <w:lang w:val="en-US" w:eastAsia="zh-CN"/>
        </w:rPr>
        <w:t>均已督促整改落实。</w:t>
      </w:r>
      <w:r>
        <w:rPr>
          <w:rFonts w:hint="eastAsia" w:ascii="仿宋_GB2312" w:hAnsi="仿宋_GB2312" w:eastAsia="仿宋_GB2312" w:cs="仿宋_GB2312"/>
          <w:b/>
          <w:bCs/>
          <w:sz w:val="32"/>
          <w:szCs w:val="32"/>
          <w:lang w:val="en-US" w:eastAsia="zh-CN"/>
        </w:rPr>
        <w:t>做好重大活动食品安全保障工作，</w:t>
      </w:r>
      <w:r>
        <w:rPr>
          <w:rFonts w:hint="eastAsia" w:ascii="仿宋_GB2312" w:hAnsi="仿宋_GB2312" w:eastAsia="仿宋_GB2312" w:cs="仿宋_GB2312"/>
          <w:b w:val="0"/>
          <w:bCs w:val="0"/>
          <w:sz w:val="32"/>
          <w:szCs w:val="32"/>
          <w:lang w:val="en-US" w:eastAsia="zh-CN"/>
        </w:rPr>
        <w:t>共出动执法人员183人次，全力做好2022年广东省第十三届中运会测试赛，广东省第十三次党代会精神研修班，2022年武江区“端午龙舟文化旅游节”、</w:t>
      </w:r>
      <w:r>
        <w:rPr>
          <w:rFonts w:hint="eastAsia" w:ascii="仿宋" w:hAnsi="仿宋" w:eastAsia="仿宋" w:cs="仿宋"/>
          <w:b w:val="0"/>
          <w:bCs w:val="0"/>
          <w:sz w:val="32"/>
          <w:szCs w:val="32"/>
          <w:lang w:val="en-US" w:eastAsia="zh-CN"/>
        </w:rPr>
        <w:t>2022年农民丰收节</w:t>
      </w:r>
      <w:r>
        <w:rPr>
          <w:rFonts w:hint="eastAsia" w:ascii="仿宋_GB2312" w:hAnsi="仿宋_GB2312" w:eastAsia="仿宋_GB2312" w:cs="仿宋_GB2312"/>
          <w:b w:val="0"/>
          <w:bCs w:val="0"/>
          <w:sz w:val="32"/>
          <w:szCs w:val="32"/>
          <w:lang w:val="en-US" w:eastAsia="zh-CN"/>
        </w:rPr>
        <w:t>等重大活动食品安全保障。开展餐饮质量安全提升行动。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药品安全方面:</w:t>
      </w:r>
      <w:r>
        <w:rPr>
          <w:rFonts w:hint="eastAsia" w:ascii="仿宋_GB2312" w:hAnsi="仿宋_GB2312" w:eastAsia="仿宋_GB2312" w:cs="仿宋_GB2312"/>
          <w:b w:val="0"/>
          <w:bCs w:val="0"/>
          <w:color w:val="auto"/>
          <w:sz w:val="32"/>
          <w:szCs w:val="32"/>
        </w:rPr>
        <w:t>把药品安全监管与药品安全专项整治相结合</w:t>
      </w:r>
      <w:r>
        <w:rPr>
          <w:rFonts w:hint="eastAsia" w:ascii="仿宋_GB2312" w:hAnsi="仿宋_GB2312" w:eastAsia="仿宋_GB2312" w:cs="仿宋_GB2312"/>
          <w:b w:val="0"/>
          <w:bCs w:val="0"/>
          <w:color w:val="auto"/>
          <w:sz w:val="32"/>
          <w:szCs w:val="32"/>
          <w:lang w:eastAsia="zh-CN"/>
        </w:rPr>
        <w:t>，采取</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color w:val="auto"/>
          <w:sz w:val="32"/>
          <w:szCs w:val="32"/>
        </w:rPr>
        <w:t>双随机、一公开”监管</w:t>
      </w:r>
      <w:r>
        <w:rPr>
          <w:rFonts w:hint="eastAsia" w:ascii="仿宋_GB2312" w:hAnsi="仿宋_GB2312" w:eastAsia="仿宋_GB2312" w:cs="仿宋_GB2312"/>
          <w:color w:val="auto"/>
          <w:sz w:val="32"/>
          <w:szCs w:val="32"/>
          <w:lang w:eastAsia="zh-CN"/>
        </w:rPr>
        <w:t>模式</w:t>
      </w:r>
      <w:r>
        <w:rPr>
          <w:rFonts w:hint="eastAsia" w:ascii="仿宋_GB2312" w:hAnsi="仿宋_GB2312" w:eastAsia="仿宋_GB2312" w:cs="仿宋_GB2312"/>
          <w:color w:val="auto"/>
          <w:sz w:val="32"/>
          <w:szCs w:val="32"/>
        </w:rPr>
        <w:t>，以单体药店、城乡结合部药店、私人诊所、经营状况不良企业等高风险领域、高风险企业、高风险药品等为监管重点</w:t>
      </w:r>
      <w:r>
        <w:rPr>
          <w:rFonts w:hint="eastAsia" w:ascii="仿宋_GB2312" w:hAnsi="仿宋_GB2312" w:eastAsia="仿宋_GB2312" w:cs="仿宋_GB2312"/>
          <w:color w:val="auto"/>
          <w:sz w:val="32"/>
          <w:szCs w:val="32"/>
          <w:lang w:eastAsia="zh-CN"/>
        </w:rPr>
        <w:t>，加大药品安全监管力度。</w:t>
      </w:r>
      <w:r>
        <w:rPr>
          <w:rFonts w:hint="eastAsia" w:ascii="仿宋_GB2312" w:hAnsi="仿宋_GB2312" w:eastAsia="仿宋_GB2312" w:cs="仿宋_GB2312"/>
          <w:color w:val="auto"/>
          <w:sz w:val="32"/>
          <w:szCs w:val="32"/>
          <w:lang w:val="en-US" w:eastAsia="zh-CN"/>
        </w:rPr>
        <w:t>今年以来，共检查</w:t>
      </w:r>
      <w:r>
        <w:rPr>
          <w:rFonts w:hint="eastAsia" w:ascii="仿宋_GB2312" w:hAnsi="仿宋_GB2312" w:eastAsia="仿宋_GB2312" w:cs="仿宋_GB2312"/>
          <w:sz w:val="32"/>
          <w:szCs w:val="32"/>
          <w:lang w:eastAsia="zh-CN"/>
        </w:rPr>
        <w:t>药品零售企业</w:t>
      </w:r>
      <w:r>
        <w:rPr>
          <w:rFonts w:hint="eastAsia" w:ascii="仿宋_GB2312" w:hAnsi="仿宋_GB2312" w:eastAsia="仿宋_GB2312" w:cs="仿宋_GB2312"/>
          <w:sz w:val="32"/>
          <w:szCs w:val="32"/>
          <w:lang w:val="en-US" w:eastAsia="zh-CN"/>
        </w:rPr>
        <w:t>124家次，医疗器械经营企业173家次，化妆品经营企业200家次，医疗机构125家次，发现药品安全隐患26条，医疗器械风险隐患6条，化妆品风险隐患5条。所有风险隐患已建立风险清单台账，</w:t>
      </w:r>
      <w:r>
        <w:rPr>
          <w:rFonts w:eastAsia="仿宋_GB2312"/>
          <w:sz w:val="32"/>
          <w:szCs w:val="32"/>
        </w:rPr>
        <w:t>实行风险清单销号制管理</w:t>
      </w:r>
      <w:r>
        <w:rPr>
          <w:rFonts w:hint="eastAsia" w:eastAsia="仿宋_GB2312"/>
          <w:sz w:val="32"/>
          <w:szCs w:val="32"/>
          <w:lang w:eastAsia="zh-CN"/>
        </w:rPr>
        <w:t>，</w:t>
      </w:r>
      <w:r>
        <w:rPr>
          <w:rFonts w:eastAsia="仿宋_GB2312"/>
          <w:sz w:val="32"/>
          <w:szCs w:val="32"/>
        </w:rPr>
        <w:t>全面梳理违法线索，坚持一经查实严肃处理，形成处罚一户，教育一片的监管氛围。</w:t>
      </w:r>
      <w:r>
        <w:rPr>
          <w:rFonts w:hint="eastAsia" w:ascii="仿宋_GB2312" w:hAnsi="仿宋_GB2312" w:eastAsia="仿宋_GB2312" w:cs="仿宋_GB2312"/>
          <w:b w:val="0"/>
          <w:bCs w:val="0"/>
          <w:color w:val="auto"/>
          <w:sz w:val="32"/>
          <w:szCs w:val="32"/>
          <w:lang w:val="en-US" w:eastAsia="zh-CN"/>
        </w:rPr>
        <w:t>成立跨部门药品安全专项整治工作领导小组，深入开展药品安全专项整治行动,</w:t>
      </w:r>
      <w:r>
        <w:rPr>
          <w:rFonts w:hint="eastAsia" w:ascii="仿宋_GB2312" w:hAnsi="仿宋_GB2312" w:eastAsia="仿宋_GB2312" w:cs="仿宋_GB2312"/>
          <w:b w:val="0"/>
          <w:bCs w:val="0"/>
          <w:color w:val="auto"/>
          <w:sz w:val="32"/>
          <w:szCs w:val="32"/>
          <w:lang w:eastAsia="zh-CN"/>
        </w:rPr>
        <w:t>全面规范</w:t>
      </w:r>
      <w:r>
        <w:rPr>
          <w:rFonts w:hint="eastAsia" w:ascii="仿宋_GB2312" w:hAnsi="仿宋_GB2312" w:eastAsia="仿宋_GB2312" w:cs="仿宋_GB2312"/>
          <w:color w:val="auto"/>
          <w:sz w:val="32"/>
          <w:szCs w:val="32"/>
          <w:lang w:eastAsia="zh-CN"/>
        </w:rPr>
        <w:t>药品市场秩序。</w:t>
      </w:r>
      <w:r>
        <w:rPr>
          <w:rFonts w:hint="eastAsia" w:ascii="仿宋_GB2312" w:hAnsi="仿宋_GB2312" w:eastAsia="仿宋_GB2312" w:cs="仿宋_GB2312"/>
          <w:b w:val="0"/>
          <w:bCs w:val="0"/>
          <w:color w:val="auto"/>
          <w:sz w:val="32"/>
          <w:szCs w:val="32"/>
          <w:lang w:eastAsia="zh-CN"/>
        </w:rPr>
        <w:t>全面加强涉疫药品、医疗器械质量监管，</w:t>
      </w:r>
      <w:r>
        <w:rPr>
          <w:rFonts w:hint="eastAsia" w:ascii="仿宋_GB2312" w:hAnsi="仿宋_GB2312" w:eastAsia="仿宋_GB2312" w:cs="仿宋_GB2312"/>
          <w:color w:val="auto"/>
          <w:sz w:val="32"/>
          <w:szCs w:val="32"/>
          <w:lang w:eastAsia="zh-CN"/>
        </w:rPr>
        <w:t>对《疫情期间需实名登记报告目录药品》、新冠病毒疫苗、新冠病毒核酸检测试剂、医用防护服、医用防护口罩等重点品种进行专项检查。共检查8家重点防疫品种批发企业和125家零售企业，6家核酸检测医疗机构以及1家第三方核酸检测机构，督促企业完成进货查验、完善使用记录、供货方资质索取等问题整改3处，有力化解疫情防控用药品和医疗器械质量安全风险隐患。</w:t>
      </w:r>
      <w:r>
        <w:rPr>
          <w:rFonts w:hint="eastAsia" w:ascii="仿宋" w:hAnsi="仿宋" w:eastAsia="仿宋" w:cs="仿宋"/>
          <w:b/>
          <w:bCs/>
          <w:sz w:val="32"/>
          <w:szCs w:val="32"/>
          <w:shd w:val="clear" w:color="auto" w:fill="FFFFFF"/>
          <w:lang w:val="en-US" w:eastAsia="zh-CN"/>
        </w:rPr>
        <w:t xml:space="preserve"> </w:t>
      </w:r>
      <w:r>
        <w:rPr>
          <w:rFonts w:hint="eastAsia" w:ascii="仿宋_GB2312" w:hAnsi="仿宋_GB2312" w:eastAsia="仿宋_GB2312" w:cs="仿宋_GB2312"/>
          <w:kern w:val="2"/>
          <w:sz w:val="32"/>
          <w:szCs w:val="32"/>
          <w:lang w:val="en-US" w:eastAsia="zh-CN" w:bidi="ar-SA"/>
        </w:rPr>
        <w:t>积极参与药品监管综合改革创新工作。以“创新基层分级、精准、有效监管模式”为题，申报2023年广东省市县级药品监管综合改革创新项目，该项目已被省药监局立项。</w:t>
      </w:r>
    </w:p>
    <w:p>
      <w:pPr>
        <w:pStyle w:val="6"/>
        <w:keepNext w:val="0"/>
        <w:keepLines w:val="0"/>
        <w:pageBreakBefore w:val="0"/>
        <w:shd w:val="clear" w:color="auto" w:fill="auto"/>
        <w:kinsoku/>
        <w:wordWrap/>
        <w:overflowPunct/>
        <w:topLinePunct w:val="0"/>
        <w:autoSpaceDE/>
        <w:autoSpaceDN/>
        <w:bidi w:val="0"/>
        <w:adjustRightInd w:val="0"/>
        <w:snapToGrid w:val="0"/>
        <w:spacing w:before="0" w:beforeLines="0" w:beforeAutospacing="0" w:after="0" w:afterLines="0" w:afterAutospacing="0" w:line="560" w:lineRule="exact"/>
        <w:ind w:left="0" w:leftChars="0" w:right="0" w:rightChars="0"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特种设备安全方面：</w:t>
      </w:r>
      <w:r>
        <w:rPr>
          <w:rFonts w:hint="eastAsia" w:ascii="仿宋_GB2312" w:hAnsi="仿宋_GB2312" w:eastAsia="仿宋_GB2312" w:cs="仿宋_GB2312"/>
          <w:color w:val="auto"/>
          <w:sz w:val="32"/>
          <w:szCs w:val="32"/>
          <w:lang w:val="en-US" w:eastAsia="zh-CN"/>
        </w:rPr>
        <w:t>组织开展叉车、</w:t>
      </w:r>
      <w:r>
        <w:rPr>
          <w:rFonts w:hint="eastAsia" w:ascii="仿宋_GB2312" w:hAnsi="仿宋_GB2312" w:eastAsia="仿宋_GB2312" w:cs="仿宋_GB2312"/>
          <w:sz w:val="32"/>
          <w:szCs w:val="32"/>
          <w:lang w:val="en-US" w:eastAsia="zh-CN"/>
        </w:rPr>
        <w:t>燃气、超期未检特种设备等多项专项检查，今年以来共检查各特种设备使用单位、生产单位共125家次，排查发现超期未检或经检验不合格等存在严重安全隐患的特种设备417台；其中对2家使用特种设备违法行为的使用单位进行了立案查处。</w:t>
      </w:r>
    </w:p>
    <w:p>
      <w:pPr>
        <w:keepNext w:val="0"/>
        <w:keepLines w:val="0"/>
        <w:pageBreakBefore w:val="0"/>
        <w:numPr>
          <w:ilvl w:val="0"/>
          <w:numId w:val="2"/>
        </w:numPr>
        <w:kinsoku/>
        <w:wordWrap/>
        <w:overflowPunct/>
        <w:topLinePunct w:val="0"/>
        <w:autoSpaceDN/>
        <w:bidi w:val="0"/>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聚焦民生发展，深化市场治理</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强化价格监管：</w:t>
      </w:r>
      <w:r>
        <w:rPr>
          <w:rFonts w:hint="eastAsia" w:ascii="仿宋_GB2312" w:hAnsi="仿宋_GB2312" w:eastAsia="仿宋_GB2312" w:cs="仿宋_GB2312"/>
          <w:sz w:val="32"/>
          <w:szCs w:val="32"/>
          <w:lang w:val="en-US" w:eastAsia="zh-CN"/>
        </w:rPr>
        <w:t>针对重点时段、重点行业开展</w:t>
      </w:r>
      <w:r>
        <w:rPr>
          <w:rFonts w:hint="eastAsia" w:ascii="仿宋_GB2312" w:hAnsi="仿宋_GB2312" w:eastAsia="仿宋_GB2312" w:cs="仿宋_GB2312"/>
          <w:b w:val="0"/>
          <w:bCs w:val="0"/>
          <w:sz w:val="32"/>
          <w:szCs w:val="32"/>
          <w:lang w:val="en-US" w:eastAsia="zh-CN"/>
        </w:rPr>
        <w:t>农副产品价格、</w:t>
      </w:r>
      <w:r>
        <w:rPr>
          <w:rFonts w:hint="eastAsia" w:ascii="仿宋_GB2312" w:hAnsi="仿宋_GB2312" w:eastAsia="仿宋_GB2312" w:cs="仿宋_GB2312"/>
          <w:b w:val="0"/>
          <w:bCs w:val="0"/>
          <w:sz w:val="32"/>
          <w:szCs w:val="32"/>
          <w:lang w:eastAsia="zh-CN"/>
        </w:rPr>
        <w:t>药店</w:t>
      </w:r>
      <w:r>
        <w:rPr>
          <w:rFonts w:hint="eastAsia" w:ascii="仿宋_GB2312" w:hAnsi="仿宋_GB2312" w:eastAsia="仿宋_GB2312" w:cs="仿宋_GB2312"/>
          <w:b w:val="0"/>
          <w:bCs w:val="0"/>
          <w:sz w:val="32"/>
          <w:szCs w:val="32"/>
        </w:rPr>
        <w:t>防疫物资价格</w:t>
      </w:r>
      <w:r>
        <w:rPr>
          <w:rFonts w:hint="eastAsia" w:ascii="仿宋_GB2312" w:hAnsi="仿宋_GB2312" w:eastAsia="仿宋_GB2312" w:cs="仿宋_GB2312"/>
          <w:b w:val="0"/>
          <w:bCs w:val="0"/>
          <w:sz w:val="32"/>
          <w:szCs w:val="32"/>
          <w:lang w:eastAsia="zh-CN"/>
        </w:rPr>
        <w:t>、客运票价</w:t>
      </w:r>
      <w:r>
        <w:rPr>
          <w:rFonts w:hint="eastAsia" w:ascii="仿宋_GB2312" w:hAnsi="仿宋_GB2312" w:eastAsia="仿宋_GB2312" w:cs="仿宋_GB2312"/>
          <w:b w:val="0"/>
          <w:bCs w:val="0"/>
          <w:sz w:val="32"/>
          <w:szCs w:val="32"/>
        </w:rPr>
        <w:t>价格</w:t>
      </w:r>
      <w:r>
        <w:rPr>
          <w:rFonts w:hint="eastAsia" w:ascii="仿宋_GB2312" w:hAnsi="仿宋_GB2312" w:eastAsia="仿宋_GB2312" w:cs="仿宋_GB2312"/>
          <w:b w:val="0"/>
          <w:bCs w:val="0"/>
          <w:sz w:val="32"/>
          <w:szCs w:val="32"/>
          <w:lang w:eastAsia="zh-CN"/>
        </w:rPr>
        <w:t>、新派冠病毒检测价格、</w:t>
      </w:r>
      <w:r>
        <w:rPr>
          <w:rFonts w:hint="eastAsia" w:ascii="仿宋_GB2312" w:hAnsi="仿宋_GB2312" w:eastAsia="仿宋_GB2312" w:cs="仿宋_GB2312"/>
          <w:b w:val="0"/>
          <w:bCs w:val="0"/>
          <w:sz w:val="32"/>
          <w:szCs w:val="32"/>
          <w:lang w:val="en-US" w:eastAsia="zh-CN"/>
        </w:rPr>
        <w:t>教育收费等专项检查，检查农贸市场、商超、</w:t>
      </w:r>
      <w:r>
        <w:rPr>
          <w:rFonts w:hint="eastAsia" w:ascii="仿宋_GB2312" w:hAnsi="仿宋_GB2312" w:eastAsia="仿宋_GB2312" w:cs="仿宋_GB2312"/>
          <w:b w:val="0"/>
          <w:i w:val="0"/>
          <w:caps w:val="0"/>
          <w:color w:val="000000"/>
          <w:spacing w:val="0"/>
          <w:sz w:val="32"/>
          <w:szCs w:val="32"/>
          <w:shd w:val="clear" w:color="auto" w:fill="FFFFFF"/>
          <w:lang w:val="en-US" w:eastAsia="zh-CN"/>
        </w:rPr>
        <w:t>药店、</w:t>
      </w:r>
      <w:r>
        <w:rPr>
          <w:rFonts w:hint="eastAsia" w:ascii="仿宋_GB2312" w:hAnsi="仿宋_GB2312" w:eastAsia="仿宋_GB2312" w:cs="仿宋_GB2312"/>
          <w:b w:val="0"/>
          <w:bCs w:val="0"/>
          <w:sz w:val="32"/>
          <w:szCs w:val="32"/>
          <w:lang w:val="en-US" w:eastAsia="zh-CN"/>
        </w:rPr>
        <w:t>客运企业、停车场、医疗服务机构、学校及校外培训机构等与民生相关的经营单位2456家次，发放</w:t>
      </w:r>
      <w:r>
        <w:rPr>
          <w:rFonts w:hint="eastAsia" w:ascii="仿宋_GB2312" w:hAnsi="仿宋_GB2312" w:eastAsia="仿宋_GB2312" w:cs="仿宋_GB2312"/>
          <w:b w:val="0"/>
          <w:i w:val="0"/>
          <w:caps w:val="0"/>
          <w:color w:val="000000"/>
          <w:spacing w:val="0"/>
          <w:sz w:val="32"/>
          <w:szCs w:val="32"/>
          <w:shd w:val="clear" w:color="auto" w:fill="FFFFFF"/>
        </w:rPr>
        <w:t>《</w:t>
      </w:r>
      <w:r>
        <w:rPr>
          <w:rFonts w:hint="eastAsia" w:ascii="仿宋_GB2312" w:hAnsi="仿宋_GB2312" w:eastAsia="仿宋_GB2312" w:cs="仿宋_GB2312"/>
          <w:b w:val="0"/>
          <w:i w:val="0"/>
          <w:caps w:val="0"/>
          <w:color w:val="000000"/>
          <w:spacing w:val="0"/>
          <w:sz w:val="32"/>
          <w:szCs w:val="32"/>
          <w:shd w:val="clear" w:color="auto" w:fill="FFFFFF"/>
          <w:lang w:eastAsia="zh-CN"/>
        </w:rPr>
        <w:t>价格行为</w:t>
      </w:r>
      <w:r>
        <w:rPr>
          <w:rFonts w:hint="eastAsia" w:ascii="仿宋_GB2312" w:hAnsi="仿宋_GB2312" w:eastAsia="仿宋_GB2312" w:cs="仿宋_GB2312"/>
          <w:b w:val="0"/>
          <w:i w:val="0"/>
          <w:caps w:val="0"/>
          <w:color w:val="000000"/>
          <w:spacing w:val="0"/>
          <w:sz w:val="32"/>
          <w:szCs w:val="32"/>
          <w:shd w:val="clear" w:color="auto" w:fill="FFFFFF"/>
        </w:rPr>
        <w:t>提醒告诫书》</w:t>
      </w:r>
      <w:r>
        <w:rPr>
          <w:rFonts w:hint="eastAsia" w:ascii="仿宋_GB2312" w:hAnsi="仿宋_GB2312" w:eastAsia="仿宋_GB2312" w:cs="仿宋_GB2312"/>
          <w:b w:val="0"/>
          <w:i w:val="0"/>
          <w:caps w:val="0"/>
          <w:color w:val="000000"/>
          <w:spacing w:val="0"/>
          <w:sz w:val="32"/>
          <w:szCs w:val="32"/>
          <w:shd w:val="clear" w:color="auto" w:fill="FFFFFF"/>
          <w:lang w:val="en-US" w:eastAsia="zh-CN"/>
        </w:rPr>
        <w:t>15</w:t>
      </w:r>
      <w:r>
        <w:rPr>
          <w:rFonts w:hint="eastAsia" w:ascii="仿宋_GB2312" w:hAnsi="仿宋_GB2312" w:eastAsia="仿宋_GB2312" w:cs="仿宋_GB2312"/>
          <w:sz w:val="32"/>
          <w:szCs w:val="32"/>
          <w:lang w:val="en-US" w:eastAsia="zh-CN"/>
        </w:rPr>
        <w:t>23份，</w:t>
      </w:r>
      <w:r>
        <w:rPr>
          <w:rFonts w:hint="eastAsia" w:ascii="仿宋_GB2312" w:hAnsi="仿宋_GB2312" w:eastAsia="仿宋_GB2312" w:cs="仿宋_GB2312"/>
          <w:i w:val="0"/>
          <w:caps w:val="0"/>
          <w:color w:val="000000"/>
          <w:spacing w:val="0"/>
          <w:sz w:val="32"/>
          <w:szCs w:val="32"/>
        </w:rPr>
        <w:t>责令</w:t>
      </w:r>
      <w:r>
        <w:rPr>
          <w:rFonts w:hint="eastAsia" w:ascii="仿宋_GB2312" w:hAnsi="仿宋_GB2312" w:eastAsia="仿宋_GB2312" w:cs="仿宋_GB2312"/>
          <w:i w:val="0"/>
          <w:caps w:val="0"/>
          <w:color w:val="000000"/>
          <w:spacing w:val="0"/>
          <w:sz w:val="32"/>
          <w:szCs w:val="32"/>
          <w:lang w:val="en-US" w:eastAsia="zh-CN"/>
        </w:rPr>
        <w:t>20</w:t>
      </w:r>
      <w:r>
        <w:rPr>
          <w:rFonts w:hint="eastAsia" w:ascii="仿宋_GB2312" w:hAnsi="仿宋_GB2312" w:eastAsia="仿宋_GB2312" w:cs="仿宋_GB2312"/>
          <w:i w:val="0"/>
          <w:caps w:val="0"/>
          <w:color w:val="000000"/>
          <w:spacing w:val="0"/>
          <w:sz w:val="32"/>
          <w:szCs w:val="32"/>
        </w:rPr>
        <w:t>家明码标价不规范的经营者限期改正</w:t>
      </w:r>
      <w:r>
        <w:rPr>
          <w:rFonts w:hint="eastAsia" w:ascii="仿宋_GB2312" w:hAnsi="仿宋_GB2312" w:eastAsia="仿宋_GB2312" w:cs="仿宋_GB2312"/>
          <w:sz w:val="32"/>
          <w:szCs w:val="32"/>
          <w:lang w:eastAsia="zh-CN"/>
        </w:rPr>
        <w:t>。</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强化广告监管：</w:t>
      </w:r>
      <w:r>
        <w:rPr>
          <w:rFonts w:hint="eastAsia" w:ascii="仿宋_GB2312" w:hAnsi="仿宋_GB2312" w:eastAsia="仿宋_GB2312" w:cs="仿宋_GB2312"/>
          <w:color w:val="auto"/>
          <w:sz w:val="32"/>
          <w:szCs w:val="32"/>
          <w:lang w:val="en-US" w:eastAsia="zh-CN"/>
        </w:rPr>
        <w:t>开展移动端互联网广告治理规范工作，</w:t>
      </w:r>
      <w:r>
        <w:rPr>
          <w:rFonts w:hint="eastAsia" w:ascii="仿宋_GB2312" w:hAnsi="仿宋_GB2312" w:eastAsia="仿宋_GB2312" w:cs="仿宋_GB2312"/>
          <w:sz w:val="32"/>
          <w:szCs w:val="32"/>
          <w:lang w:eastAsia="zh-CN"/>
        </w:rPr>
        <w:t>重点监管互联网媒介主体数量</w:t>
      </w:r>
      <w:r>
        <w:rPr>
          <w:rFonts w:hint="eastAsia" w:ascii="仿宋_GB2312" w:hAnsi="仿宋_GB2312" w:eastAsia="仿宋_GB2312" w:cs="仿宋_GB2312"/>
          <w:sz w:val="32"/>
          <w:szCs w:val="32"/>
          <w:lang w:val="en-US" w:eastAsia="zh-CN"/>
        </w:rPr>
        <w:t>43个，</w:t>
      </w:r>
      <w:r>
        <w:rPr>
          <w:rFonts w:hint="eastAsia" w:ascii="仿宋_GB2312" w:hAnsi="仿宋_GB2312" w:eastAsia="仿宋_GB2312" w:cs="仿宋_GB2312"/>
          <w:color w:val="auto"/>
          <w:sz w:val="32"/>
          <w:szCs w:val="32"/>
          <w:lang w:val="en-US" w:eastAsia="zh-CN"/>
        </w:rPr>
        <w:t>自行监测互联网广告728条。开展户外广告监管监测检查各类广告772 条次，发出责令改正通知书 3份、</w:t>
      </w:r>
      <w:r>
        <w:rPr>
          <w:rFonts w:hint="eastAsia" w:ascii="仿宋_GB2312" w:hAnsi="仿宋_GB2312" w:eastAsia="仿宋_GB2312" w:cs="仿宋_GB2312"/>
          <w:sz w:val="32"/>
          <w:szCs w:val="32"/>
          <w:lang w:val="en-US" w:eastAsia="zh-CN"/>
        </w:rPr>
        <w:t>行政提醒函14份；</w:t>
      </w:r>
      <w:r>
        <w:rPr>
          <w:rFonts w:hint="eastAsia" w:ascii="仿宋_GB2312" w:hAnsi="仿宋_GB2312" w:eastAsia="仿宋_GB2312" w:cs="仿宋_GB2312"/>
          <w:color w:val="auto"/>
          <w:sz w:val="32"/>
          <w:szCs w:val="32"/>
          <w:lang w:val="en-US" w:eastAsia="zh-CN"/>
        </w:rPr>
        <w:t>受理涉及知识产权广告投诉举报226宗，对14家医疗机构开展广告监管检查发出14份行政提醒函，约谈2家医疗机构。</w:t>
      </w:r>
    </w:p>
    <w:p>
      <w:pPr>
        <w:keepNext w:val="0"/>
        <w:keepLines w:val="0"/>
        <w:pageBreakBefore w:val="0"/>
        <w:kinsoku/>
        <w:wordWrap/>
        <w:overflowPunct/>
        <w:topLinePunct w:val="0"/>
        <w:autoSpaceDN/>
        <w:bidi w:val="0"/>
        <w:spacing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强化产品质量监管：</w:t>
      </w:r>
      <w:r>
        <w:rPr>
          <w:rFonts w:hint="eastAsia" w:ascii="仿宋_GB2312" w:hAnsi="仿宋_GB2312" w:eastAsia="仿宋_GB2312" w:cs="仿宋_GB2312"/>
          <w:sz w:val="32"/>
          <w:szCs w:val="32"/>
          <w:lang w:val="en-US" w:eastAsia="zh-CN"/>
        </w:rPr>
        <w:t>开展危险化学品及其包装物质量安全排查、道路交通安全整治、城镇燃气安全整治、乡村地区火灾治理等专项检查，</w:t>
      </w:r>
      <w:r>
        <w:rPr>
          <w:rFonts w:hint="eastAsia" w:ascii="仿宋_GB2312" w:hAnsi="仿宋_GB2312" w:eastAsia="仿宋_GB2312"/>
          <w:sz w:val="32"/>
          <w:szCs w:val="32"/>
          <w:lang w:val="en-US" w:eastAsia="zh-CN"/>
        </w:rPr>
        <w:t>检查了危险化学品生产企业、</w:t>
      </w:r>
      <w:r>
        <w:rPr>
          <w:rFonts w:hint="eastAsia" w:ascii="仿宋_GB2312" w:hAnsi="仿宋_GB2312" w:eastAsia="仿宋_GB2312" w:cs="仿宋_GB2312"/>
          <w:sz w:val="32"/>
          <w:szCs w:val="32"/>
          <w:lang w:val="en-US" w:eastAsia="zh-CN"/>
        </w:rPr>
        <w:t>危险化学品包装物生产企业、</w:t>
      </w:r>
      <w:r>
        <w:rPr>
          <w:rFonts w:hint="eastAsia" w:ascii="仿宋_GB2312" w:hAnsi="仿宋_GB2312" w:eastAsia="仿宋_GB2312"/>
          <w:sz w:val="32"/>
          <w:szCs w:val="32"/>
          <w:lang w:val="en-US" w:eastAsia="zh-CN"/>
        </w:rPr>
        <w:t>烟花爆竹销售单位、</w:t>
      </w:r>
      <w:r>
        <w:rPr>
          <w:rFonts w:hint="eastAsia" w:ascii="仿宋_GB2312" w:hAnsi="仿宋_GB2312" w:eastAsia="仿宋_GB2312" w:cs="仿宋_GB2312"/>
          <w:sz w:val="32"/>
          <w:szCs w:val="32"/>
          <w:lang w:val="en-US" w:eastAsia="zh-CN"/>
        </w:rPr>
        <w:t>电动自行车销售单位、</w:t>
      </w:r>
      <w:r>
        <w:rPr>
          <w:rFonts w:hint="eastAsia" w:ascii="仿宋_GB2312" w:hAnsi="仿宋_GB2312" w:eastAsia="仿宋_GB2312"/>
          <w:sz w:val="32"/>
          <w:szCs w:val="32"/>
          <w:lang w:val="en-US" w:eastAsia="zh-CN"/>
        </w:rPr>
        <w:t>燃气具销售单位等共计160家次，开展产品质量监测11家次，</w:t>
      </w:r>
      <w:r>
        <w:rPr>
          <w:rFonts w:hint="eastAsia" w:ascii="Times New Roman" w:hAnsi="Times New Roman" w:eastAsia="仿宋_GB2312" w:cs="Times New Roman"/>
          <w:color w:val="000000"/>
          <w:sz w:val="32"/>
          <w:szCs w:val="32"/>
          <w:lang w:val="en-US" w:eastAsia="zh-CN"/>
        </w:rPr>
        <w:t>发出责令整改通知29份书，有效</w:t>
      </w:r>
      <w:r>
        <w:rPr>
          <w:rFonts w:hint="eastAsia" w:ascii="仿宋_GB2312" w:hAnsi="仿宋_GB2312" w:eastAsia="仿宋_GB2312"/>
          <w:sz w:val="32"/>
          <w:szCs w:val="32"/>
          <w:lang w:val="en-US" w:eastAsia="zh-CN"/>
        </w:rPr>
        <w:t>防范和减少产品质量安全隐患。</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eastAsia" w:ascii="仿宋" w:hAnsi="仿宋" w:eastAsia="仿宋"/>
          <w:kern w:val="2"/>
          <w:sz w:val="32"/>
          <w:szCs w:val="32"/>
          <w:u w:val="none" w:color="auto"/>
          <w:lang w:val="en-US" w:eastAsia="zh-CN" w:bidi="ar-SA"/>
        </w:rPr>
      </w:pPr>
      <w:r>
        <w:rPr>
          <w:rFonts w:hint="eastAsia" w:ascii="仿宋_GB2312" w:hAnsi="仿宋_GB2312" w:eastAsia="仿宋_GB2312" w:cs="仿宋_GB2312"/>
          <w:b/>
          <w:bCs/>
          <w:color w:val="auto"/>
          <w:sz w:val="32"/>
          <w:szCs w:val="32"/>
          <w:lang w:val="en-US" w:eastAsia="zh-CN"/>
        </w:rPr>
        <w:t>强化执法办案：</w:t>
      </w:r>
      <w:r>
        <w:rPr>
          <w:rFonts w:hint="eastAsia" w:ascii="仿宋" w:hAnsi="仿宋" w:eastAsia="仿宋"/>
          <w:kern w:val="2"/>
          <w:sz w:val="32"/>
          <w:szCs w:val="32"/>
          <w:u w:val="none" w:color="auto"/>
          <w:lang w:val="en-US" w:eastAsia="zh-CN" w:bidi="ar-SA"/>
        </w:rPr>
        <w:t>深入开展</w:t>
      </w:r>
      <w:r>
        <w:rPr>
          <w:rFonts w:hint="eastAsia" w:ascii="仿宋" w:hAnsi="仿宋" w:eastAsia="仿宋"/>
          <w:sz w:val="32"/>
          <w:szCs w:val="32"/>
          <w:u w:val="none" w:color="auto"/>
          <w:lang w:val="en-US" w:eastAsia="zh-CN"/>
        </w:rPr>
        <w:t>打击应节商品走私、</w:t>
      </w:r>
      <w:r>
        <w:rPr>
          <w:rFonts w:hint="eastAsia" w:ascii="仿宋_GB2312" w:hAnsi="仿宋_GB2312" w:eastAsia="仿宋_GB2312" w:cs="仿宋_GB2312"/>
          <w:kern w:val="0"/>
          <w:sz w:val="32"/>
          <w:szCs w:val="32"/>
          <w:lang w:eastAsia="zh-CN"/>
        </w:rPr>
        <w:t>打击市场销售长江流域非法捕捞渔获物、打击市场销售长江流域非法捕捞渔获物、</w:t>
      </w:r>
      <w:r>
        <w:rPr>
          <w:rFonts w:hint="eastAsia" w:ascii="仿宋_GB2312" w:hAnsi="仿宋_GB2312" w:eastAsia="仿宋_GB2312" w:cs="仿宋_GB2312"/>
          <w:kern w:val="0"/>
          <w:sz w:val="32"/>
          <w:szCs w:val="32"/>
          <w:lang w:val="en-US" w:eastAsia="zh-CN"/>
        </w:rPr>
        <w:t>整治打击养老诈骗等</w:t>
      </w:r>
      <w:r>
        <w:rPr>
          <w:rFonts w:hint="eastAsia" w:ascii="仿宋" w:hAnsi="仿宋" w:eastAsia="仿宋"/>
          <w:kern w:val="2"/>
          <w:sz w:val="32"/>
          <w:szCs w:val="32"/>
          <w:u w:val="none" w:color="auto"/>
          <w:lang w:val="en-US" w:eastAsia="zh-CN" w:bidi="ar-SA"/>
        </w:rPr>
        <w:t>各类专项行动，持续深入开展民生领域案件查办“铁拳”行动，组织查处各类违法案件。今年以来共立案218宗，结案187宗（其中跨年4宗），罚没金额71.3374万元。</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default" w:ascii="仿宋" w:hAnsi="仿宋" w:eastAsia="仿宋"/>
          <w:kern w:val="2"/>
          <w:sz w:val="32"/>
          <w:szCs w:val="32"/>
          <w:u w:val="none" w:color="auto"/>
          <w:lang w:val="en-US" w:eastAsia="zh-CN" w:bidi="ar-SA"/>
        </w:rPr>
      </w:pPr>
      <w:r>
        <w:rPr>
          <w:rFonts w:hint="eastAsia" w:ascii="仿宋" w:hAnsi="仿宋" w:eastAsia="仿宋"/>
          <w:b/>
          <w:bCs/>
          <w:kern w:val="2"/>
          <w:sz w:val="32"/>
          <w:szCs w:val="32"/>
          <w:u w:val="none" w:color="auto"/>
          <w:lang w:val="en-US" w:eastAsia="zh-CN" w:bidi="ar-SA"/>
        </w:rPr>
        <w:t>强化知识产权保护：</w:t>
      </w:r>
      <w:r>
        <w:rPr>
          <w:rFonts w:hint="eastAsia" w:ascii="仿宋_GB2312" w:hAnsi="仿宋_GB2312" w:eastAsia="仿宋_GB2312" w:cs="仿宋_GB2312"/>
          <w:sz w:val="32"/>
          <w:szCs w:val="32"/>
          <w:lang w:val="en-US" w:eastAsia="zh-CN"/>
        </w:rPr>
        <w:t>开展北京2022年冬奥会和冬残奥会奥林匹克标志知识产权保护专项行动，对保利广场商圈和沃尔玛商圈开展专项检查。挂牌成立韶关市武江区知识产权维权援助服务站，进一步加大知识产权保护力度。</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b/>
          <w:bCs/>
          <w:kern w:val="2"/>
          <w:sz w:val="32"/>
          <w:szCs w:val="32"/>
          <w:u w:val="none" w:color="auto"/>
          <w:lang w:val="en-US" w:eastAsia="zh-CN" w:bidi="ar-SA"/>
        </w:rPr>
        <w:t>强化抽检监测：</w:t>
      </w:r>
      <w:r>
        <w:rPr>
          <w:rFonts w:hint="eastAsia" w:ascii="仿宋" w:hAnsi="仿宋" w:eastAsia="仿宋"/>
          <w:kern w:val="2"/>
          <w:sz w:val="32"/>
          <w:szCs w:val="32"/>
          <w:u w:val="none" w:color="auto"/>
          <w:lang w:val="en-US" w:eastAsia="zh-CN" w:bidi="ar-SA"/>
        </w:rPr>
        <w:t>认真落实省、市、区民生实事的工作要求，开展保健食品、药品、化妆品、医疗器械监督抽检工作，坚持问题导向，突出针对性和靶向性，</w:t>
      </w:r>
      <w:r>
        <w:rPr>
          <w:rFonts w:hint="eastAsia" w:ascii="仿宋_GB2312" w:hAnsi="仿宋_GB2312" w:eastAsia="仿宋_GB2312" w:cs="仿宋_GB2312"/>
          <w:sz w:val="32"/>
          <w:szCs w:val="32"/>
          <w:u w:val="none" w:color="auto"/>
          <w:lang w:val="en-US" w:eastAsia="zh-CN"/>
        </w:rPr>
        <w:t>今年已完成保健食品抽检8批次、药品抽检42批次、化妆品抽检9批次、医疗器械抽检2批次</w:t>
      </w:r>
      <w:r>
        <w:rPr>
          <w:rFonts w:hint="eastAsia" w:ascii="仿宋_GB2312" w:hAnsi="仿宋_GB2312" w:eastAsia="仿宋_GB2312" w:cs="仿宋_GB2312"/>
          <w:sz w:val="32"/>
          <w:szCs w:val="32"/>
          <w:shd w:val="clear" w:color="auto" w:fill="FFFFFF"/>
          <w:lang w:val="en-US" w:eastAsia="zh-CN"/>
        </w:rPr>
        <w:t>；完成农贸市场食品农产品</w:t>
      </w:r>
      <w:r>
        <w:rPr>
          <w:rFonts w:hint="eastAsia" w:ascii="仿宋_GB2312" w:hAnsi="仿宋_GB2312" w:eastAsia="仿宋_GB2312" w:cs="仿宋_GB2312"/>
          <w:sz w:val="32"/>
          <w:szCs w:val="32"/>
          <w:lang w:val="en-US" w:eastAsia="zh-CN"/>
        </w:rPr>
        <w:t>农残快检47192批次，不合格134批次，合格率99.72%，处置快检不合格产品88.54公斤；开展农产品质量安全日常风险监测和监督抽查累计共检测170批次，其中风险监测133批次，合格率99.25%，监督抽查37批次，合格率达97.3%。开展我为群众办实事免费为群众快速检测食用农产品农药残留便民活动，共计接受咨询60余人次，发放宣传资料100余份，检测样品327批次，检测结果均为合格。</w:t>
      </w:r>
    </w:p>
    <w:p>
      <w:pPr>
        <w:pStyle w:val="6"/>
        <w:keepNext w:val="0"/>
        <w:keepLines w:val="0"/>
        <w:pageBreakBefore w:val="0"/>
        <w:widowControl/>
        <w:suppressLineNumbers w:val="0"/>
        <w:kinsoku/>
        <w:wordWrap/>
        <w:overflowPunct/>
        <w:topLinePunct w:val="0"/>
        <w:autoSpaceDE w:val="0"/>
        <w:autoSpaceDN/>
        <w:bidi w:val="0"/>
        <w:spacing w:before="0" w:beforeAutospacing="0" w:after="0" w:afterAutospacing="0" w:line="560" w:lineRule="exact"/>
        <w:ind w:righ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加大消费维权力度。</w:t>
      </w:r>
      <w:r>
        <w:rPr>
          <w:rFonts w:hint="eastAsia" w:ascii="仿宋_GB2312" w:hAnsi="仿宋_GB2312" w:eastAsia="仿宋_GB2312" w:cs="仿宋_GB2312"/>
          <w:sz w:val="32"/>
          <w:szCs w:val="32"/>
          <w:lang w:val="en-US" w:eastAsia="zh-CN"/>
        </w:rPr>
        <w:t>畅通投诉举报渠道，及时受理消费纠纷，切实维护消费者合法权益。今年以来共受理咨询68次，投诉783宗，举报310宗，为消费者挽回经济损失69.85万元，加倍赔偿约1.76万元，办结答复率达到100%。强化消费维权体系建，营造诚信放心的消费环境。开办消费维权知识系列课堂，在惠民东、太阳城等社区服务中心举办老年人消费维权知识教育进社区系列活动，针对老年人“食品”“保健品”消费、预付款消费等热点消费领域问题送法进社区。在韶关保利广场面向全体商户大力推进武江区第四个“放心消费承诺”示范街区创建，共发动引导场内经营者“放心消费承诺单位”73户，“线下无理由退货承诺店”43户。</w:t>
      </w:r>
    </w:p>
    <w:p>
      <w:pPr>
        <w:keepNext w:val="0"/>
        <w:keepLines w:val="0"/>
        <w:pageBreakBefore w:val="0"/>
        <w:kinsoku/>
        <w:wordWrap/>
        <w:overflowPunct/>
        <w:topLinePunct w:val="0"/>
        <w:autoSpaceDN/>
        <w:bidi w:val="0"/>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开展餐饮质量安全提升行动。</w:t>
      </w:r>
      <w:r>
        <w:rPr>
          <w:rFonts w:hint="eastAsia" w:ascii="仿宋_GB2312" w:hAnsi="仿宋_GB2312" w:eastAsia="仿宋_GB2312" w:cs="仿宋_GB2312"/>
          <w:b w:val="0"/>
          <w:bCs w:val="0"/>
          <w:sz w:val="32"/>
          <w:szCs w:val="32"/>
          <w:lang w:val="en-US" w:eastAsia="zh-CN"/>
        </w:rPr>
        <w:t>聚焦“2022餐饮服务规范年”活动，</w:t>
      </w:r>
      <w:r>
        <w:rPr>
          <w:rFonts w:hint="eastAsia" w:ascii="仿宋_GB2312" w:hAnsi="仿宋_GB2312" w:eastAsia="仿宋_GB2312" w:cs="仿宋_GB2312"/>
          <w:b w:val="0"/>
          <w:bCs w:val="0"/>
          <w:color w:val="000000"/>
          <w:sz w:val="32"/>
          <w:szCs w:val="32"/>
          <w:lang w:val="en-US" w:eastAsia="zh-CN"/>
        </w:rPr>
        <w:t>督促全区持证在营1400家餐饮服务单位积极参与“食安快线通用版”培训考核；全区115家学校（幼儿园）食堂、1家集体用餐配送单位，9家A级校外托管机均已开通“互联网＋明厨亮灶”智慧监管平台，学校幼儿园食堂上线率达100%；武江区现有入网餐饮服务经营者950家，截止至目前，检查入网餐饮服务经营者652家，下线暂停美团外卖平台餐饮店31家，全区网络订餐餐饮服务经营者持证率、公示许可证率均已达100%；开展“阳光查餐厅”行动1期。</w:t>
      </w:r>
    </w:p>
    <w:p>
      <w:pPr>
        <w:keepNext w:val="0"/>
        <w:keepLines w:val="0"/>
        <w:pageBreakBefore w:val="0"/>
        <w:numPr>
          <w:ilvl w:val="0"/>
          <w:numId w:val="2"/>
        </w:numPr>
        <w:kinsoku/>
        <w:wordWrap/>
        <w:overflowPunct/>
        <w:topLinePunct w:val="0"/>
        <w:autoSpaceDN/>
        <w:bidi w:val="0"/>
        <w:spacing w:line="560" w:lineRule="exact"/>
        <w:ind w:left="0" w:leftChars="0" w:firstLine="640" w:firstLineChars="200"/>
        <w:jc w:val="lef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聚焦强化党风建设，推动主体责任落实</w:t>
      </w:r>
    </w:p>
    <w:p>
      <w:pPr>
        <w:pStyle w:val="2"/>
        <w:keepNext w:val="0"/>
        <w:keepLines w:val="0"/>
        <w:pageBreakBefore w:val="0"/>
        <w:kinsoku/>
        <w:wordWrap/>
        <w:overflowPunct/>
        <w:topLinePunct w:val="0"/>
        <w:autoSpaceDN/>
        <w:bidi w:val="0"/>
        <w:spacing w:line="560" w:lineRule="exact"/>
        <w:textAlignment w:val="auto"/>
        <w:rPr>
          <w:rFonts w:hint="eastAsia"/>
          <w:sz w:val="32"/>
          <w:szCs w:val="32"/>
          <w:lang w:val="en-US" w:eastAsia="zh-CN"/>
        </w:rPr>
      </w:pPr>
      <w:r>
        <w:rPr>
          <w:rFonts w:hint="eastAsia" w:ascii="楷体_GB2312" w:hAnsi="楷体_GB2312" w:eastAsia="楷体_GB2312" w:cs="楷体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持续加强党建工作，通过“三会一课”等多种方式扎实开展政治理论学习。</w:t>
      </w:r>
      <w:r>
        <w:rPr>
          <w:rFonts w:hint="eastAsia" w:ascii="仿宋_GB2312" w:hAnsi="仿宋_GB2312" w:eastAsia="仿宋_GB2312" w:cs="仿宋_GB2312"/>
          <w:sz w:val="32"/>
          <w:szCs w:val="32"/>
          <w:lang w:eastAsia="zh-CN"/>
        </w:rPr>
        <w:t>落实全面从严治党要求，</w:t>
      </w:r>
      <w:r>
        <w:rPr>
          <w:rFonts w:hint="eastAsia" w:ascii="仿宋_GB2312" w:hAnsi="仿宋_GB2312" w:eastAsia="仿宋_GB2312" w:cs="仿宋_GB2312"/>
          <w:sz w:val="32"/>
          <w:szCs w:val="32"/>
          <w:lang w:val="en-US" w:eastAsia="zh-CN"/>
        </w:rPr>
        <w:t>多途径多手段</w:t>
      </w:r>
      <w:r>
        <w:rPr>
          <w:rFonts w:hint="eastAsia" w:ascii="仿宋_GB2312" w:hAnsi="仿宋_GB2312" w:eastAsia="仿宋_GB2312" w:cs="仿宋_GB2312"/>
          <w:sz w:val="32"/>
          <w:szCs w:val="32"/>
          <w:lang w:eastAsia="zh-CN"/>
        </w:rPr>
        <w:t>加强对党员领导干部的日常教育、监督和管理。</w:t>
      </w:r>
      <w:r>
        <w:rPr>
          <w:rFonts w:hint="eastAsia" w:ascii="仿宋_GB2312" w:hAnsi="仿宋_GB2312" w:eastAsia="仿宋_GB2312" w:cs="仿宋_GB2312"/>
          <w:sz w:val="32"/>
          <w:szCs w:val="32"/>
          <w:lang w:val="en-US" w:eastAsia="zh-CN"/>
        </w:rPr>
        <w:t>强化党的引领作用，扎实落实党风廉政主体责任，把党风廉政建设与业务工作同研究、同部署、同检查、同考核。积极配合推进乡镇街道体制改革,认真做好</w:t>
      </w:r>
      <w:r>
        <w:rPr>
          <w:rFonts w:hint="eastAsia" w:ascii="仿宋_GB2312" w:hAnsi="仿宋_GB2312" w:eastAsia="仿宋_GB2312" w:cs="仿宋_GB2312"/>
          <w:sz w:val="32"/>
          <w:szCs w:val="32"/>
        </w:rPr>
        <w:t>重大事项决策、重要干部任免、重要项目安排和大额资金使用事项的监督管理工作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充分发挥党员带头示范作用，组织党员积极参与志愿者服务活动。</w:t>
      </w:r>
    </w:p>
    <w:p>
      <w:pPr>
        <w:keepNext w:val="0"/>
        <w:keepLines w:val="0"/>
        <w:pageBreakBefore w:val="0"/>
        <w:numPr>
          <w:ilvl w:val="0"/>
          <w:numId w:val="1"/>
        </w:numPr>
        <w:kinsoku/>
        <w:wordWrap/>
        <w:overflowPunct/>
        <w:topLinePunct w:val="0"/>
        <w:autoSpaceDN/>
        <w:bidi w:val="0"/>
        <w:spacing w:line="560" w:lineRule="exact"/>
        <w:ind w:left="0" w:leftChars="0" w:firstLine="64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存在问题</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机构改革后，面对形势变化和繁重的监管任务，监管资源、监管能力还不相适应。受机构改革各种传闻的影响，个别人员认识没有统一到区委区政府决策部署上来，存在等待观望思想，工作积极性不高，导致一些食品药品安全监管工作推进缓慢。基层从事食品药品安全监管人员数量不足，专业知识不足，食品药品安全综合监管水平有待于进一步提高。下放镇街后，基层监管人员工作重心发生偏移，重点监管任务无法落实，监管频次不高，力度也不够大，一些日常经营中的问题不能全部被发现，存在检查力度薄弱的问题。</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药</w:t>
      </w:r>
      <w:r>
        <w:rPr>
          <w:rFonts w:hint="eastAsia" w:ascii="仿宋_GB2312" w:hAnsi="仿宋_GB2312" w:eastAsia="仿宋_GB2312" w:cs="仿宋_GB2312"/>
          <w:b w:val="0"/>
          <w:bCs w:val="0"/>
          <w:color w:val="auto"/>
          <w:sz w:val="32"/>
          <w:szCs w:val="32"/>
          <w:lang w:val="en-US" w:eastAsia="zh-CN"/>
        </w:rPr>
        <w:t>品</w:t>
      </w:r>
      <w:r>
        <w:rPr>
          <w:rFonts w:hint="default" w:ascii="仿宋_GB2312" w:hAnsi="仿宋_GB2312" w:eastAsia="仿宋_GB2312" w:cs="仿宋_GB2312"/>
          <w:b w:val="0"/>
          <w:bCs w:val="0"/>
          <w:color w:val="auto"/>
          <w:sz w:val="32"/>
          <w:szCs w:val="32"/>
          <w:lang w:val="en-US" w:eastAsia="zh-CN"/>
        </w:rPr>
        <w:t>安全风险仍然较高</w:t>
      </w:r>
      <w:r>
        <w:rPr>
          <w:rFonts w:hint="eastAsia" w:ascii="仿宋_GB2312" w:hAnsi="仿宋_GB2312" w:eastAsia="仿宋_GB2312" w:cs="仿宋_GB2312"/>
          <w:b w:val="0"/>
          <w:bCs w:val="0"/>
          <w:color w:val="auto"/>
          <w:sz w:val="32"/>
          <w:szCs w:val="32"/>
          <w:lang w:val="en-US" w:eastAsia="zh-CN"/>
        </w:rPr>
        <w:t>。</w:t>
      </w:r>
      <w:r>
        <w:rPr>
          <w:rFonts w:hint="default" w:ascii="仿宋_GB2312" w:hAnsi="仿宋_GB2312" w:eastAsia="仿宋_GB2312" w:cs="仿宋_GB2312"/>
          <w:color w:val="auto"/>
          <w:sz w:val="32"/>
          <w:szCs w:val="32"/>
          <w:lang w:val="en-US" w:eastAsia="zh-CN"/>
        </w:rPr>
        <w:t>在</w:t>
      </w:r>
      <w:r>
        <w:rPr>
          <w:rFonts w:hint="eastAsia" w:ascii="仿宋_GB2312" w:hAnsi="仿宋_GB2312" w:eastAsia="仿宋_GB2312" w:cs="仿宋_GB2312"/>
          <w:color w:val="auto"/>
          <w:sz w:val="32"/>
          <w:szCs w:val="32"/>
          <w:lang w:val="en-US" w:eastAsia="zh-CN"/>
        </w:rPr>
        <w:t>经营</w:t>
      </w:r>
      <w:r>
        <w:rPr>
          <w:rFonts w:hint="default" w:ascii="仿宋_GB2312" w:hAnsi="仿宋_GB2312" w:eastAsia="仿宋_GB2312" w:cs="仿宋_GB2312"/>
          <w:color w:val="auto"/>
          <w:sz w:val="32"/>
          <w:szCs w:val="32"/>
          <w:lang w:val="en-US" w:eastAsia="zh-CN"/>
        </w:rPr>
        <w:t>环节一些药</w:t>
      </w:r>
      <w:r>
        <w:rPr>
          <w:rFonts w:hint="eastAsia" w:ascii="仿宋_GB2312" w:hAnsi="仿宋_GB2312" w:eastAsia="仿宋_GB2312" w:cs="仿宋_GB2312"/>
          <w:color w:val="auto"/>
          <w:sz w:val="32"/>
          <w:szCs w:val="32"/>
          <w:lang w:val="en-US" w:eastAsia="zh-CN"/>
        </w:rPr>
        <w:t>械</w:t>
      </w:r>
      <w:r>
        <w:rPr>
          <w:rFonts w:hint="default" w:ascii="仿宋_GB2312" w:hAnsi="仿宋_GB2312" w:eastAsia="仿宋_GB2312" w:cs="仿宋_GB2312"/>
          <w:color w:val="auto"/>
          <w:sz w:val="32"/>
          <w:szCs w:val="32"/>
          <w:lang w:val="en-US" w:eastAsia="zh-CN"/>
        </w:rPr>
        <w:t>经营者法律意识和安全意识较差，存在从药</w:t>
      </w:r>
      <w:r>
        <w:rPr>
          <w:rFonts w:hint="eastAsia" w:ascii="仿宋_GB2312" w:hAnsi="仿宋_GB2312" w:eastAsia="仿宋_GB2312" w:cs="仿宋_GB2312"/>
          <w:color w:val="auto"/>
          <w:sz w:val="32"/>
          <w:szCs w:val="32"/>
          <w:lang w:val="en-US" w:eastAsia="zh-CN"/>
        </w:rPr>
        <w:t>械</w:t>
      </w:r>
      <w:r>
        <w:rPr>
          <w:rFonts w:hint="default" w:ascii="仿宋_GB2312" w:hAnsi="仿宋_GB2312" w:eastAsia="仿宋_GB2312" w:cs="仿宋_GB2312"/>
          <w:color w:val="auto"/>
          <w:sz w:val="32"/>
          <w:szCs w:val="32"/>
          <w:lang w:val="en-US" w:eastAsia="zh-CN"/>
        </w:rPr>
        <w:t>购进到销售环节没有严格按要求进行、药学技术人员没有很好履职、处方药不凭处方销售</w:t>
      </w:r>
      <w:r>
        <w:rPr>
          <w:rFonts w:hint="eastAsia" w:ascii="仿宋_GB2312" w:hAnsi="仿宋_GB2312" w:eastAsia="仿宋_GB2312" w:cs="仿宋_GB2312"/>
          <w:color w:val="auto"/>
          <w:sz w:val="32"/>
          <w:szCs w:val="32"/>
          <w:lang w:val="en-US" w:eastAsia="zh-CN"/>
        </w:rPr>
        <w:t>和</w:t>
      </w:r>
      <w:r>
        <w:rPr>
          <w:rFonts w:hint="default" w:ascii="仿宋_GB2312" w:hAnsi="仿宋_GB2312" w:eastAsia="仿宋_GB2312" w:cs="仿宋_GB2312"/>
          <w:color w:val="auto"/>
          <w:sz w:val="32"/>
          <w:szCs w:val="32"/>
          <w:lang w:val="en-US" w:eastAsia="zh-CN"/>
        </w:rPr>
        <w:t>药品未按要求贮存等问题。在使用环节，特别是村级卫生室和个体诊所，基础薄弱，</w:t>
      </w:r>
      <w:r>
        <w:rPr>
          <w:rFonts w:hint="eastAsia" w:ascii="仿宋_GB2312" w:hAnsi="仿宋_GB2312" w:eastAsia="仿宋_GB2312" w:cs="仿宋_GB2312"/>
          <w:color w:val="auto"/>
          <w:sz w:val="32"/>
          <w:szCs w:val="32"/>
          <w:lang w:val="en-US" w:eastAsia="zh-CN"/>
        </w:rPr>
        <w:t>负责人</w:t>
      </w:r>
      <w:r>
        <w:rPr>
          <w:rFonts w:hint="default" w:ascii="仿宋_GB2312" w:hAnsi="仿宋_GB2312" w:eastAsia="仿宋_GB2312" w:cs="仿宋_GB2312"/>
          <w:color w:val="auto"/>
          <w:sz w:val="32"/>
          <w:szCs w:val="32"/>
          <w:lang w:val="en-US" w:eastAsia="zh-CN"/>
        </w:rPr>
        <w:t>法律意识差，设施设备不能保证药品在贮存期间的质量，公众用药安全很难得到保障，安全风险较大。</w:t>
      </w:r>
    </w:p>
    <w:p>
      <w:pPr>
        <w:pStyle w:val="2"/>
        <w:keepNext w:val="0"/>
        <w:keepLines w:val="0"/>
        <w:pageBreakBefore w:val="0"/>
        <w:numPr>
          <w:ilvl w:val="0"/>
          <w:numId w:val="0"/>
        </w:numPr>
        <w:kinsoku/>
        <w:wordWrap/>
        <w:overflowPunct/>
        <w:topLinePunct w:val="0"/>
        <w:autoSpaceDN/>
        <w:bidi w:val="0"/>
        <w:spacing w:line="560" w:lineRule="exact"/>
        <w:ind w:firstLine="640" w:firstLineChars="200"/>
        <w:textAlignment w:val="auto"/>
        <w:rPr>
          <w:rFonts w:hint="default"/>
          <w:lang w:val="en-US" w:eastAsia="zh-CN"/>
        </w:rPr>
      </w:pPr>
      <w:r>
        <w:rPr>
          <w:rFonts w:hint="eastAsia" w:ascii="仿宋_GB2312" w:hAnsi="仿宋_GB2312" w:eastAsia="仿宋_GB2312" w:cs="仿宋_GB2312"/>
          <w:color w:val="auto"/>
          <w:sz w:val="32"/>
          <w:szCs w:val="32"/>
          <w:lang w:val="en-US" w:eastAsia="zh-CN"/>
        </w:rPr>
        <w:t>（三）监管执法力量不足。我局负责的食品、药品、特种设备、计量、质量监管等监管工作专业性强，但目前我局监管执法人员紧缺，现有的监管执法人员年龄偏大且专业性不足，监管执法设备设施有限，监管水平存在薄弱环节。</w:t>
      </w:r>
    </w:p>
    <w:p>
      <w:pPr>
        <w:rPr>
          <w:rFonts w:hint="default"/>
          <w:lang w:val="en-US" w:eastAsia="zh-CN"/>
        </w:rPr>
      </w:pPr>
      <w:r>
        <w:rPr>
          <w:rFonts w:hint="eastAsia" w:ascii="仿宋_GB2312" w:hAnsi="仿宋_GB2312" w:eastAsia="仿宋_GB2312" w:cs="仿宋_GB2312"/>
          <w:color w:val="auto"/>
          <w:sz w:val="32"/>
          <w:szCs w:val="32"/>
          <w:lang w:val="en-US" w:eastAsia="zh-CN"/>
        </w:rPr>
        <w:t xml:space="preserve">    （四）今年以来，职业性投诉举报只增不减。职业投诉人通过在实体店或网上平台查找并购买有问题的商品，如过期食品、包装违法、三无产品、无3C认证等，收集相关证据后向市场监管部门或消委会发起投诉举报，要求商家按照《消费者权益保护法》、《食品安全法》等法律法规进行赔偿，以期得到高额不当利益。职业打假索赔逐渐呈现出团伙化、专业化的特征和趋势,严重困扰企业正常的生产经营秩序、影响营商环境。</w:t>
      </w:r>
    </w:p>
    <w:p>
      <w:pPr>
        <w:keepNext w:val="0"/>
        <w:keepLines w:val="0"/>
        <w:pageBreakBefore w:val="0"/>
        <w:numPr>
          <w:ilvl w:val="0"/>
          <w:numId w:val="1"/>
        </w:numPr>
        <w:kinsoku/>
        <w:wordWrap/>
        <w:overflowPunct/>
        <w:topLinePunct w:val="0"/>
        <w:autoSpaceDN/>
        <w:bidi w:val="0"/>
        <w:spacing w:line="560" w:lineRule="exact"/>
        <w:ind w:left="0" w:leftChars="0" w:firstLine="64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2023年工作计划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1.持续深化商事制度改革，通过继续加大推行“一网通办、一窗通取”服务模式、</w:t>
      </w:r>
      <w:r>
        <w:rPr>
          <w:rFonts w:hint="eastAsia" w:ascii="仿宋_GB2312" w:hAnsi="仿宋_GB2312" w:eastAsia="仿宋_GB2312" w:cs="仿宋_GB2312"/>
          <w:sz w:val="32"/>
          <w:szCs w:val="32"/>
        </w:rPr>
        <w:t>推动“证照分离”改革纵深发展</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贯彻落实《促进个体工商户发展条例》</w:t>
      </w:r>
      <w:r>
        <w:rPr>
          <w:rFonts w:hint="eastAsia" w:ascii="仿宋_GB2312" w:hAnsi="仿宋_GB2312" w:eastAsia="仿宋_GB2312" w:cs="仿宋_GB2312"/>
          <w:sz w:val="32"/>
          <w:szCs w:val="32"/>
          <w:lang w:val="en-US" w:eastAsia="zh-CN"/>
        </w:rPr>
        <w:t>等途径，持续提升企业开办便利度，优化营商环境，</w:t>
      </w:r>
      <w:r>
        <w:rPr>
          <w:rFonts w:hint="eastAsia" w:ascii="仿宋_GB2312" w:hAnsi="仿宋_GB2312" w:eastAsia="仿宋_GB2312" w:cs="仿宋_GB2312"/>
          <w:b w:val="0"/>
          <w:bCs w:val="0"/>
          <w:sz w:val="32"/>
          <w:szCs w:val="32"/>
          <w:lang w:val="en-US" w:eastAsia="zh-CN"/>
        </w:rPr>
        <w:t>助力地方经济向好发展。</w:t>
      </w:r>
    </w:p>
    <w:p>
      <w:pPr>
        <w:keepNext w:val="0"/>
        <w:keepLines w:val="0"/>
        <w:pageBreakBefore w:val="0"/>
        <w:numPr>
          <w:ilvl w:val="0"/>
          <w:numId w:val="0"/>
        </w:numPr>
        <w:kinsoku/>
        <w:wordWrap/>
        <w:overflowPunct/>
        <w:topLinePunct w:val="0"/>
        <w:autoSpaceDN/>
        <w:bidi w:val="0"/>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2.通过全力帮助现有限上餐饮企业做大做强、挖掘培育潜在达标企业入库、强化诚信经营促消费等多种手段，全力做好经济工作。</w:t>
      </w:r>
    </w:p>
    <w:p>
      <w:pPr>
        <w:pStyle w:val="5"/>
        <w:keepNext w:val="0"/>
        <w:keepLines w:val="0"/>
        <w:pageBreakBefore w:val="0"/>
        <w:kinsoku/>
        <w:wordWrap/>
        <w:overflowPunct/>
        <w:topLinePunct w:val="0"/>
        <w:autoSpaceDN/>
        <w:bidi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进一步落实党政同责“标准线”，适应新形势新任务新要求，继续把食品药品安全列入党委、政府更加重要的工作内容，不断强化齐抓共管食品药品安全的态度和决心，进一步提高思想站位，强化统筹谋划，提升食品药品安全整体水平，进一步拉高工作标杆，加快实现食品药品安全治理体系和治理能力现代化。</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继续认真做好市场监管领域常态化疫情防控工作。深入贯彻落实国务院和省委政府疫情防控“外防输入、内防反弹”和“人物并防”等决策部署，锲而不舍抓好常态化防控机制，强化进口冷链食品从源头到消费全过程的闭环管理，确保进入我区的进口冷链食品“全受控、无遗漏”，持续推进冷藏冷冻食品追溯系统的应用，做好市场监管领域重点行业、重点人群的核酸检查工作。</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5.继续做好食品、药品、特种设备、质量、价格等各方面市场领域监管执法，深入开展打击整治养老诈骗、双打等专项工作，营造良好、公平的市场经济秩序。</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消费维权的宣传和教育，引导广大消费者理智消费、精准投诉、依法维权，倡导经营者自觉履行主休责任。进一步推进放心消费创建工作的开展，广泛宣传，不断提高放心消费承诺活动的知晓度、认可度，打造安全放心的消费环境。</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7.加强队伍建设，通过业务培训、交流学习等途径，持续提升执法工作能力水平。</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drawing>
          <wp:anchor distT="0" distB="0" distL="114300" distR="114300" simplePos="0" relativeHeight="251660288" behindDoc="1" locked="0" layoutInCell="1" allowOverlap="1">
            <wp:simplePos x="0" y="0"/>
            <wp:positionH relativeFrom="column">
              <wp:posOffset>3002280</wp:posOffset>
            </wp:positionH>
            <wp:positionV relativeFrom="paragraph">
              <wp:posOffset>13335</wp:posOffset>
            </wp:positionV>
            <wp:extent cx="1511935" cy="1511935"/>
            <wp:effectExtent l="0" t="0" r="12065" b="12065"/>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
                    <a:stretch>
                      <a:fillRect/>
                    </a:stretch>
                  </pic:blipFill>
                  <pic:spPr>
                    <a:xfrm>
                      <a:off x="0" y="0"/>
                      <a:ext cx="1511935" cy="1511935"/>
                    </a:xfrm>
                    <a:prstGeom prst="rect">
                      <a:avLst/>
                    </a:prstGeom>
                    <a:noFill/>
                    <a:ln>
                      <a:noFill/>
                    </a:ln>
                  </pic:spPr>
                </pic:pic>
              </a:graphicData>
            </a:graphic>
          </wp:anchor>
        </w:drawing>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韶关市武江区市场监督管理局</w:t>
      </w:r>
    </w:p>
    <w:p>
      <w:pPr>
        <w:pStyle w:val="6"/>
        <w:keepNext w:val="0"/>
        <w:keepLines w:val="0"/>
        <w:pageBreakBefore w:val="0"/>
        <w:widowControl/>
        <w:suppressLineNumbers w:val="0"/>
        <w:kinsoku/>
        <w:wordWrap/>
        <w:overflowPunct/>
        <w:topLinePunct w:val="0"/>
        <w:autoSpaceDN/>
        <w:bidi w:val="0"/>
        <w:spacing w:before="0" w:beforeAutospacing="0" w:after="0" w:afterAutospacing="0" w:line="560" w:lineRule="exact"/>
        <w:ind w:right="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2022年11月17日</w:t>
      </w:r>
    </w:p>
    <w:p>
      <w:pPr>
        <w:keepNext w:val="0"/>
        <w:keepLines w:val="0"/>
        <w:pageBreakBefore w:val="0"/>
        <w:kinsoku/>
        <w:wordWrap/>
        <w:overflowPunct/>
        <w:topLinePunct w:val="0"/>
        <w:autoSpaceDN/>
        <w:bidi w:val="0"/>
        <w:spacing w:line="560" w:lineRule="exact"/>
        <w:textAlignment w:val="auto"/>
        <w:rPr>
          <w:rFonts w:hint="default"/>
          <w:sz w:val="32"/>
          <w:szCs w:val="32"/>
          <w:lang w:val="en-US" w:eastAsia="zh-CN"/>
        </w:rPr>
      </w:pPr>
    </w:p>
    <w:p>
      <w:pPr>
        <w:rPr>
          <w:rFonts w:hint="default"/>
          <w:lang w:val="en-US" w:eastAsia="zh-CN"/>
        </w:rPr>
      </w:pPr>
      <w:r>
        <w:rPr>
          <w:rFonts w:hint="eastAsia"/>
          <w:lang w:val="en-US" w:eastAsia="zh-CN"/>
        </w:rPr>
        <w:t xml:space="preserve"> </w:t>
      </w:r>
    </w:p>
    <w:p>
      <w:pPr>
        <w:numPr>
          <w:ilvl w:val="0"/>
          <w:numId w:val="0"/>
        </w:num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（经办人：曾丽明，联系电话：8636186）</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2FDDD"/>
    <w:multiLevelType w:val="singleLevel"/>
    <w:tmpl w:val="9B42FDDD"/>
    <w:lvl w:ilvl="0" w:tentative="0">
      <w:start w:val="1"/>
      <w:numFmt w:val="chineseCounting"/>
      <w:suff w:val="nothing"/>
      <w:lvlText w:val="（%1）"/>
      <w:lvlJc w:val="left"/>
      <w:rPr>
        <w:rFonts w:hint="eastAsia"/>
      </w:rPr>
    </w:lvl>
  </w:abstractNum>
  <w:abstractNum w:abstractNumId="1">
    <w:nsid w:val="0EA69847"/>
    <w:multiLevelType w:val="singleLevel"/>
    <w:tmpl w:val="0EA69847"/>
    <w:lvl w:ilvl="0" w:tentative="0">
      <w:start w:val="1"/>
      <w:numFmt w:val="chineseCounting"/>
      <w:suff w:val="nothing"/>
      <w:lvlText w:val="（%1）"/>
      <w:lvlJc w:val="left"/>
      <w:rPr>
        <w:rFonts w:hint="eastAsia"/>
      </w:rPr>
    </w:lvl>
  </w:abstractNum>
  <w:abstractNum w:abstractNumId="2">
    <w:nsid w:val="5AE0E046"/>
    <w:multiLevelType w:val="singleLevel"/>
    <w:tmpl w:val="5AE0E046"/>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iZmZhMGU5ZDliMjAzOGEzZDFjZGZkYTcxYjRhMzIifQ=="/>
  </w:docVars>
  <w:rsids>
    <w:rsidRoot w:val="27275B26"/>
    <w:rsid w:val="15C9656A"/>
    <w:rsid w:val="22451586"/>
    <w:rsid w:val="27275B26"/>
    <w:rsid w:val="39563BE5"/>
    <w:rsid w:val="46316FC7"/>
    <w:rsid w:val="49F84FBB"/>
    <w:rsid w:val="57D24AE7"/>
    <w:rsid w:val="5BF450E6"/>
    <w:rsid w:val="71B3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next w:val="1"/>
    <w:unhideWhenUsed/>
    <w:qFormat/>
    <w:uiPriority w:val="99"/>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2"/>
    <w:basedOn w:val="1"/>
    <w:next w:val="1"/>
    <w:unhideWhenUsed/>
    <w:qFormat/>
    <w:uiPriority w:val="39"/>
    <w:pPr>
      <w:ind w:left="420" w:leftChars="200"/>
    </w:pPr>
    <w:rPr>
      <w:rFonts w:ascii="Times New Roman" w:hAnsi="Times New Roman" w:eastAsia="仿宋"/>
      <w:sz w:val="30"/>
      <w:szCs w:val="32"/>
    </w:rPr>
  </w:style>
  <w:style w:type="paragraph" w:styleId="6">
    <w:name w:val="Normal (Web)"/>
    <w:basedOn w:val="1"/>
    <w:unhideWhenUsed/>
    <w:qFormat/>
    <w:uiPriority w:val="99"/>
    <w:pPr>
      <w:widowControl/>
      <w:spacing w:before="100" w:beforeLines="0" w:beforeAutospacing="1" w:after="100" w:afterLines="0" w:afterAutospacing="1"/>
      <w:jc w:val="left"/>
    </w:pPr>
    <w:rPr>
      <w:rFonts w:ascii="宋体" w:hAnsi="宋体" w:cs="宋体"/>
      <w:kern w:val="0"/>
      <w:sz w:val="24"/>
    </w:rPr>
  </w:style>
  <w:style w:type="character" w:customStyle="1" w:styleId="9">
    <w:name w:val="NormalCharacter"/>
    <w:uiPriority w:val="0"/>
    <w:rPr>
      <w:rFonts w:ascii="Times New Roman" w:hAnsi="Times New Roman" w:eastAsia="宋体" w:cs="Times New Roman"/>
    </w:rPr>
  </w:style>
  <w:style w:type="paragraph" w:customStyle="1" w:styleId="10">
    <w:name w:val="_Style 5"/>
    <w:basedOn w:val="1"/>
    <w:qFormat/>
    <w:uiPriority w:val="0"/>
    <w:pPr>
      <w:ind w:firstLine="200" w:firstLineChars="200"/>
    </w:pPr>
    <w:rPr>
      <w:rFonts w:ascii="Times New Roman" w:hAnsi="Times New Roman" w:eastAsia="宋体" w:cs="Times New Roman"/>
      <w:sz w:val="24"/>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6167</Words>
  <Characters>6489</Characters>
  <Lines>0</Lines>
  <Paragraphs>0</Paragraphs>
  <TotalTime>0</TotalTime>
  <ScaleCrop>false</ScaleCrop>
  <LinksUpToDate>false</LinksUpToDate>
  <CharactersWithSpaces>6561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2022-07-06T02:24:00Z</dcterms:created>
  <dc:creator>ming</dc:creator>
  <cp:lastModifiedBy>曾丽明</cp:lastModifiedBy>
  <dcterms:modified xsi:type="dcterms:W3CDTF">2023-02-06T03:02:37Z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39F75E861FB64B589C5D61A8EDC9C620</vt:lpwstr>
  </property>
</Properties>
</file>