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52"/>
          <w:szCs w:val="52"/>
        </w:rPr>
      </w:pPr>
      <w:r>
        <w:rPr>
          <w:rFonts w:hint="eastAsia" w:ascii="黑体" w:hAnsi="黑体" w:eastAsia="黑体" w:cs="黑体"/>
          <w:color w:val="auto"/>
          <w:sz w:val="52"/>
          <w:szCs w:val="52"/>
        </w:rPr>
        <w:t>韶关市武江区第三产业发展</w:t>
      </w: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52"/>
          <w:szCs w:val="52"/>
        </w:rPr>
      </w:pPr>
      <w:r>
        <w:rPr>
          <w:rFonts w:hint="eastAsia" w:ascii="黑体" w:hAnsi="黑体" w:eastAsia="黑体" w:cs="黑体"/>
          <w:color w:val="auto"/>
          <w:sz w:val="52"/>
          <w:szCs w:val="52"/>
        </w:rPr>
        <w:t>第十四个五年规划</w:t>
      </w:r>
    </w:p>
    <w:p>
      <w:pPr>
        <w:pageBreakBefore w:val="0"/>
        <w:widowControl w:val="0"/>
        <w:kinsoku/>
        <w:wordWrap/>
        <w:overflowPunct/>
        <w:topLinePunct w:val="0"/>
        <w:autoSpaceDE/>
        <w:autoSpaceDN/>
        <w:bidi w:val="0"/>
        <w:adjustRightInd/>
        <w:snapToGrid/>
        <w:spacing w:line="540" w:lineRule="exact"/>
        <w:ind w:firstLine="0" w:firstLineChars="0"/>
        <w:jc w:val="center"/>
        <w:rPr>
          <w:rFonts w:ascii="黑体" w:hAnsi="黑体" w:eastAsia="黑体" w:cs="黑体"/>
          <w:color w:val="auto"/>
          <w:sz w:val="52"/>
          <w:szCs w:val="52"/>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left="0" w:leftChars="0" w:firstLine="0" w:firstLineChars="0"/>
        <w:rPr>
          <w:color w:val="auto"/>
        </w:rPr>
      </w:pPr>
    </w:p>
    <w:p>
      <w:pPr>
        <w:pageBreakBefore w:val="0"/>
        <w:widowControl w:val="0"/>
        <w:kinsoku/>
        <w:wordWrap/>
        <w:overflowPunct/>
        <w:topLinePunct w:val="0"/>
        <w:autoSpaceDE/>
        <w:autoSpaceDN/>
        <w:bidi w:val="0"/>
        <w:adjustRightInd/>
        <w:snapToGrid/>
        <w:spacing w:line="540" w:lineRule="exact"/>
        <w:ind w:left="0" w:leftChars="0" w:firstLine="0" w:firstLineChars="0"/>
        <w:rPr>
          <w:color w:val="auto"/>
        </w:rPr>
      </w:pPr>
    </w:p>
    <w:p>
      <w:pPr>
        <w:pageBreakBefore w:val="0"/>
        <w:widowControl w:val="0"/>
        <w:kinsoku/>
        <w:wordWrap/>
        <w:overflowPunct/>
        <w:topLinePunct w:val="0"/>
        <w:autoSpaceDE/>
        <w:autoSpaceDN/>
        <w:bidi w:val="0"/>
        <w:adjustRightInd/>
        <w:snapToGrid/>
        <w:spacing w:line="540" w:lineRule="exact"/>
        <w:ind w:left="0" w:leftChars="0" w:firstLine="0" w:firstLineChars="0"/>
        <w:jc w:val="center"/>
        <w:rPr>
          <w:color w:val="auto"/>
        </w:rPr>
      </w:pPr>
      <w:r>
        <w:rPr>
          <w:rFonts w:hint="default" w:ascii="Times New Roman" w:hAnsi="Times New Roman" w:eastAsia="楷体" w:cs="Times New Roman"/>
          <w:color w:val="auto"/>
          <w:sz w:val="44"/>
          <w:szCs w:val="44"/>
          <w:lang w:val="en-US" w:eastAsia="zh-CN"/>
        </w:rPr>
        <w:t>202</w:t>
      </w:r>
      <w:r>
        <w:rPr>
          <w:rFonts w:hint="eastAsia" w:ascii="Times New Roman" w:hAnsi="Times New Roman" w:eastAsia="楷体" w:cs="Times New Roman"/>
          <w:color w:val="auto"/>
          <w:sz w:val="44"/>
          <w:szCs w:val="44"/>
          <w:lang w:val="en-US" w:eastAsia="zh-CN"/>
        </w:rPr>
        <w:t>3</w:t>
      </w:r>
      <w:r>
        <w:rPr>
          <w:rFonts w:hint="default" w:ascii="Times New Roman" w:hAnsi="Times New Roman" w:eastAsia="楷体" w:cs="Times New Roman"/>
          <w:color w:val="auto"/>
          <w:sz w:val="44"/>
          <w:szCs w:val="44"/>
          <w:lang w:val="en-US" w:eastAsia="zh-CN"/>
        </w:rPr>
        <w:t>年</w:t>
      </w:r>
      <w:r>
        <w:rPr>
          <w:rFonts w:hint="eastAsia" w:ascii="Times New Roman" w:hAnsi="Times New Roman" w:eastAsia="楷体" w:cs="Times New Roman"/>
          <w:color w:val="auto"/>
          <w:sz w:val="44"/>
          <w:szCs w:val="44"/>
          <w:lang w:val="en-US" w:eastAsia="zh-CN"/>
        </w:rPr>
        <w:t>9</w:t>
      </w:r>
      <w:r>
        <w:rPr>
          <w:rFonts w:hint="default" w:ascii="Times New Roman" w:hAnsi="Times New Roman" w:eastAsia="楷体" w:cs="Times New Roman"/>
          <w:color w:val="auto"/>
          <w:sz w:val="44"/>
          <w:szCs w:val="44"/>
          <w:lang w:val="en-US" w:eastAsia="zh-CN"/>
        </w:rPr>
        <w:t>月</w:t>
      </w:r>
    </w:p>
    <w:sdt>
      <w:sdtPr>
        <w:rPr>
          <w:rFonts w:hint="eastAsia" w:ascii="黑体" w:hAnsi="黑体" w:eastAsia="黑体" w:cs="黑体"/>
          <w:color w:val="auto"/>
          <w:sz w:val="44"/>
          <w:szCs w:val="44"/>
        </w:rPr>
        <w:id w:val="147476444"/>
        <w15:color w:val="DBDBDB"/>
        <w:docPartObj>
          <w:docPartGallery w:val="Table of Contents"/>
          <w:docPartUnique/>
        </w:docPartObj>
      </w:sdtPr>
      <w:sdtEndPr>
        <w:rPr>
          <w:rFonts w:hint="eastAsia" w:eastAsia="仿宋" w:asciiTheme="minorHAnsi" w:hAnsiTheme="minorHAnsi" w:cstheme="minorBidi"/>
          <w:b/>
          <w:color w:val="auto"/>
          <w:sz w:val="32"/>
          <w:szCs w:val="24"/>
        </w:rPr>
      </w:sdtEndPr>
      <w:sdtContent>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hint="eastAsia" w:ascii="黑体" w:hAnsi="黑体" w:eastAsia="黑体" w:cs="黑体"/>
              <w:color w:val="auto"/>
              <w:sz w:val="44"/>
              <w:szCs w:val="44"/>
            </w:rPr>
          </w:pPr>
        </w:p>
        <w:p>
          <w:pPr>
            <w:pageBreakBefore w:val="0"/>
            <w:widowControl w:val="0"/>
            <w:kinsoku/>
            <w:wordWrap/>
            <w:overflowPunct/>
            <w:topLinePunct w:val="0"/>
            <w:autoSpaceDE/>
            <w:autoSpaceDN/>
            <w:bidi w:val="0"/>
            <w:adjustRightInd/>
            <w:snapToGrid/>
            <w:spacing w:line="540" w:lineRule="exact"/>
            <w:ind w:firstLine="0" w:firstLineChars="0"/>
            <w:jc w:val="center"/>
            <w:rPr>
              <w:rFonts w:ascii="黑体" w:hAnsi="黑体" w:eastAsia="黑体" w:cs="黑体"/>
              <w:color w:val="auto"/>
              <w:sz w:val="44"/>
              <w:szCs w:val="44"/>
            </w:rPr>
          </w:pPr>
          <w:r>
            <w:rPr>
              <w:rFonts w:hint="eastAsia" w:ascii="黑体" w:hAnsi="黑体" w:eastAsia="黑体" w:cs="黑体"/>
              <w:color w:val="auto"/>
              <w:sz w:val="44"/>
              <w:szCs w:val="44"/>
            </w:rPr>
            <w:t>目  录</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TOC \o "1-2" \h \u </w:instrText>
          </w:r>
          <w:r>
            <w:rPr>
              <w:rFonts w:ascii="Times New Roman" w:hAnsi="Times New Roman" w:eastAsia="宋体" w:cs="Times New Roman"/>
              <w:color w:val="auto"/>
              <w:sz w:val="28"/>
              <w:szCs w:val="28"/>
            </w:rPr>
            <w:fldChar w:fldCharType="separate"/>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"_Toc7867"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第一章  发展基础与环境</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_Toc7867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"_Toc7788"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第一节  现实基础</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_Toc7788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"_Toc31330"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第二节  发展环境</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_Toc31330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3</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"_Toc26068"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第二章  总体要求</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_Toc26068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6</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"_Toc13362"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第一节  指导思想</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_Toc13362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6</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"_Toc10985"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第二节  发展原则</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_Toc10985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7</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"_Toc9595"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第三节  发展目标</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_Toc9595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8</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"_Toc19730"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第三章  发展重点</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_Toc19730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9</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"_Toc13844"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第一节  提升发展商贸服务业</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_Toc13844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9</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"_Toc10921"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第二节  加快发展电商物流服务业</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_Toc10921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11</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"_Toc4426"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第三节  积极发展金融和总部服务业</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_Toc4426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12</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"_Toc22201"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第四节  特色发展文化科技服务业</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_Toc22201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14</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"_Toc1826"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第五节  提升发展居民和家庭服务</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_Toc1826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15</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"_Toc28086"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第四章  主要任务</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_Toc28086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15</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"_Toc9407"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第一节  促进商贸服务业集聚发展</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_Toc9407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15</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"_Toc2247"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第二节  鼓励发展新模式新业态</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_Toc2247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16</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"_Toc9456"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第三节  积极扩大消费需求</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_Toc9456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18</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"_Toc3235"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第四节  支持培育优势企业</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_Toc3235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19</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"_Toc8751"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第五章  保障措施</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_Toc8751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"_Toc14350"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第一节  加强组织领导</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_Toc14350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"_Toc32153"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第二节  优化发展环境</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_Toc32153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20</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"_Toc14195"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第三节  扩大开放合作</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_Toc14195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21</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firstLine="640" w:firstLineChars="200"/>
            <w:textAlignment w:val="auto"/>
            <w:rPr>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"_Toc19111"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第四节  注重宣传引导</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_Toc19111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21</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r>
            <w:rPr>
              <w:rFonts w:ascii="Times New Roman" w:hAnsi="Times New Roman" w:eastAsia="宋体" w:cs="Times New Roman"/>
              <w:color w:val="auto"/>
              <w:sz w:val="28"/>
              <w:szCs w:val="28"/>
            </w:rPr>
            <w:fldChar w:fldCharType="end"/>
          </w:r>
        </w:p>
      </w:sdtContent>
    </w:sdt>
    <w:p>
      <w:pPr>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color w:val="auto"/>
        </w:rPr>
      </w:pPr>
      <w:r>
        <w:rPr>
          <w:rFonts w:hint="eastAsia" w:ascii="仿宋_GB2312" w:hAnsi="仿宋_GB2312" w:eastAsia="仿宋_GB2312" w:cs="仿宋_GB2312"/>
          <w:color w:val="auto"/>
        </w:rPr>
        <w:t>“十四五”时期，是我国由全面建设小康社会向基本实现社会主义现代化迈进的关键时期，“两个一百年”奋斗目标的历史交汇期，也是全面开启社会主义现代化强国建设新征程的重要机遇期，更是武江以新发展理念引领高质量发展、着力建设生态品质中心城区、在城乡融合高质量发展上走在北部生态发展区前列的重要时期。</w:t>
      </w:r>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为推动</w:t>
      </w:r>
      <w:r>
        <w:rPr>
          <w:rFonts w:hint="eastAsia" w:ascii="仿宋_GB2312" w:hAnsi="仿宋_GB2312" w:eastAsia="仿宋_GB2312" w:cs="仿宋_GB2312"/>
          <w:color w:val="auto"/>
          <w:lang w:eastAsia="zh-CN"/>
        </w:rPr>
        <w:t>武江</w:t>
      </w:r>
      <w:r>
        <w:rPr>
          <w:rFonts w:hint="eastAsia" w:ascii="仿宋_GB2312" w:hAnsi="仿宋_GB2312" w:eastAsia="仿宋_GB2312" w:cs="仿宋_GB2312"/>
          <w:color w:val="auto"/>
        </w:rPr>
        <w:t>区</w:t>
      </w:r>
      <w:r>
        <w:rPr>
          <w:rFonts w:hint="eastAsia" w:ascii="仿宋_GB2312" w:hAnsi="仿宋_GB2312" w:eastAsia="仿宋_GB2312" w:cs="仿宋_GB2312"/>
          <w:color w:val="auto"/>
          <w:lang w:eastAsia="zh-CN"/>
        </w:rPr>
        <w:t>实体经济高质量发展</w:t>
      </w:r>
      <w:r>
        <w:rPr>
          <w:rFonts w:hint="eastAsia" w:ascii="仿宋_GB2312" w:hAnsi="仿宋_GB2312" w:eastAsia="仿宋_GB2312" w:cs="仿宋_GB2312"/>
          <w:color w:val="auto"/>
        </w:rPr>
        <w:t>，按照区委、区政府的总体部署，</w:t>
      </w:r>
      <w:r>
        <w:rPr>
          <w:rFonts w:hint="eastAsia" w:ascii="仿宋_GB2312" w:hAnsi="仿宋_GB2312" w:eastAsia="仿宋_GB2312" w:cs="仿宋_GB2312"/>
          <w:color w:val="auto"/>
          <w:lang w:eastAsia="zh-CN"/>
        </w:rPr>
        <w:t>我区</w:t>
      </w:r>
      <w:r>
        <w:rPr>
          <w:rFonts w:hint="eastAsia" w:ascii="仿宋_GB2312" w:hAnsi="仿宋_GB2312" w:eastAsia="仿宋_GB2312" w:cs="仿宋_GB2312"/>
          <w:color w:val="auto"/>
        </w:rPr>
        <w:t>紧紧围绕建设生态品质中心城区、在城乡融合高质量发展上走在北部生态发展区前列的总目标，根据《武江区国民经济和社会发展第十</w:t>
      </w:r>
      <w:r>
        <w:rPr>
          <w:rFonts w:hint="eastAsia" w:ascii="仿宋_GB2312" w:hAnsi="仿宋_GB2312" w:eastAsia="仿宋_GB2312" w:cs="仿宋_GB2312"/>
          <w:color w:val="auto"/>
          <w:lang w:eastAsia="zh-CN"/>
        </w:rPr>
        <w:t>四</w:t>
      </w:r>
      <w:r>
        <w:rPr>
          <w:rFonts w:hint="eastAsia" w:ascii="仿宋_GB2312" w:hAnsi="仿宋_GB2312" w:eastAsia="仿宋_GB2312" w:cs="仿宋_GB2312"/>
          <w:color w:val="auto"/>
        </w:rPr>
        <w:t>个五年规划纲要》有关服务业工作的总体部署和要求，</w:t>
      </w:r>
      <w:r>
        <w:rPr>
          <w:rFonts w:hint="eastAsia" w:ascii="仿宋_GB2312" w:hAnsi="仿宋_GB2312" w:eastAsia="仿宋_GB2312" w:cs="仿宋_GB2312"/>
          <w:color w:val="auto"/>
          <w:lang w:eastAsia="zh-CN"/>
        </w:rPr>
        <w:t>特</w:t>
      </w:r>
      <w:r>
        <w:rPr>
          <w:rFonts w:hint="eastAsia" w:ascii="仿宋_GB2312" w:hAnsi="仿宋_GB2312" w:eastAsia="仿宋_GB2312" w:cs="仿宋_GB2312"/>
          <w:color w:val="auto"/>
        </w:rPr>
        <w:t>制定</w:t>
      </w:r>
      <w:r>
        <w:rPr>
          <w:rFonts w:hint="eastAsia" w:ascii="仿宋_GB2312" w:hAnsi="仿宋_GB2312" w:eastAsia="仿宋_GB2312" w:cs="仿宋_GB2312"/>
          <w:color w:val="auto"/>
          <w:lang w:eastAsia="zh-CN"/>
        </w:rPr>
        <w:t>《韶关市武江区第三产业发展第十四个五年规划》（以下简称“规划”），推动武江区第三产业有序</w:t>
      </w:r>
      <w:r>
        <w:rPr>
          <w:rFonts w:hint="eastAsia" w:ascii="仿宋_GB2312" w:hAnsi="仿宋_GB2312" w:eastAsia="仿宋_GB2312" w:cs="仿宋_GB2312"/>
          <w:color w:val="auto"/>
        </w:rPr>
        <w:t>建设</w:t>
      </w:r>
      <w:r>
        <w:rPr>
          <w:rFonts w:hint="eastAsia" w:ascii="仿宋_GB2312" w:hAnsi="仿宋_GB2312" w:eastAsia="仿宋_GB2312" w:cs="仿宋_GB2312"/>
          <w:color w:val="auto"/>
          <w:lang w:eastAsia="zh-CN"/>
        </w:rPr>
        <w:t>发展</w:t>
      </w:r>
      <w:r>
        <w:rPr>
          <w:rFonts w:hint="eastAsia" w:ascii="仿宋_GB2312" w:hAnsi="仿宋_GB2312" w:eastAsia="仿宋_GB2312" w:cs="仿宋_GB2312"/>
          <w:color w:val="auto"/>
        </w:rPr>
        <w:t>。</w:t>
      </w:r>
    </w:p>
    <w:p>
      <w:pPr>
        <w:pageBreakBefore w:val="0"/>
        <w:widowControl w:val="0"/>
        <w:kinsoku/>
        <w:wordWrap/>
        <w:overflowPunct/>
        <w:topLinePunct w:val="0"/>
        <w:autoSpaceDE/>
        <w:autoSpaceDN/>
        <w:bidi w:val="0"/>
        <w:adjustRightInd/>
        <w:snapToGrid/>
        <w:spacing w:line="540" w:lineRule="exact"/>
        <w:ind w:firstLine="640"/>
        <w:rPr>
          <w:color w:val="auto"/>
        </w:rPr>
      </w:pPr>
    </w:p>
    <w:p>
      <w:pPr>
        <w:pageBreakBefore w:val="0"/>
        <w:widowControl w:val="0"/>
        <w:kinsoku/>
        <w:wordWrap/>
        <w:overflowPunct/>
        <w:topLinePunct w:val="0"/>
        <w:autoSpaceDE/>
        <w:autoSpaceDN/>
        <w:bidi w:val="0"/>
        <w:adjustRightInd/>
        <w:snapToGrid/>
        <w:spacing w:line="540" w:lineRule="exact"/>
        <w:ind w:firstLine="640"/>
        <w:rPr>
          <w:color w:val="auto"/>
        </w:rPr>
        <w:sectPr>
          <w:pgSz w:w="11906" w:h="16838"/>
          <w:pgMar w:top="1440" w:right="1800" w:bottom="1440" w:left="1800" w:header="851" w:footer="992" w:gutter="0"/>
          <w:cols w:space="425" w:num="1"/>
          <w:docGrid w:type="lines" w:linePitch="312" w:charSpace="0"/>
        </w:sectPr>
      </w:pPr>
    </w:p>
    <w:p>
      <w:pPr>
        <w:pStyle w:val="3"/>
        <w:pageBreakBefore w:val="0"/>
        <w:widowControl w:val="0"/>
        <w:kinsoku/>
        <w:wordWrap/>
        <w:overflowPunct/>
        <w:topLinePunct w:val="0"/>
        <w:autoSpaceDE/>
        <w:autoSpaceDN/>
        <w:bidi w:val="0"/>
        <w:adjustRightInd/>
        <w:snapToGrid/>
        <w:spacing w:line="540" w:lineRule="exact"/>
        <w:rPr>
          <w:color w:val="auto"/>
        </w:rPr>
      </w:pPr>
      <w:bookmarkStart w:id="0" w:name="_Toc7867"/>
      <w:r>
        <w:rPr>
          <w:rFonts w:hint="eastAsia"/>
          <w:color w:val="auto"/>
        </w:rPr>
        <w:t>第一章  发展基础与环境</w:t>
      </w:r>
      <w:bookmarkEnd w:id="0"/>
    </w:p>
    <w:p>
      <w:pPr>
        <w:pStyle w:val="4"/>
        <w:pageBreakBefore w:val="0"/>
        <w:widowControl w:val="0"/>
        <w:kinsoku/>
        <w:wordWrap/>
        <w:overflowPunct/>
        <w:topLinePunct w:val="0"/>
        <w:autoSpaceDE/>
        <w:autoSpaceDN/>
        <w:bidi w:val="0"/>
        <w:adjustRightInd/>
        <w:snapToGrid/>
        <w:spacing w:line="540" w:lineRule="exact"/>
        <w:rPr>
          <w:color w:val="auto"/>
        </w:rPr>
      </w:pPr>
      <w:bookmarkStart w:id="1" w:name="_Toc7788"/>
      <w:r>
        <w:rPr>
          <w:rFonts w:hint="eastAsia"/>
          <w:color w:val="auto"/>
        </w:rPr>
        <w:t>第一节  现实基础</w:t>
      </w:r>
      <w:bookmarkEnd w:id="1"/>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十三五”时期，我区坚持把供给侧结构性改革作为经济工作的主线，以加快转变经济发展方式为主线，产业结构进一步优化，第三产业的规模总量不断扩大、发展质量不断提升、对经济的贡献不断增强，呈现出内部结构逐步改善、服务功能不断趋强、业态日益多样的趋势，为“十四五”时期高质量发展打下了坚实的基础。</w:t>
      </w:r>
    </w:p>
    <w:p>
      <w:pPr>
        <w:pStyle w:val="5"/>
        <w:pageBreakBefore w:val="0"/>
        <w:widowControl w:val="0"/>
        <w:kinsoku/>
        <w:wordWrap/>
        <w:overflowPunct/>
        <w:topLinePunct w:val="0"/>
        <w:autoSpaceDE/>
        <w:autoSpaceDN/>
        <w:bidi w:val="0"/>
        <w:adjustRightInd/>
        <w:snapToGrid/>
        <w:spacing w:line="540" w:lineRule="exact"/>
        <w:ind w:firstLine="643"/>
        <w:rPr>
          <w:color w:val="auto"/>
        </w:rPr>
      </w:pPr>
      <w:r>
        <w:rPr>
          <w:rFonts w:hint="eastAsia"/>
          <w:color w:val="auto"/>
        </w:rPr>
        <w:t>一、产业规模持续壮大，占比稳步增长</w:t>
      </w:r>
    </w:p>
    <w:p>
      <w:pPr>
        <w:pStyle w:val="5"/>
        <w:keepNext/>
        <w:keepLines/>
        <w:pageBreakBefore w:val="0"/>
        <w:widowControl w:val="0"/>
        <w:kinsoku/>
        <w:wordWrap/>
        <w:overflowPunct/>
        <w:topLinePunct w:val="0"/>
        <w:autoSpaceDE/>
        <w:autoSpaceDN/>
        <w:bidi w:val="0"/>
        <w:adjustRightInd/>
        <w:snapToGrid/>
        <w:spacing w:line="540" w:lineRule="exact"/>
        <w:ind w:firstLine="643"/>
        <w:textAlignment w:val="auto"/>
        <w:outlineLvl w:val="2"/>
        <w:rPr>
          <w:rFonts w:hint="eastAsia" w:ascii="仿宋_GB2312" w:hAnsi="仿宋_GB2312" w:eastAsia="仿宋_GB2312" w:cs="仿宋_GB2312"/>
          <w:b w:val="0"/>
          <w:color w:val="auto"/>
          <w:kern w:val="2"/>
          <w:sz w:val="32"/>
          <w:szCs w:val="24"/>
          <w:lang w:val="en-US" w:eastAsia="zh-CN" w:bidi="ar-SA"/>
        </w:rPr>
      </w:pPr>
      <w:r>
        <w:rPr>
          <w:rFonts w:hint="eastAsia" w:ascii="仿宋_GB2312" w:hAnsi="仿宋_GB2312" w:eastAsia="仿宋_GB2312" w:cs="仿宋_GB2312"/>
          <w:b w:val="0"/>
          <w:color w:val="auto"/>
          <w:kern w:val="2"/>
          <w:sz w:val="32"/>
          <w:szCs w:val="24"/>
          <w:lang w:val="en-US" w:eastAsia="zh-CN" w:bidi="ar-SA"/>
        </w:rPr>
        <w:t>“十三五”以来，坚持以市场需求为导向、以现代技术为支撑，不断推动第三产业向价值链高端延伸。2020年，全区第三产业增加值达到165.24亿元，2016-2020年年均增长7.7%，高于同期GDP年均增速3.4个百分点。第三产业增加值占地区生产总值比重达到59.3%，第三产业已成为我区经济体系中的第一大产业，多元化的服务业态持续向好。</w:t>
      </w:r>
    </w:p>
    <w:p>
      <w:pPr>
        <w:pStyle w:val="5"/>
        <w:keepNext/>
        <w:keepLines/>
        <w:pageBreakBefore w:val="0"/>
        <w:widowControl w:val="0"/>
        <w:kinsoku/>
        <w:wordWrap/>
        <w:overflowPunct/>
        <w:topLinePunct w:val="0"/>
        <w:autoSpaceDE/>
        <w:autoSpaceDN/>
        <w:bidi w:val="0"/>
        <w:adjustRightInd/>
        <w:snapToGrid/>
        <w:spacing w:line="540" w:lineRule="exact"/>
        <w:ind w:firstLine="643"/>
        <w:textAlignment w:val="auto"/>
        <w:outlineLvl w:val="2"/>
        <w:rPr>
          <w:color w:val="auto"/>
        </w:rPr>
      </w:pPr>
      <w:r>
        <w:rPr>
          <w:rFonts w:hint="eastAsia"/>
          <w:color w:val="auto"/>
        </w:rPr>
        <w:t>二、商贸流通业快速发展，新业态不断丰富</w:t>
      </w:r>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“十三五”期间，我区加快商贸流通领域</w:t>
      </w:r>
      <w:r>
        <w:rPr>
          <w:rFonts w:hint="eastAsia" w:ascii="仿宋_GB2312" w:hAnsi="仿宋_GB2312" w:eastAsia="仿宋_GB2312" w:cs="仿宋_GB2312"/>
          <w:color w:val="auto"/>
          <w:lang w:eastAsia="zh-CN"/>
        </w:rPr>
        <w:t>供给侧结构性改革</w:t>
      </w:r>
      <w:r>
        <w:rPr>
          <w:rFonts w:hint="eastAsia" w:ascii="仿宋_GB2312" w:hAnsi="仿宋_GB2312" w:eastAsia="仿宋_GB2312" w:cs="仿宋_GB2312"/>
          <w:color w:val="auto"/>
        </w:rPr>
        <w:t>步伐，不断促进商贸流通业创新驱动、转型升级，全力稳定商贸经济发展。2020年，全区实现社会消费品零售总额69.69亿元，比2015年增长25.5%，“十三五”期间年均增长4.6%。限上商贸企业由2015年的59家发展到85家（新区19家）。在经济体量逐年壮大的同时，商贸流通业的结构不断优化。目前，我区已经形成了以中环广场益华百货、新华南沃尔玛超市、宏昌百货、威尼国际广场、信美佳超市等5个大中型商业网点为骨干，广客隆超市、惠福、万福超市等16个小型零售网点以及前进国际建材城、五洲汽配城、光华机电五金商贸城等3个专业市场为辅，众多酒店、餐饮、专业店、专卖店、连锁店、便利店相结合的商贸流通体系。在发展传统型商贸业的同时，新业态也不断得到丰富。近几年随着城市的发展，我区商业综合体应运而生。目前准备投入使用商业综合体有摩尔城城市综合体、世邦幸福商业广场，其中摩尔城是目前韶关市最大规模的购物、商务、休闲、娱乐、居住为一体化的城市综合体。正在建设和完善的商业综合体有奥园文化旅游城、新天地广场项目，其中奥园文化旅游城正在建设及完善商业配套，新天地广场项目正在动工建设。摩尔城城市综合体全面运营以后将成为市级大型商业中心，也将是我区商业新业态发展的代表性标杆。</w:t>
      </w:r>
    </w:p>
    <w:p>
      <w:pPr>
        <w:pStyle w:val="5"/>
        <w:pageBreakBefore w:val="0"/>
        <w:widowControl w:val="0"/>
        <w:kinsoku/>
        <w:wordWrap/>
        <w:overflowPunct/>
        <w:topLinePunct w:val="0"/>
        <w:autoSpaceDE/>
        <w:autoSpaceDN/>
        <w:bidi w:val="0"/>
        <w:adjustRightInd/>
        <w:snapToGrid/>
        <w:spacing w:line="540" w:lineRule="exact"/>
        <w:ind w:firstLine="643"/>
        <w:rPr>
          <w:color w:val="auto"/>
        </w:rPr>
      </w:pPr>
      <w:r>
        <w:rPr>
          <w:rFonts w:hint="eastAsia"/>
          <w:color w:val="auto"/>
        </w:rPr>
        <w:t>三、楼宇经济初具规模，现代服务业加快集聚</w:t>
      </w:r>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“十三五”期间，随着社会经济不断发展，在市场需求的推动下，我区楼宇经济实现了从无到有的发展。</w:t>
      </w:r>
      <w:r>
        <w:rPr>
          <w:rFonts w:hint="eastAsia" w:ascii="仿宋_GB2312" w:hAnsi="仿宋_GB2312" w:eastAsia="仿宋_GB2312" w:cs="仿宋_GB2312"/>
          <w:color w:val="auto"/>
          <w:lang w:eastAsia="zh-CN"/>
        </w:rPr>
        <w:t>当</w:t>
      </w:r>
      <w:r>
        <w:rPr>
          <w:rFonts w:hint="eastAsia" w:ascii="仿宋_GB2312" w:hAnsi="仿宋_GB2312" w:eastAsia="仿宋_GB2312" w:cs="仿宋_GB2312"/>
          <w:color w:val="auto"/>
        </w:rPr>
        <w:t>前，我区楼宇经济处于起步阶段，辖区内使用中的商务楼宇总面积约为20万平方米，主要有枫合汇、湘商大厦、韶关客运总站（众创加速器楼）等商务楼宇，准备投入使用的楼宇有摩尔城商务楼宇、中核锦原大厦等二栋商贸楼宇，现阶段极具代表性的高端写字楼是枫合汇，也是武江第一栋产权自持，整栋出租的高端商务楼宇。枫合汇以金融、保险、酒店等高端服务业为主导致力打造高端智能化商务楼宇，自2018年6月正式运营以后，现已有中国平安、太平人寿、中国铁通、平安普惠、平安养老保险、中信保诚、韶关市区农村信用社、枫驰酒店家等11公司进驻，楼宇入驻率达到95.3%。枫合汇现已初步形成金融保险高端服务业聚集区。</w:t>
      </w:r>
    </w:p>
    <w:p>
      <w:pPr>
        <w:pStyle w:val="5"/>
        <w:pageBreakBefore w:val="0"/>
        <w:widowControl w:val="0"/>
        <w:kinsoku/>
        <w:wordWrap/>
        <w:overflowPunct/>
        <w:topLinePunct w:val="0"/>
        <w:autoSpaceDE/>
        <w:autoSpaceDN/>
        <w:bidi w:val="0"/>
        <w:adjustRightInd/>
        <w:snapToGrid/>
        <w:spacing w:line="540" w:lineRule="exact"/>
        <w:ind w:firstLine="643"/>
        <w:rPr>
          <w:color w:val="auto"/>
        </w:rPr>
      </w:pPr>
      <w:r>
        <w:rPr>
          <w:rFonts w:hint="eastAsia"/>
          <w:color w:val="auto"/>
        </w:rPr>
        <w:t>四、第三产业营商环境进一步优化，市场活力明显增强</w:t>
      </w:r>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积极推进“放管服”改革，深化“数字政府”和政务服务改革，政务服务事项网上可办率达92%，申办材料减少30%以上。加强信用体系建设，制定诚信“红黑榜”发布制度，基本实现“一网通查”。为努力提升武江区楼宇经济发展水平，引导楼宇经济规模化、特色化、专业化发展，培植涵养楼宇税源，促进武江区现代服务业转型升级，努力实现城市经济高质量发展，制定出台了《韶关市武江区关于重点楼宇和特色楼宇培育与扶持办法》（韶武府规〔2019〕3号），鼓励打造重点楼宇和特色楼宇，鼓励社会资本参与楼宇项目的投资、建设和运营。</w:t>
      </w:r>
    </w:p>
    <w:p>
      <w:pPr>
        <w:pStyle w:val="4"/>
        <w:pageBreakBefore w:val="0"/>
        <w:widowControl w:val="0"/>
        <w:kinsoku/>
        <w:wordWrap/>
        <w:overflowPunct/>
        <w:topLinePunct w:val="0"/>
        <w:autoSpaceDE/>
        <w:autoSpaceDN/>
        <w:bidi w:val="0"/>
        <w:adjustRightInd/>
        <w:snapToGrid/>
        <w:spacing w:line="540" w:lineRule="exact"/>
        <w:rPr>
          <w:color w:val="auto"/>
        </w:rPr>
      </w:pPr>
      <w:bookmarkStart w:id="2" w:name="_Toc31330"/>
      <w:r>
        <w:rPr>
          <w:rFonts w:hint="eastAsia"/>
          <w:color w:val="auto"/>
        </w:rPr>
        <w:t>第二节  发展环境</w:t>
      </w:r>
      <w:bookmarkEnd w:id="2"/>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当前和今后一段时期，世界经济在深度调整中曲折复苏，我国进入了高质量发展阶段，仍然处于重要战略机遇期，但机遇和挑战都有新的发展变化。</w:t>
      </w:r>
      <w:r>
        <w:rPr>
          <w:rFonts w:hint="eastAsia" w:ascii="仿宋_GB2312" w:hAnsi="仿宋_GB2312" w:eastAsia="仿宋_GB2312" w:cs="仿宋_GB2312"/>
          <w:color w:val="auto"/>
          <w:lang w:eastAsia="zh-CN"/>
        </w:rPr>
        <w:t>必须</w:t>
      </w:r>
      <w:r>
        <w:rPr>
          <w:rFonts w:hint="eastAsia" w:ascii="仿宋_GB2312" w:hAnsi="仿宋_GB2312" w:eastAsia="仿宋_GB2312" w:cs="仿宋_GB2312"/>
          <w:color w:val="auto"/>
        </w:rPr>
        <w:t>正确把握国内外经济发展和形势变化，正视挑战，抢抓机遇，主动作为，开创我区第三产业发展新时代。</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从国际形势来看：</w:t>
      </w:r>
      <w:r>
        <w:rPr>
          <w:rFonts w:hint="eastAsia" w:ascii="仿宋_GB2312" w:hAnsi="仿宋_GB2312" w:eastAsia="仿宋_GB2312" w:cs="仿宋_GB2312"/>
          <w:color w:val="auto"/>
        </w:rPr>
        <w:t>当今世界正经历百年未有之大变局，全球经济增长持续乏力，新一轮科技革命和产业变革深入发展，国际力量对比深刻调整，发达经济体着力推动国际经贸规则重构，试图将我国孤立于国际分工新格局之外，国际贸易摩擦长期化倾向明显，不稳定性</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不确定性明显增加，进一步加剧了投资者和消费者的审慎倾向，这些势必将对全国</w:t>
      </w:r>
      <w:r>
        <w:rPr>
          <w:rFonts w:hint="eastAsia" w:ascii="仿宋_GB2312" w:hAnsi="仿宋_GB2312" w:eastAsia="仿宋_GB2312" w:cs="仿宋_GB2312"/>
          <w:color w:val="auto"/>
          <w:lang w:eastAsia="zh-CN"/>
        </w:rPr>
        <w:t>包括</w:t>
      </w:r>
      <w:r>
        <w:rPr>
          <w:rFonts w:hint="eastAsia" w:ascii="仿宋_GB2312" w:hAnsi="仿宋_GB2312" w:eastAsia="仿宋_GB2312" w:cs="仿宋_GB2312"/>
          <w:color w:val="auto"/>
        </w:rPr>
        <w:t>我区第三产业发展构成严峻挑战。同时，和平与发展仍然是时代主题，世界各国对科技制高点的争夺进入白热化，第四次科技革命和产业变革正由酝酿期进入爆发期，随着新一代人工智能技术快速发展，正在掀起第四次科技革命和产业变革，推动人类社会迈向智能时代，为我区加快发展现代服务业新产业新模式新业态、实现创新驱动发展提供了契机。</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从国内形势来看：</w:t>
      </w:r>
      <w:r>
        <w:rPr>
          <w:rFonts w:hint="eastAsia" w:ascii="仿宋_GB2312" w:hAnsi="仿宋_GB2312" w:eastAsia="仿宋_GB2312" w:cs="仿宋_GB2312"/>
          <w:color w:val="auto"/>
        </w:rPr>
        <w:t>我国将如期全面建成小康社会，社会主要矛盾已经发生变化，我国拥有全世界人数最多的中等收入群体和增长最快的消费市场，内需市场潜力巨大，在各项消费政策“组合拳”的刺激下，未来一段时期，消费升级的趋势将继续强化，居民消费仍将保持平稳增长，为我区加快发展第三产业，深挖内需潜力，实现消费升级和有效投资良性循环，更好发挥中心城区的引领带动作用提供了重大契机。同时</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我国发展不平衡不充分问题仍然突出，重点领域关键环节改革任务仍然艰巨，创新能力不适应高质量发展要求，第三产业发展在规模能级、区域协调、支撑体系、对外拓展等方面尚存在诸多问题和不足。</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从省内环境来看：</w:t>
      </w:r>
      <w:r>
        <w:rPr>
          <w:rFonts w:hint="eastAsia" w:ascii="仿宋_GB2312" w:hAnsi="仿宋_GB2312" w:eastAsia="仿宋_GB2312" w:cs="仿宋_GB2312"/>
          <w:color w:val="auto"/>
        </w:rPr>
        <w:t>“双区”建设深入推进，将为广东发展带来新动能和广阔空间。广东充分利用好国家给予的政策优势，深入推进粤港澳大湾区和深圳中国特色社会主义先行示范区建设，促进深港澳人流、物流、资金流、信息流的高效便捷流通，携手共建国际一流湾区和世界级城市群，将为我区承接“双区”建设辐射，尤其是第三产业发展提供了契机。韶关作为“一区”北部生态区中的核心城市，在全省区域协调发展和带动北部山区振兴中具有重要使命；省级层面将大力推进省级财政转移支付、生态补偿、对口帮扶协作、基础设施投融资、基本公共服务均等化等重点领域体制机制创新，实行差别化精准化的人口、财政、投资、产业、用地等发展政策，这为我区发展开拓了制度空间，带来了更多制度红利。韶关市大力实施“东进、南拓、西融、北优”城市发展战略，推进韶关新区体制改革，将进一步增强我区作为中心城区、北部生态发展区区域发展核心引擎功能，有利于加快人口集聚，促进第三产业发展。同时，广东省实施“一核一带一区”战略，全面实施以功能区为引领的区域发展新战略，形成由珠三角核心区、沿海经济带、北部生态发展区构成的发展新格局。韶关市为广东省“一核一带一区”中的生态发展区，产业发展受到一定制约，要实现高质量发展，必须破解发展和生态保护并行的难题，在保持传统发展优势的同时，谋求新的发展方向，这将对我区培育发展第三产业提出更高要求。韶关经济社会发展中不平衡、不协调、不可持续问题依然比较突出，市辖区财力较弱，公共服务存在较多短板。</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从自身发展来看：</w:t>
      </w:r>
      <w:r>
        <w:rPr>
          <w:rFonts w:hint="eastAsia" w:ascii="仿宋_GB2312" w:hAnsi="仿宋_GB2312" w:eastAsia="仿宋_GB2312" w:cs="仿宋_GB2312"/>
          <w:color w:val="auto"/>
        </w:rPr>
        <w:t>国家、省市纷纷出台提振消费的政策措施，进一步激发国内消费潜力，改善消费环境，发展消费新业态新模式，有利于我区充分发挥商贸集聚中心比较优势，加快现代服务业发展，着力发展夜间经济等。</w:t>
      </w:r>
      <w:r>
        <w:rPr>
          <w:rFonts w:hint="eastAsia" w:ascii="仿宋_GB2312" w:hAnsi="仿宋_GB2312" w:eastAsia="仿宋_GB2312" w:cs="仿宋_GB2312"/>
          <w:color w:val="auto"/>
          <w:lang w:eastAsia="zh-CN"/>
        </w:rPr>
        <w:t>武江区</w:t>
      </w:r>
      <w:r>
        <w:rPr>
          <w:rFonts w:hint="eastAsia" w:ascii="仿宋_GB2312" w:hAnsi="仿宋_GB2312" w:eastAsia="仿宋_GB2312" w:cs="仿宋_GB2312"/>
          <w:color w:val="auto"/>
        </w:rPr>
        <w:t>城乡融合产业园、武江科创园、现代农业产业园等经济发展平台的打造，为武江今后第三产业加快发展提供了发展空间、注入了新的能量。龙归—江湾、西河—重阳两条乡村旅游精品线的建设，为武江乡村振兴和城乡融合发展提供了载体。同时，我区第三产业发展质量不高，产业链不全，配套率不高，税收收入低，缺乏成熟的产业发展平台，招商引资缺乏吸引力，经济发展活力不足，需要大力打造经济发展新引擎。新技术新产业新业态新模式快速发展，人工智能发展日新月异，生产生活方式或将发生颠覆性变革，我区追赶时代发展的压力会更大，对我区更好发挥政府引导作用提出更高要求。</w:t>
      </w:r>
    </w:p>
    <w:p>
      <w:pPr>
        <w:pageBreakBefore w:val="0"/>
        <w:widowControl w:val="0"/>
        <w:kinsoku/>
        <w:wordWrap/>
        <w:overflowPunct/>
        <w:topLinePunct w:val="0"/>
        <w:autoSpaceDE/>
        <w:autoSpaceDN/>
        <w:bidi w:val="0"/>
        <w:adjustRightInd/>
        <w:snapToGrid/>
        <w:spacing w:line="540" w:lineRule="exact"/>
        <w:ind w:firstLine="640"/>
        <w:rPr>
          <w:color w:val="auto"/>
        </w:rPr>
      </w:pPr>
    </w:p>
    <w:p>
      <w:pPr>
        <w:pStyle w:val="3"/>
        <w:pageBreakBefore w:val="0"/>
        <w:widowControl w:val="0"/>
        <w:kinsoku/>
        <w:wordWrap/>
        <w:overflowPunct/>
        <w:topLinePunct w:val="0"/>
        <w:autoSpaceDE/>
        <w:autoSpaceDN/>
        <w:bidi w:val="0"/>
        <w:adjustRightInd/>
        <w:snapToGrid/>
        <w:spacing w:line="540" w:lineRule="exact"/>
        <w:rPr>
          <w:color w:val="auto"/>
        </w:rPr>
      </w:pPr>
      <w:bookmarkStart w:id="3" w:name="_Toc26068"/>
      <w:r>
        <w:rPr>
          <w:rFonts w:hint="eastAsia"/>
          <w:color w:val="auto"/>
        </w:rPr>
        <w:t>第二章  总体要求</w:t>
      </w:r>
      <w:bookmarkEnd w:id="3"/>
    </w:p>
    <w:p>
      <w:pPr>
        <w:pStyle w:val="4"/>
        <w:pageBreakBefore w:val="0"/>
        <w:widowControl w:val="0"/>
        <w:kinsoku/>
        <w:wordWrap/>
        <w:overflowPunct/>
        <w:topLinePunct w:val="0"/>
        <w:autoSpaceDE/>
        <w:autoSpaceDN/>
        <w:bidi w:val="0"/>
        <w:adjustRightInd/>
        <w:snapToGrid/>
        <w:spacing w:line="540" w:lineRule="exact"/>
        <w:rPr>
          <w:color w:val="auto"/>
        </w:rPr>
      </w:pPr>
      <w:bookmarkStart w:id="4" w:name="_Toc13362"/>
      <w:r>
        <w:rPr>
          <w:rFonts w:hint="eastAsia"/>
          <w:color w:val="auto"/>
        </w:rPr>
        <w:t>第一节  指导思想</w:t>
      </w:r>
      <w:bookmarkEnd w:id="4"/>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高举中国特色社会主义伟大旗帜，深入贯彻党的二十大精神，坚持以习近平新时代中国特色社会主义思想为指导，</w:t>
      </w:r>
      <w:r>
        <w:rPr>
          <w:rFonts w:hint="eastAsia" w:ascii="仿宋_GB2312" w:hAnsi="仿宋_GB2312" w:eastAsia="仿宋_GB2312" w:cs="仿宋_GB2312"/>
          <w:color w:val="auto"/>
        </w:rPr>
        <w:t>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着力固根基、扬优势、补短板、强弱项，贯彻以国内大循环为主体、国内国际双循环相互促进的发展方向，坚持不懈以生态为特色优势高质量融入粤港澳大湾区、深圳先行示范区“双区”建设，着力推动生产性服务业向专业化和价值链高端延伸发展，以生产性服务业促进制造业转型升级；积极鼓励生活性服务业向精细化和高品质转变，大力培育服务业新模式新业态，以生活性服务业促进消费，建设具有生态品质和发展活力的中心城区，</w:t>
      </w:r>
      <w:r>
        <w:rPr>
          <w:rFonts w:hint="eastAsia" w:ascii="仿宋_GB2312" w:hAnsi="仿宋_GB2312" w:eastAsia="仿宋_GB2312" w:cs="仿宋_GB2312"/>
          <w:color w:val="auto"/>
          <w:lang w:eastAsia="zh-CN"/>
        </w:rPr>
        <w:t>为全面建设社会主义现代化新征程上争取新的更大贡献。</w:t>
      </w:r>
    </w:p>
    <w:p>
      <w:pPr>
        <w:pStyle w:val="4"/>
        <w:pageBreakBefore w:val="0"/>
        <w:widowControl w:val="0"/>
        <w:kinsoku/>
        <w:wordWrap/>
        <w:overflowPunct/>
        <w:topLinePunct w:val="0"/>
        <w:autoSpaceDE/>
        <w:autoSpaceDN/>
        <w:bidi w:val="0"/>
        <w:adjustRightInd/>
        <w:snapToGrid/>
        <w:spacing w:line="540" w:lineRule="exact"/>
        <w:rPr>
          <w:color w:val="auto"/>
        </w:rPr>
      </w:pPr>
      <w:bookmarkStart w:id="5" w:name="_Toc10985"/>
      <w:r>
        <w:rPr>
          <w:rFonts w:hint="eastAsia"/>
          <w:color w:val="auto"/>
        </w:rPr>
        <w:t>第二节  发展原则</w:t>
      </w:r>
      <w:bookmarkEnd w:id="5"/>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坚持市场化、产业化、社会化方向，推动服务业供给侧结构性改革，构建适应信息经济和创新发展需要的现代服务业体系，以更高水平的服务业推动经济社会高质量发展。</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——坚持政府引导、市场驱动。</w:t>
      </w:r>
      <w:r>
        <w:rPr>
          <w:rFonts w:hint="eastAsia" w:ascii="仿宋_GB2312" w:hAnsi="仿宋_GB2312" w:eastAsia="仿宋_GB2312" w:cs="仿宋_GB2312"/>
          <w:color w:val="auto"/>
        </w:rPr>
        <w:t>发挥市场在资源配置中的决定性作用，创新政府对服务业发展的引导作用，顺应新形势新要求，维护市场规则秩序，促进市场公平竞争，强化企业市场主体地位，激发企业创新活力，营造市场主体良性互动、要素资源高效利用的服务业发展环境。</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——坚持创新驱动，跨界融合。</w:t>
      </w:r>
      <w:r>
        <w:rPr>
          <w:rFonts w:hint="eastAsia" w:ascii="仿宋_GB2312" w:hAnsi="仿宋_GB2312" w:eastAsia="仿宋_GB2312" w:cs="仿宋_GB2312"/>
          <w:color w:val="auto"/>
        </w:rPr>
        <w:t>把握全球新一轮科技革命与产业变革的重大机遇，推动云计算、大数据、物联网等在服务业的应用，鼓励大众创业、万众创新，引导企业开展科技创新、产品创新、管理创新、市场创新和商业模式创新，发展新型服务业态。发挥服务业与前沿科技渗透融合的优势，以技术融合为依托、以市场需求为导向，促进服务业与制造业、服务业内部的有机融合，拓展服务业发展新领域。</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——坚持集约高效，集聚发展。</w:t>
      </w:r>
      <w:r>
        <w:rPr>
          <w:rFonts w:hint="eastAsia" w:ascii="仿宋_GB2312" w:hAnsi="仿宋_GB2312" w:eastAsia="仿宋_GB2312" w:cs="仿宋_GB2312"/>
          <w:color w:val="auto"/>
        </w:rPr>
        <w:t>适应我区信息化和城镇化发展趋势，因地制宜引导服务业以芙蓉北路为轴心，优化布局西河老城区商圈、芙蓉北路商业综合体，打造商业综合体新集群。注重产业链配套协作与专业分工，促进服务业相关行业的融合与渗透，创新集聚发展模式，促进产业互促、资源共享，提高服务业发展的协同效应。</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——坚持开放合作，相互促进。</w:t>
      </w:r>
      <w:r>
        <w:rPr>
          <w:rFonts w:hint="eastAsia" w:ascii="仿宋_GB2312" w:hAnsi="仿宋_GB2312" w:eastAsia="仿宋_GB2312" w:cs="仿宋_GB2312"/>
          <w:color w:val="auto"/>
        </w:rPr>
        <w:t>贯彻以国内大循环为主体、国内国际双循环相互促进的发展方向，综合运用国际国内两个市场、两种资源、两种规则，全面深化和拓展粤港澳大湾区服务业合作，主动对接深圳和广州，积极融入大珠三角湾区和</w:t>
      </w:r>
      <w:bookmarkStart w:id="23" w:name="_GoBack"/>
      <w:bookmarkEnd w:id="23"/>
      <w:r>
        <w:rPr>
          <w:rFonts w:hint="eastAsia" w:ascii="仿宋_GB2312" w:hAnsi="仿宋_GB2312" w:eastAsia="仿宋_GB2312" w:cs="仿宋_GB2312"/>
          <w:color w:val="auto"/>
          <w:lang w:eastAsia="zh-CN"/>
        </w:rPr>
        <w:t>粤港澳大湾区</w:t>
      </w:r>
      <w:r>
        <w:rPr>
          <w:rFonts w:hint="eastAsia" w:ascii="仿宋_GB2312" w:hAnsi="仿宋_GB2312" w:eastAsia="仿宋_GB2312" w:cs="仿宋_GB2312"/>
          <w:color w:val="auto"/>
        </w:rPr>
        <w:t>现代服务业，构建开放型服务业发展新格局。</w:t>
      </w:r>
    </w:p>
    <w:p>
      <w:pPr>
        <w:pStyle w:val="4"/>
        <w:pageBreakBefore w:val="0"/>
        <w:widowControl w:val="0"/>
        <w:kinsoku/>
        <w:wordWrap/>
        <w:overflowPunct/>
        <w:topLinePunct w:val="0"/>
        <w:autoSpaceDE/>
        <w:autoSpaceDN/>
        <w:bidi w:val="0"/>
        <w:adjustRightInd/>
        <w:snapToGrid/>
        <w:spacing w:line="540" w:lineRule="exact"/>
        <w:rPr>
          <w:color w:val="auto"/>
        </w:rPr>
      </w:pPr>
      <w:bookmarkStart w:id="6" w:name="_Toc9595"/>
      <w:r>
        <w:rPr>
          <w:rFonts w:hint="eastAsia"/>
          <w:color w:val="auto"/>
        </w:rPr>
        <w:t>第三节  发展目标</w:t>
      </w:r>
      <w:bookmarkEnd w:id="6"/>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十四五”时期，我区服务业发展总体目标是：以把握粤港澳大湾区、“一核一带一区”区域发展格局建设契机，按照韶关市“东进、南拓、西融、北优”城市发展战略，推进服务业的规模发展、提升发展、集聚发展和融合发展，基本建成与经济社会发展阶段相匹配、与先进制造业相融合、与居民需求相适应，功能完善、结构优化、布局合理、特色鲜明的现代服务业产业体系。</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——规模和质量明显提升。</w:t>
      </w:r>
      <w:r>
        <w:rPr>
          <w:rFonts w:hint="eastAsia" w:ascii="仿宋_GB2312" w:hAnsi="仿宋_GB2312" w:eastAsia="仿宋_GB2312" w:cs="仿宋_GB2312"/>
          <w:color w:val="auto"/>
        </w:rPr>
        <w:t>到202</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年，全区第三产业增加值</w:t>
      </w:r>
      <w:r>
        <w:rPr>
          <w:rFonts w:hint="eastAsia" w:ascii="仿宋_GB2312" w:hAnsi="仿宋_GB2312" w:eastAsia="仿宋_GB2312" w:cs="仿宋_GB2312"/>
          <w:color w:val="auto"/>
          <w:lang w:val="en-US" w:eastAsia="zh-CN"/>
        </w:rPr>
        <w:t>预计年均增长6%以上</w:t>
      </w:r>
      <w:r>
        <w:rPr>
          <w:rFonts w:hint="eastAsia" w:ascii="仿宋_GB2312" w:hAnsi="仿宋_GB2312" w:eastAsia="仿宋_GB2312" w:cs="仿宋_GB2312"/>
          <w:color w:val="auto"/>
        </w:rPr>
        <w:t>，多元化的服务业态持续向好。社会消费品零售总额</w:t>
      </w:r>
      <w:r>
        <w:rPr>
          <w:rFonts w:hint="eastAsia" w:ascii="仿宋_GB2312" w:hAnsi="仿宋_GB2312" w:eastAsia="仿宋_GB2312" w:cs="仿宋_GB2312"/>
          <w:color w:val="auto"/>
          <w:lang w:val="en-US" w:eastAsia="zh-CN"/>
        </w:rPr>
        <w:t>预计</w:t>
      </w:r>
      <w:r>
        <w:rPr>
          <w:rFonts w:hint="eastAsia" w:ascii="仿宋_GB2312" w:hAnsi="仿宋_GB2312" w:eastAsia="仿宋_GB2312" w:cs="仿宋_GB2312"/>
          <w:color w:val="auto"/>
        </w:rPr>
        <w:t>达到93.25亿元，年均增长6%。</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——产业体系逐步完备。</w:t>
      </w:r>
      <w:r>
        <w:rPr>
          <w:rFonts w:hint="eastAsia" w:ascii="仿宋_GB2312" w:hAnsi="仿宋_GB2312" w:eastAsia="仿宋_GB2312" w:cs="仿宋_GB2312"/>
          <w:color w:val="auto"/>
        </w:rPr>
        <w:t>到2025年，生产性服务业和生活性服务业协调发展，生产性服务业规模质量显著提升，生活性服务业规模持续扩大，新业态、新模式不断涌现，生活性服务基础设施进一步完善，消费升级取得巨大进展，消费环境明显改善，质量治理体系不断健全，服务质量和服务品牌大幅提升。做精做细现代商贸流通、旅游</w:t>
      </w:r>
      <w:r>
        <w:rPr>
          <w:rFonts w:hint="eastAsia" w:ascii="仿宋_GB2312" w:hAnsi="仿宋_GB2312" w:eastAsia="仿宋_GB2312" w:cs="仿宋_GB2312"/>
          <w:color w:val="auto"/>
          <w:lang w:eastAsia="zh-CN"/>
        </w:rPr>
        <w:t>休闲</w:t>
      </w:r>
      <w:r>
        <w:rPr>
          <w:rFonts w:hint="eastAsia" w:ascii="仿宋_GB2312" w:hAnsi="仿宋_GB2312" w:eastAsia="仿宋_GB2312" w:cs="仿宋_GB2312"/>
          <w:color w:val="auto"/>
        </w:rPr>
        <w:t>、健康养老、居民和家庭服务、教育培训、体育</w:t>
      </w:r>
      <w:r>
        <w:rPr>
          <w:rFonts w:hint="eastAsia" w:ascii="仿宋_GB2312" w:hAnsi="仿宋_GB2312" w:eastAsia="仿宋_GB2312" w:cs="仿宋_GB2312"/>
          <w:color w:val="auto"/>
          <w:lang w:eastAsia="zh-CN"/>
        </w:rPr>
        <w:t>锻炼</w:t>
      </w:r>
      <w:r>
        <w:rPr>
          <w:rFonts w:hint="eastAsia" w:ascii="仿宋_GB2312" w:hAnsi="仿宋_GB2312" w:eastAsia="仿宋_GB2312" w:cs="仿宋_GB2312"/>
          <w:color w:val="auto"/>
        </w:rPr>
        <w:t>等生活性服务业。</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——产业布局更加合理。</w:t>
      </w:r>
      <w:r>
        <w:rPr>
          <w:rFonts w:hint="eastAsia" w:ascii="仿宋_GB2312" w:hAnsi="仿宋_GB2312" w:eastAsia="仿宋_GB2312" w:cs="仿宋_GB2312"/>
          <w:color w:val="auto"/>
        </w:rPr>
        <w:t>到2025年，基本形成结构合理，功能突出、产业集聚、错位互补、协同发展的服务业布局体系。以多功能城市综合体、混合形态商业综合体为重点，构建老城新的中心商圈，建成老城区商贸业新名片。打造形成</w:t>
      </w:r>
      <w:r>
        <w:rPr>
          <w:rFonts w:hint="eastAsia" w:ascii="仿宋_GB2312" w:hAnsi="仿宋_GB2312" w:eastAsia="仿宋_GB2312" w:cs="仿宋_GB2312"/>
          <w:color w:val="auto"/>
          <w:lang w:eastAsia="zh-CN"/>
        </w:rPr>
        <w:t>奥园沿江经济带、</w:t>
      </w:r>
      <w:r>
        <w:rPr>
          <w:rFonts w:hint="eastAsia" w:ascii="仿宋_GB2312" w:hAnsi="仿宋_GB2312" w:eastAsia="仿宋_GB2312" w:cs="仿宋_GB2312"/>
          <w:color w:val="auto"/>
        </w:rPr>
        <w:t>西河老城区商圈、芙蓉北路商业综合体、芙蓉新城新业态商圈</w:t>
      </w:r>
      <w:r>
        <w:rPr>
          <w:rFonts w:hint="eastAsia" w:ascii="仿宋_GB2312" w:hAnsi="仿宋_GB2312" w:eastAsia="仿宋_GB2312" w:cs="仿宋_GB2312"/>
          <w:color w:val="auto"/>
          <w:lang w:eastAsia="zh-CN"/>
        </w:rPr>
        <w:t>、孟洲坝夜间特色经济、</w:t>
      </w:r>
      <w:r>
        <w:rPr>
          <w:rFonts w:hint="eastAsia" w:ascii="仿宋_GB2312" w:hAnsi="仿宋_GB2312" w:eastAsia="仿宋_GB2312" w:cs="仿宋_GB2312"/>
          <w:color w:val="auto"/>
        </w:rPr>
        <w:t>武江科创园</w:t>
      </w:r>
      <w:r>
        <w:rPr>
          <w:rFonts w:hint="eastAsia" w:ascii="仿宋_GB2312" w:hAnsi="仿宋_GB2312" w:eastAsia="仿宋_GB2312" w:cs="仿宋_GB2312"/>
          <w:color w:val="auto"/>
          <w:lang w:eastAsia="zh-CN"/>
        </w:rPr>
        <w:t>创新园区等</w:t>
      </w:r>
      <w:r>
        <w:rPr>
          <w:rFonts w:hint="eastAsia" w:ascii="仿宋_GB2312" w:hAnsi="仿宋_GB2312" w:eastAsia="仿宋_GB2312" w:cs="仿宋_GB2312"/>
          <w:color w:val="auto"/>
        </w:rPr>
        <w:t>新集群。</w:t>
      </w:r>
    </w:p>
    <w:p>
      <w:pPr>
        <w:pStyle w:val="3"/>
        <w:pageBreakBefore w:val="0"/>
        <w:widowControl w:val="0"/>
        <w:kinsoku/>
        <w:wordWrap/>
        <w:overflowPunct/>
        <w:topLinePunct w:val="0"/>
        <w:autoSpaceDE/>
        <w:autoSpaceDN/>
        <w:bidi w:val="0"/>
        <w:adjustRightInd/>
        <w:snapToGrid/>
        <w:spacing w:line="540" w:lineRule="exact"/>
        <w:rPr>
          <w:color w:val="auto"/>
        </w:rPr>
      </w:pPr>
      <w:bookmarkStart w:id="7" w:name="_Toc19730"/>
      <w:r>
        <w:rPr>
          <w:rFonts w:hint="eastAsia"/>
          <w:color w:val="auto"/>
        </w:rPr>
        <w:t>第三章  发展重点</w:t>
      </w:r>
      <w:bookmarkEnd w:id="7"/>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color w:val="auto"/>
        </w:rPr>
        <w:t>以生产性服务业促进制造业转型升级，以生活性服务业促进消费，大力培育服务业新模式新业态，提升丰富服务业功能支撑，形成更高质量的服务业发展新形态，打造武江都市经济发展的重要引擎。</w:t>
      </w:r>
    </w:p>
    <w:p>
      <w:pPr>
        <w:pStyle w:val="4"/>
        <w:pageBreakBefore w:val="0"/>
        <w:widowControl w:val="0"/>
        <w:kinsoku/>
        <w:wordWrap/>
        <w:overflowPunct/>
        <w:topLinePunct w:val="0"/>
        <w:autoSpaceDE/>
        <w:autoSpaceDN/>
        <w:bidi w:val="0"/>
        <w:adjustRightInd/>
        <w:snapToGrid/>
        <w:spacing w:line="540" w:lineRule="exact"/>
        <w:rPr>
          <w:color w:val="auto"/>
        </w:rPr>
      </w:pPr>
      <w:bookmarkStart w:id="8" w:name="_Toc13844"/>
      <w:r>
        <w:rPr>
          <w:rFonts w:hint="eastAsia"/>
          <w:color w:val="auto"/>
        </w:rPr>
        <w:t>第一节  提升发展商贸服务业</w:t>
      </w:r>
      <w:bookmarkEnd w:id="8"/>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color w:val="auto"/>
        </w:rPr>
        <w:t>围绕建设具有生态品质和发展活力的中心城区定位，着力发展商贸服务、餐饮娱乐、楼宇经济等都市型产业，提升商贸服务综合体、高端购物商城、星级酒店、酒楼饭店等商业网点服务水平，构建服务功能完备、内涵丰富、消费层次分明的商贸服务市场。</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推动商贸流通业转型升级。</w:t>
      </w:r>
      <w:r>
        <w:rPr>
          <w:rFonts w:hint="eastAsia" w:ascii="仿宋_GB2312" w:hAnsi="仿宋_GB2312" w:eastAsia="仿宋_GB2312" w:cs="仿宋_GB2312"/>
          <w:color w:val="auto"/>
        </w:rPr>
        <w:t>加快传统商贸业的现代化步伐，发展以零售商业、商业综合体的商贸业，鼓励发展电子商务、连锁经营等新型商贸业态，大力发展都市购物中心、城市综合体、星级酒店等高端商贸，积极引进国际知名商业品牌及全国百强连锁店，培育规模商贸企业，提升现有大型商贸网点经营场所的档次。引导商贸流通企业发挥线下实体店的物流、服务、体验等优势，与线上商流、资金流、信息流融合，形成优势互补。进一步推动传统企业建立创新经营模式，向“线上线下”融合发展O2O模式形成转型升级。积极引导零售企业宏昌百货、沃尔玛超市、信美佳超市等传统型商贸企业转型升级，通过利用互联网、移动无线网络终端自建营销平台或与国内知名品牌电商平台合作开展网购业务，提供网订店取、网订店送、上门服务、社区配送等各类便民服务，推动实体店与网络经营协同新发展模式，满足个性化、多样化的消费需求。</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提升住宿餐饮零售服务水平。</w:t>
      </w:r>
      <w:r>
        <w:rPr>
          <w:rFonts w:hint="eastAsia" w:ascii="仿宋_GB2312" w:hAnsi="仿宋_GB2312" w:eastAsia="仿宋_GB2312" w:cs="仿宋_GB2312"/>
          <w:color w:val="auto"/>
        </w:rPr>
        <w:t>引导住宿餐饮企业合理集聚布局，提升商贸服务综合体、高端购物商城、星级酒店、酒楼饭店等商业网点服务水平。规范现有酒店、宾馆、旅店、民宿发展，改造建设一批优质旅游酒店，适应全域旅游发展需求；提升建设若干高端商务酒店，满足商务繁荣需求；鼓励在乡村旅游景点发展经济型实惠酒店，包括具有民俗风情、赏景渡假、农村体验的各类民宿客栈。在旅游景点、宾馆（酒店）区域引进一批知名、高档次餐饮企业，鼓励发展自助连锁店、地方特色美食风味店，体现武江特色饮食文化。引导和支持一批有实力的本土餐饮企业走连锁化和规模化发展道路，提升餐饮企业竞争力。引进国内外知名零售商、著名品牌旗舰店以及特色的体验式服务理念，开展品牌培育工作，营造具有都市商业氛围的消费中心。改善大型商场超市的购物环境，加快商业综合体功能及业态的丰富、提升和发展，打造区域特色美食街，逐步形成特色突出、功能齐全、布局合理、类型多样、层次分明的商业体系。</w:t>
      </w:r>
    </w:p>
    <w:p>
      <w:pPr>
        <w:pStyle w:val="4"/>
        <w:pageBreakBefore w:val="0"/>
        <w:widowControl w:val="0"/>
        <w:kinsoku/>
        <w:wordWrap/>
        <w:overflowPunct/>
        <w:topLinePunct w:val="0"/>
        <w:autoSpaceDE/>
        <w:autoSpaceDN/>
        <w:bidi w:val="0"/>
        <w:adjustRightInd/>
        <w:snapToGrid/>
        <w:spacing w:line="540" w:lineRule="exact"/>
        <w:rPr>
          <w:color w:val="auto"/>
        </w:rPr>
      </w:pPr>
      <w:bookmarkStart w:id="9" w:name="_Toc10921"/>
      <w:r>
        <w:rPr>
          <w:rFonts w:hint="eastAsia"/>
          <w:color w:val="auto"/>
        </w:rPr>
        <w:t>第二节  加快发展电商物流服务业</w:t>
      </w:r>
      <w:bookmarkEnd w:id="9"/>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力推动商业模式创新，加快发展电子商务；科学布局物流网络和物流通道，推动发展以满足城市商贸配送为主的物流园区，培育发展物流新业态，建成社会化、专业化、现代化、信息化和国际化的现代物流服务业体系。</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加快发展电子商务。</w:t>
      </w:r>
      <w:r>
        <w:rPr>
          <w:rFonts w:hint="eastAsia" w:ascii="仿宋_GB2312" w:hAnsi="仿宋_GB2312" w:eastAsia="仿宋_GB2312" w:cs="仿宋_GB2312"/>
          <w:color w:val="auto"/>
          <w:sz w:val="32"/>
          <w:szCs w:val="32"/>
        </w:rPr>
        <w:t>大力推动商业模式创新，支持B2M、B2G、C2B、P2C、P2P、O2O等新兴电子商务模式发展。推广电子商务应用，整合生产、销售和第三方服务业等全产业链资源，进一步扩展网络消费业务。积极引进阿里巴巴、苏宁易购、京东商城等国内知名电子商务平台企业到武江建立电商物流网点和销售平台，服务本地实体企业。深化大中型企业电子商务应用，鼓励中小微企业依托第三方电子商务服务平台开展业务，加强行业尤其是制造业电子商务平台建设。鼓励传统商贸企业积极应用电子商务平台，实现线上线下业务互动发展。</w:t>
      </w:r>
    </w:p>
    <w:p>
      <w:pPr>
        <w:pStyle w:val="6"/>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加快发展现代物流业。</w:t>
      </w:r>
      <w:r>
        <w:rPr>
          <w:rFonts w:hint="eastAsia" w:ascii="仿宋_GB2312" w:hAnsi="仿宋_GB2312" w:eastAsia="仿宋_GB2312" w:cs="仿宋_GB2312"/>
          <w:color w:val="auto"/>
          <w:sz w:val="32"/>
          <w:szCs w:val="32"/>
        </w:rPr>
        <w:t>引进和培育第三方物流及配套服务企业，加快打造高产值、高成长、高效率的现代物流产业体系，鼓励大型物流企业在我区设立粤北区域总部机构或分支机构。大力发展第三方物流，支持物流企业做大做强，努力培育和壮大成长性较强的物流龙头企业，重点发展食品物流、冷链物流、小商品配送为主的第三方物流，积极发展电商物流、邮政快递、冷链物流、第三方和第四方等物流，做大做强现代物流产业。鼓励发展以满足城市商贸配送为主的物流企业，推动商贸物流的社会化发展，促进第三方配送和共同配送，降低商贸物流成本。大力推动农村物流服务体系建设，着力构建完善</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、镇、村三级电商物流服务站点，不断完善服务城乡市场的物流体系。</w:t>
      </w:r>
    </w:p>
    <w:p>
      <w:pPr>
        <w:pStyle w:val="4"/>
        <w:pageBreakBefore w:val="0"/>
        <w:widowControl w:val="0"/>
        <w:kinsoku/>
        <w:wordWrap/>
        <w:overflowPunct/>
        <w:topLinePunct w:val="0"/>
        <w:autoSpaceDE/>
        <w:autoSpaceDN/>
        <w:bidi w:val="0"/>
        <w:adjustRightInd/>
        <w:snapToGrid/>
        <w:spacing w:line="540" w:lineRule="exact"/>
        <w:rPr>
          <w:color w:val="auto"/>
        </w:rPr>
      </w:pPr>
      <w:bookmarkStart w:id="10" w:name="_Toc4426"/>
      <w:r>
        <w:rPr>
          <w:rFonts w:hint="eastAsia"/>
          <w:color w:val="auto"/>
        </w:rPr>
        <w:t>第三节  积极发展金融和总部服务业</w:t>
      </w:r>
      <w:bookmarkEnd w:id="10"/>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引进和培育国内外知名企业总部、地区总部和功能性机构，布局发展金融服务、国际贸易等服务业，重点引进国内外银行、证券、保险、信托等金融机构和大型城市综合体、高端写字楼、星级酒店等项目，打造成韶关高品位的中央商务区、城市会客厅和现代商贸中心。</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积极发展金融服务业。</w:t>
      </w:r>
      <w:r>
        <w:rPr>
          <w:rFonts w:hint="eastAsia" w:ascii="仿宋_GB2312" w:hAnsi="仿宋_GB2312" w:eastAsia="仿宋_GB2312" w:cs="仿宋_GB2312"/>
          <w:color w:val="auto"/>
          <w:sz w:val="32"/>
          <w:szCs w:val="32"/>
        </w:rPr>
        <w:t>加强金融服务实体经济能力，促进金融业强化对全市生态产业发展、重大项目建设、社会民生补短板、生态文明建设、新型城镇化和乡村振兴等重点领域的支持，大力发展产业金融、绿色金融和普惠金融。加强金融服务业招商推介，积极培育金融市场主体，拓宽金融服务领域，吸引各类银行、证券公司、保险以及新型机构来武江区设立分支机构。引导金融行业回归本源，全力支持实体经济健康发展，加强政银企对接，合理配置信贷资源，优化信贷结构，加强重点领域、重点项目、重点企业信贷保障。继续做好“中小融平台”推广应用，依托大数据解决银企信息不对称问题，实现企业信息顺畅转换成信贷评级，拓宽中小微企业融资贷款渠道。改善普惠金融服务，鼓励各银行业金融机构结合自身特点扎根基层、服务社区，为小微企业、“三农”和城镇居民提供更有针对性、更加便利的金融服务。提升金融服务“三农”能力，加快农村金融综合改革，构建完善多层次的农村金融体系和广覆盖、强功能的农村金融服务能力。</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培育发展总部经济。</w:t>
      </w:r>
      <w:r>
        <w:rPr>
          <w:rFonts w:hint="eastAsia" w:ascii="仿宋_GB2312" w:hAnsi="仿宋_GB2312" w:eastAsia="仿宋_GB2312" w:cs="仿宋_GB2312"/>
          <w:color w:val="auto"/>
          <w:sz w:val="32"/>
          <w:szCs w:val="32"/>
        </w:rPr>
        <w:t>不断改善投资软硬环境，做优招商环境，建设高标准写字楼和配套高档办公设施，增强对公司总部吸引力。加大对总部经济的招商力度，引进国内外知名企业设立区域总部或职能总部，吸引大型龙头企业、上市公司设立企业总部。积极引进粤北地区优秀企业总部以及研发、结算、采购、销售、配送等为主的总部型机构向武江集聚；鼓励粤港澳大湾区龙头企业在武江设立生产制造总部、品牌营销总部；与广州、深圳、香港等总部经济集聚区建立金融保险、商贸物流、会展博览等生产性服务领域合作关系，大力促进商贸物流等总部企业发展。</w:t>
      </w:r>
    </w:p>
    <w:p>
      <w:pPr>
        <w:pStyle w:val="14"/>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培育楼宇经济。</w:t>
      </w:r>
      <w:r>
        <w:rPr>
          <w:rFonts w:hint="eastAsia" w:ascii="仿宋_GB2312" w:hAnsi="仿宋_GB2312" w:eastAsia="仿宋_GB2312" w:cs="仿宋_GB2312"/>
          <w:color w:val="auto"/>
          <w:sz w:val="32"/>
          <w:szCs w:val="32"/>
        </w:rPr>
        <w:t>大力引导重点商务楼宇高质量高端化发展，积极提供政策服务、经营理念等方面的指导，将枫合汇打造为以金融、保险等高端服务业为主导的高端智能化商务楼宇，引导湘商大厦进行管理体制优化实现提质增效。打造专业特色楼宇，充分依托产业集聚效应，利用行业协会、龙头企业、结对帮扶带动作用，促进同类别企业抱团发展，推动</w:t>
      </w:r>
      <w:r>
        <w:rPr>
          <w:rFonts w:hint="eastAsia" w:ascii="仿宋_GB2312" w:hAnsi="仿宋_GB2312" w:eastAsia="仿宋_GB2312" w:cs="仿宋_GB2312"/>
          <w:b w:val="0"/>
          <w:bCs w:val="0"/>
          <w:color w:val="auto"/>
          <w:sz w:val="32"/>
          <w:szCs w:val="32"/>
          <w:lang w:eastAsia="zh-CN"/>
        </w:rPr>
        <w:t>工业大厦</w:t>
      </w:r>
      <w:r>
        <w:rPr>
          <w:rFonts w:hint="eastAsia" w:ascii="仿宋_GB2312" w:hAnsi="仿宋_GB2312" w:eastAsia="仿宋_GB2312" w:cs="仿宋_GB2312"/>
          <w:color w:val="auto"/>
          <w:sz w:val="32"/>
          <w:szCs w:val="32"/>
        </w:rPr>
        <w:t xml:space="preserve">等专业特色楼宇在武江落地建成。  </w:t>
      </w:r>
    </w:p>
    <w:p>
      <w:pPr>
        <w:pStyle w:val="4"/>
        <w:pageBreakBefore w:val="0"/>
        <w:widowControl w:val="0"/>
        <w:kinsoku/>
        <w:wordWrap/>
        <w:overflowPunct/>
        <w:topLinePunct w:val="0"/>
        <w:autoSpaceDE/>
        <w:autoSpaceDN/>
        <w:bidi w:val="0"/>
        <w:adjustRightInd/>
        <w:snapToGrid/>
        <w:spacing w:line="540" w:lineRule="exact"/>
        <w:rPr>
          <w:color w:val="auto"/>
        </w:rPr>
      </w:pPr>
      <w:bookmarkStart w:id="11" w:name="_Toc22201"/>
      <w:r>
        <w:rPr>
          <w:rFonts w:hint="eastAsia"/>
          <w:color w:val="auto"/>
        </w:rPr>
        <w:t>第四节  特色发展文化科技服务业</w:t>
      </w:r>
      <w:bookmarkEnd w:id="11"/>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着力提升文化服务内涵和品质，促进文化创意产业繁荣发展。着力构建开放型区域创新体系，强化企业技术创新主体地位，做大做强科技成果转化、技术转移、知识产权运营交易等重点环节。</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加快文化创意服务。</w:t>
      </w:r>
      <w:r>
        <w:rPr>
          <w:rFonts w:hint="eastAsia" w:ascii="仿宋_GB2312" w:hAnsi="仿宋_GB2312" w:eastAsia="仿宋_GB2312" w:cs="仿宋_GB2312"/>
          <w:color w:val="auto"/>
          <w:highlight w:val="none"/>
        </w:rPr>
        <w:t>立足武江历史文化资源，大力培育地方特色文化创意产业，大力推进文化创意与先进制造、特色农业、旅游休闲等领域融合发展。大力发展</w:t>
      </w:r>
      <w:r>
        <w:rPr>
          <w:rFonts w:hint="eastAsia" w:ascii="仿宋_GB2312" w:hAnsi="仿宋_GB2312" w:eastAsia="仿宋_GB2312" w:cs="仿宋_GB2312"/>
          <w:color w:val="auto"/>
          <w:highlight w:val="none"/>
          <w:lang w:eastAsia="zh-CN"/>
        </w:rPr>
        <w:t>文化会展、文化产品设计、</w:t>
      </w:r>
      <w:r>
        <w:rPr>
          <w:rFonts w:hint="eastAsia" w:ascii="仿宋_GB2312" w:hAnsi="仿宋_GB2312" w:eastAsia="仿宋_GB2312" w:cs="仿宋_GB2312"/>
          <w:color w:val="auto"/>
          <w:highlight w:val="none"/>
        </w:rPr>
        <w:t>文化演艺等特色文化产业。以武江科创园为载体，引进一批市场前景好、辐射带动强的文化创意企业和项目。谋划打造兰花特色品牌文化创意园区和文化创意孵化基地，引导社会资本投向兰花文化精品研发设计，鼓励文化资源与金融资本对接，积极培育文化创意企业，完善文化产权交易机制。大力提升文化服务内涵和品质，大力实施精品战略，促进“文化+兰花”等文化创意产业繁荣发展。支持文化创意产业“引进来”和“走出去”，加强与粤港澳大湾区的交流合作，提升文化产业国际化水平和市场竞争力。</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积极发展科技创新服务。</w:t>
      </w:r>
      <w:r>
        <w:rPr>
          <w:rFonts w:hint="eastAsia" w:ascii="仿宋_GB2312" w:hAnsi="仿宋_GB2312" w:eastAsia="仿宋_GB2312" w:cs="仿宋_GB2312"/>
          <w:color w:val="auto"/>
        </w:rPr>
        <w:t>加快培育创新主体，推进新型研发机构建设，完善“产学研”合作体系，大力建设以科技成果转化、孵化为主的新型研发机构。支持大型骨干企业牵头组建产业技术创新联盟和产业共性技术研发基地。加强科技研发平台建设，推进新型研发机构建设，建设一批省级工程（技术）研究中心、工程实验室、重点实验室、企业技术中心等。加快建设一批“双创”示范基地，支持建设互联网创业孵化基地，打造一批众创、众包、众扶等创业创新平台。</w:t>
      </w:r>
    </w:p>
    <w:p>
      <w:pPr>
        <w:pStyle w:val="4"/>
        <w:pageBreakBefore w:val="0"/>
        <w:widowControl w:val="0"/>
        <w:kinsoku/>
        <w:wordWrap/>
        <w:overflowPunct/>
        <w:topLinePunct w:val="0"/>
        <w:autoSpaceDE/>
        <w:autoSpaceDN/>
        <w:bidi w:val="0"/>
        <w:adjustRightInd/>
        <w:snapToGrid/>
        <w:spacing w:line="540" w:lineRule="exact"/>
        <w:rPr>
          <w:color w:val="auto"/>
        </w:rPr>
      </w:pPr>
      <w:bookmarkStart w:id="12" w:name="_Toc1826"/>
      <w:r>
        <w:rPr>
          <w:rFonts w:hint="eastAsia"/>
          <w:color w:val="auto"/>
        </w:rPr>
        <w:t>第五节  提升发展居民和家庭服务</w:t>
      </w:r>
      <w:bookmarkEnd w:id="12"/>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健全城乡居民家庭服务体系，推动居民家庭服务市场多层次、多形式发展，在供给规模和服务质量方面基本满足居民生活性服务需求。提高居民家庭服务行业组织化程度，推进规模经营和网络化发展，发展大型连锁家政公司，扶持培育员工制居民家庭服务龙头企业，创建一批知名居民家庭服务品牌。提升居民家庭服务智能化、网络化水平。完善社区服务网点，多方式提供婴幼儿看护、护理、美容美发、洗染、家用电器及其他日用品修理等生活性服务，推动房地产中介、房屋租赁经营、物业管理、搬家保洁、家用车辆保养维修等生活性服务规范化、标准化发展。</w:t>
      </w:r>
    </w:p>
    <w:p>
      <w:pPr>
        <w:pStyle w:val="3"/>
        <w:pageBreakBefore w:val="0"/>
        <w:widowControl w:val="0"/>
        <w:kinsoku/>
        <w:wordWrap/>
        <w:overflowPunct/>
        <w:topLinePunct w:val="0"/>
        <w:autoSpaceDE/>
        <w:autoSpaceDN/>
        <w:bidi w:val="0"/>
        <w:adjustRightInd/>
        <w:snapToGrid/>
        <w:spacing w:line="540" w:lineRule="exact"/>
        <w:rPr>
          <w:color w:val="auto"/>
        </w:rPr>
      </w:pPr>
      <w:bookmarkStart w:id="13" w:name="_Toc28086"/>
      <w:r>
        <w:rPr>
          <w:rFonts w:hint="eastAsia"/>
          <w:color w:val="auto"/>
        </w:rPr>
        <w:t>第四章  主要任务</w:t>
      </w:r>
      <w:bookmarkEnd w:id="13"/>
    </w:p>
    <w:p>
      <w:pPr>
        <w:pStyle w:val="4"/>
        <w:pageBreakBefore w:val="0"/>
        <w:widowControl w:val="0"/>
        <w:kinsoku/>
        <w:wordWrap/>
        <w:overflowPunct/>
        <w:topLinePunct w:val="0"/>
        <w:autoSpaceDE/>
        <w:autoSpaceDN/>
        <w:bidi w:val="0"/>
        <w:adjustRightInd/>
        <w:snapToGrid/>
        <w:spacing w:line="540" w:lineRule="exact"/>
        <w:rPr>
          <w:color w:val="auto"/>
        </w:rPr>
      </w:pPr>
      <w:bookmarkStart w:id="14" w:name="_Toc9407"/>
      <w:r>
        <w:rPr>
          <w:rFonts w:hint="eastAsia"/>
          <w:color w:val="auto"/>
        </w:rPr>
        <w:t>第一节  促进商贸服务业集聚发展</w:t>
      </w:r>
      <w:bookmarkEnd w:id="14"/>
    </w:p>
    <w:p>
      <w:pP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打造商业服务业新集聚区。</w:t>
      </w:r>
      <w:r>
        <w:rPr>
          <w:rFonts w:hint="eastAsia" w:ascii="仿宋_GB2312" w:hAnsi="仿宋_GB2312" w:eastAsia="仿宋_GB2312" w:cs="仿宋_GB2312"/>
          <w:color w:val="auto"/>
          <w:szCs w:val="32"/>
          <w:highlight w:val="none"/>
        </w:rPr>
        <w:t>中心城区着力发展楼宇经济、总部经济、商贸服务、金融服务、餐饮娱乐、数字经济、文化创意和科技创新等都市型产业，推动服务业向高品质和多元化升级。围绕摩尔城、富康广场、</w:t>
      </w:r>
      <w:r>
        <w:rPr>
          <w:rFonts w:hint="eastAsia" w:ascii="仿宋_GB2312" w:hAnsi="仿宋_GB2312" w:eastAsia="仿宋_GB2312" w:cs="仿宋_GB2312"/>
          <w:color w:val="auto"/>
          <w:szCs w:val="32"/>
          <w:highlight w:val="none"/>
          <w:lang w:eastAsia="zh-CN"/>
        </w:rPr>
        <w:t>君临</w:t>
      </w:r>
      <w:r>
        <w:rPr>
          <w:rFonts w:hint="eastAsia" w:ascii="仿宋_GB2312" w:hAnsi="仿宋_GB2312" w:eastAsia="仿宋_GB2312" w:cs="仿宋_GB2312"/>
          <w:color w:val="auto"/>
          <w:szCs w:val="32"/>
          <w:highlight w:val="none"/>
        </w:rPr>
        <w:t>新天地、保利广场</w:t>
      </w:r>
      <w:r>
        <w:rPr>
          <w:rFonts w:hint="eastAsia" w:ascii="仿宋_GB2312" w:hAnsi="仿宋_GB2312" w:eastAsia="仿宋_GB2312" w:cs="仿宋_GB2312"/>
          <w:color w:val="auto"/>
        </w:rPr>
        <w:t>等商业综合体项目，加快商业综合体建设招商步伐，力促在十四五中期建成开业运营，</w:t>
      </w:r>
      <w:r>
        <w:rPr>
          <w:rFonts w:hint="eastAsia" w:ascii="仿宋_GB2312" w:hAnsi="仿宋_GB2312" w:eastAsia="仿宋_GB2312" w:cs="仿宋_GB2312"/>
          <w:color w:val="auto"/>
          <w:szCs w:val="32"/>
          <w:highlight w:val="none"/>
        </w:rPr>
        <w:t>打造芙蓉山北片区商贸集聚区；</w:t>
      </w:r>
      <w:r>
        <w:rPr>
          <w:rFonts w:hint="eastAsia" w:ascii="仿宋_GB2312" w:hAnsi="仿宋_GB2312" w:eastAsia="仿宋_GB2312" w:cs="仿宋_GB2312"/>
          <w:color w:val="auto"/>
          <w:highlight w:val="none"/>
        </w:rPr>
        <w:t>加快市农林科所等地块综合开发，围绕韶关大道北片区，打造以商贸、生产生活服务、休闲娱乐等为主的城市新经济集聚区；扩大汽车消费动能，鼓励新能源、中高端汽车网点进驻布点，推动沐溪大道汽车消费区域集聚发展；围绕韶州体育公园、百旺美食城等项目，加强武江大道南江湾片区城市业态规划招商，打造发展与体育赛事、会展演艺关联度高的现代服务业及休闲娱乐业；围绕枫合汇、湘商大厦、摩尔城、武江科创园等，持续做大做强楼宇经济，努力将武江区商贸流通业打造成为韶关市都市型经济发展的新亮点。</w:t>
      </w:r>
      <w:r>
        <w:rPr>
          <w:rFonts w:hint="eastAsia" w:ascii="仿宋_GB2312" w:hAnsi="仿宋_GB2312" w:eastAsia="仿宋_GB2312" w:cs="仿宋_GB2312"/>
          <w:color w:val="auto"/>
          <w:szCs w:val="32"/>
          <w:highlight w:val="none"/>
        </w:rPr>
        <w:t>完善城市交通、安全、环境等配套设施，大力发展夜间经济，打造夜间经济示范街区。</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规划建设新型消费网络节点。</w:t>
      </w:r>
      <w:r>
        <w:rPr>
          <w:rFonts w:hint="eastAsia" w:ascii="仿宋_GB2312" w:hAnsi="仿宋_GB2312" w:eastAsia="仿宋_GB2312" w:cs="仿宋_GB2312"/>
          <w:color w:val="auto"/>
        </w:rPr>
        <w:t>围绕区域发展战略打造新型消费增长极，规划建设城乡融合新型消费网络节点，积极发展“智慧街区”、“智慧商圈”。鼓励有条件的街区加快数字化改造，提供全方位数字生活新服务。优化百货商场、购物中心、便利店、农贸市场等城乡商业网点布局，引导行业适度集中。完善社区便民消费设施，加快规划建设便民生活服务圈、城市社区邻里中心和农村社区综合性服务网点。</w:t>
      </w:r>
    </w:p>
    <w:p>
      <w:pPr>
        <w:pStyle w:val="4"/>
        <w:pageBreakBefore w:val="0"/>
        <w:widowControl w:val="0"/>
        <w:kinsoku/>
        <w:wordWrap/>
        <w:overflowPunct/>
        <w:topLinePunct w:val="0"/>
        <w:autoSpaceDE/>
        <w:autoSpaceDN/>
        <w:bidi w:val="0"/>
        <w:adjustRightInd/>
        <w:snapToGrid/>
        <w:spacing w:line="540" w:lineRule="exact"/>
        <w:rPr>
          <w:color w:val="auto"/>
        </w:rPr>
      </w:pPr>
      <w:bookmarkStart w:id="15" w:name="_Toc2247"/>
      <w:r>
        <w:rPr>
          <w:rFonts w:hint="eastAsia"/>
          <w:color w:val="auto"/>
        </w:rPr>
        <w:t>第二节  鼓励发展新模式新业态</w:t>
      </w:r>
      <w:bookmarkEnd w:id="15"/>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培育壮大各类消费新业态新模式。</w:t>
      </w:r>
      <w:r>
        <w:rPr>
          <w:rFonts w:hint="eastAsia" w:ascii="仿宋_GB2312" w:hAnsi="仿宋_GB2312" w:eastAsia="仿宋_GB2312" w:cs="仿宋_GB2312"/>
          <w:color w:val="auto"/>
        </w:rPr>
        <w:t>建立健全“互联网+服务”、电子商务公共服务平台，加快社会服务在线对接、线上线下深度融合。有序发展在线教育，推广大规模在线开放课程等网络学习模式，推动各类数字教育资源共建共享。积极发展互联网健康医疗服务，大力推进分时段预约诊疗、互联网诊疗、电子处方流转、药品网络销售等服务。鼓励发展智慧旅游，提升旅游消费智能化、便利化水平。大力发展智能体育，培育在线健身等体育消费新业态。鼓励依托互联网的外卖配送、网约车、即时递送、住宿共享等新业态发展。创新无接触式消费模式，探索发展智慧超市、智慧商店、智慧餐厅等新零售业态。推广电子合同、电子文件等无纸化在线应用。</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加快培育新型消费。</w:t>
      </w:r>
      <w:r>
        <w:rPr>
          <w:rFonts w:hint="eastAsia" w:ascii="仿宋_GB2312" w:hAnsi="仿宋_GB2312" w:eastAsia="仿宋_GB2312" w:cs="仿宋_GB2312"/>
          <w:color w:val="auto"/>
        </w:rPr>
        <w:t>营造良好新型消费发展环境，加大新型消费政策支持力度，积极推动由技术创新、商业模式创新、新的需求拉动、产业链的细化和融合形成的新业态新商业模式发展。支持互联网平台企业向线下延伸拓展，加快传统线下业态数字化改造和转型升级，发展个性化定制、柔性化生产，推动线上线下融合消费双向提速。积极拓展“互联网+服务”，培育新的增长点。在市场准入制度、培育市场需求、资金用地支持、引进和培养专业人才、行业协会作用等方面制定灵活应变政策措施，不断提升对新业态、新商业模式的服务管理能力。</w:t>
      </w:r>
    </w:p>
    <w:p>
      <w:pPr>
        <w:pStyle w:val="6"/>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szCs w:val="24"/>
        </w:rPr>
      </w:pPr>
      <w:r>
        <w:rPr>
          <w:rFonts w:hint="eastAsia" w:ascii="仿宋_GB2312" w:hAnsi="仿宋_GB2312" w:eastAsia="仿宋_GB2312" w:cs="仿宋_GB2312"/>
          <w:b/>
          <w:bCs/>
          <w:color w:val="auto"/>
        </w:rPr>
        <w:t>积极拓展新兴服务领域</w:t>
      </w:r>
      <w:r>
        <w:rPr>
          <w:rFonts w:hint="eastAsia" w:ascii="仿宋_GB2312" w:hAnsi="仿宋_GB2312" w:eastAsia="仿宋_GB2312" w:cs="仿宋_GB2312"/>
          <w:color w:val="auto"/>
        </w:rPr>
        <w:t>。加快发展智慧服务业，深化大数据在旅游、物流等服务业领域的应用。培育发展研发设计、技术转移、知识产权等科技服务业，着力构建有利于技术转移与交易、成果转化与产业化的科技服务体系。加快发展检测认证服务业，建设一批高水平的工业产品质量控制和技术评价实验室、产品质量监督检验中心、检验检测与评定认证中心。加快推进养老社会化、产业化发展，鼓励社会资本兴办规模化、高品质养老服务机构，发展医疗保健、健康体检、健康保险等健康服务，不断提升养老服务品质。深入推进智慧健康建设，鼓励社会资本投入医疗健康领域，积极开展“互联网+医疗健康”便民惠民服务。加快社区服务业发展，满足居民家政、托幼等需求。</w:t>
      </w:r>
    </w:p>
    <w:p>
      <w:pPr>
        <w:pStyle w:val="4"/>
        <w:pageBreakBefore w:val="0"/>
        <w:widowControl w:val="0"/>
        <w:kinsoku/>
        <w:wordWrap/>
        <w:overflowPunct/>
        <w:topLinePunct w:val="0"/>
        <w:autoSpaceDE/>
        <w:autoSpaceDN/>
        <w:bidi w:val="0"/>
        <w:adjustRightInd/>
        <w:snapToGrid/>
        <w:spacing w:line="540" w:lineRule="exact"/>
        <w:rPr>
          <w:color w:val="auto"/>
        </w:rPr>
      </w:pPr>
      <w:bookmarkStart w:id="16" w:name="_Toc9456"/>
      <w:r>
        <w:rPr>
          <w:rFonts w:hint="eastAsia"/>
          <w:color w:val="auto"/>
        </w:rPr>
        <w:t>第三节  积极扩大消费需求</w:t>
      </w:r>
      <w:bookmarkEnd w:id="16"/>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积极促进消费回补。</w:t>
      </w:r>
      <w:r>
        <w:rPr>
          <w:rFonts w:hint="eastAsia" w:ascii="仿宋_GB2312" w:hAnsi="仿宋_GB2312" w:eastAsia="仿宋_GB2312" w:cs="仿宋_GB2312"/>
          <w:color w:val="auto"/>
        </w:rPr>
        <w:t>准确把握城乡居民消费发展趋势，发挥消费对增长的基础作用，着力扩大居民消费，加大对需求积压特征较为明显的商品促销力度。培育新的消费热点，加强节假日和传统节庆促销，引导沃尔玛超市、宏昌百货、</w:t>
      </w:r>
      <w:r>
        <w:rPr>
          <w:rFonts w:hint="eastAsia" w:ascii="仿宋_GB2312" w:hAnsi="仿宋_GB2312" w:eastAsia="仿宋_GB2312" w:cs="仿宋_GB2312"/>
          <w:color w:val="auto"/>
          <w:lang w:eastAsia="zh-CN"/>
        </w:rPr>
        <w:t>嘉荣超市、</w:t>
      </w:r>
      <w:r>
        <w:rPr>
          <w:rFonts w:hint="eastAsia" w:ascii="仿宋_GB2312" w:hAnsi="仿宋_GB2312" w:eastAsia="仿宋_GB2312" w:cs="仿宋_GB2312"/>
          <w:color w:val="auto"/>
        </w:rPr>
        <w:t>信美佳超市等商贸企业谋划各种促销活动，对家电、日用品、珠宝、鞋帽等开展促销活动，增强居民消费。引导鼓励实体商贸企业顺应消费趋势潮流，打造“一站式”、“全天候”综合体，丰富餐饮、影院、娱乐等体验式业态，积极向“商品+服务”转变升级。积极发展户外经济、夜间经济、体验经济，启动文化旅游夜经济品牌计划。围绕消费特点热点和重要节假日，搭建供需平台，推广宣传品牌，加强信息服务，引导生产供应，建立健全扩大消费长效机制。完善质量监控体系和消费者权益保护机制</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扩大农村消费。</w:t>
      </w:r>
      <w:r>
        <w:rPr>
          <w:rFonts w:hint="eastAsia" w:ascii="仿宋_GB2312" w:hAnsi="仿宋_GB2312" w:eastAsia="仿宋_GB2312" w:cs="仿宋_GB2312"/>
          <w:color w:val="auto"/>
        </w:rPr>
        <w:t>加快农村吃穿用住行等一般消费提质扩容，支持大型龙头企业在农村发展连锁经营网点，鼓励和引导农村居民增加交通通信、文化娱乐、汽车、家电等消费。健全完善农村现代流通网络体系，促进工业品下行和农产品上行双向流通。推进线下产业发展平台和线上电商交易平台融合发展，支持消费新业态新模式向农村市场拓展。鼓励农户农商发展网络直播带货等新型农产品销售模式。推动具备条件的乡镇将商贸物流与休闲农业、乡村旅游、产品加工等有机结合。加大农村地区水电路气、信息、无障碍等设施建设和改造力度。</w:t>
      </w:r>
    </w:p>
    <w:p>
      <w:pPr>
        <w:pStyle w:val="4"/>
        <w:pageBreakBefore w:val="0"/>
        <w:widowControl w:val="0"/>
        <w:numPr>
          <w:ilvl w:val="0"/>
          <w:numId w:val="1"/>
        </w:numPr>
        <w:kinsoku/>
        <w:wordWrap/>
        <w:overflowPunct/>
        <w:topLinePunct w:val="0"/>
        <w:autoSpaceDE/>
        <w:autoSpaceDN/>
        <w:bidi w:val="0"/>
        <w:adjustRightInd/>
        <w:snapToGrid/>
        <w:spacing w:line="540" w:lineRule="exact"/>
        <w:rPr>
          <w:rFonts w:hint="eastAsia"/>
          <w:color w:val="auto"/>
          <w:lang w:eastAsia="zh-CN"/>
        </w:rPr>
      </w:pPr>
      <w:r>
        <w:rPr>
          <w:rFonts w:hint="eastAsia"/>
          <w:color w:val="auto"/>
        </w:rPr>
        <w:t xml:space="preserve"> </w:t>
      </w:r>
      <w:r>
        <w:rPr>
          <w:rFonts w:hint="eastAsia"/>
          <w:color w:val="auto"/>
          <w:lang w:eastAsia="zh-CN"/>
        </w:rPr>
        <w:t>推动文旅融合发展</w:t>
      </w:r>
    </w:p>
    <w:p>
      <w:pPr>
        <w:numPr>
          <w:ilvl w:val="0"/>
          <w:numId w:val="0"/>
        </w:numPr>
        <w:ind w:firstLine="643" w:firstLineChars="20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b/>
          <w:bCs/>
          <w:sz w:val="32"/>
          <w:szCs w:val="32"/>
          <w:highlight w:val="none"/>
          <w:lang w:eastAsia="zh-CN"/>
        </w:rPr>
        <w:t>加快旅游资源利用。</w:t>
      </w:r>
      <w:r>
        <w:rPr>
          <w:rFonts w:hint="eastAsia" w:ascii="仿宋_GB2312" w:hAnsi="仿宋_GB2312" w:eastAsia="仿宋_GB2312" w:cs="仿宋_GB2312"/>
          <w:color w:val="auto"/>
          <w:kern w:val="0"/>
          <w:sz w:val="32"/>
          <w:szCs w:val="32"/>
          <w:highlight w:val="none"/>
          <w:u w:val="none"/>
          <w:lang w:val="en-US" w:eastAsia="zh-CN"/>
        </w:rPr>
        <w:t>加快韶州文创园和武江区全域旅游基础设施项目建设，推动水库、温泉、红色革命遗址、非遗文物等特色文旅资源开发利用，利用西河山蕉知青文化、重阳水口村等示范点办好农文旅活动，因地制宜打造精品民宿、农家乐，积极争取承办省、市大型文体活动赛事。</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2"/>
          <w:sz w:val="32"/>
          <w:szCs w:val="32"/>
          <w:highlight w:val="none"/>
          <w:lang w:val="en-US" w:eastAsia="zh-CN" w:bidi="ar-SA"/>
        </w:rPr>
        <w:t>打造旅游精品线路。</w:t>
      </w:r>
      <w:r>
        <w:rPr>
          <w:rFonts w:hint="eastAsia" w:ascii="仿宋_GB2312" w:hAnsi="仿宋_GB2312" w:eastAsia="仿宋_GB2312" w:cs="仿宋_GB2312"/>
          <w:color w:val="auto"/>
          <w:kern w:val="2"/>
          <w:sz w:val="32"/>
          <w:szCs w:val="32"/>
          <w:highlight w:val="none"/>
          <w:lang w:val="en-US" w:eastAsia="zh-CN" w:bidi="ar-SA"/>
        </w:rPr>
        <w:t>不断优化龙归至江湾、西河至重阳两条精品旅游线路，提升沿线景观功能，因地制宜打造特色乡村旅游景点、网红打卡点。着力推动龙归镇文武阁塔修缮及周边环境提升改造，加快推进“江湾水上游”“省道520爱情公路”、田园康养综合体等项目落实落地。</w:t>
      </w:r>
    </w:p>
    <w:p>
      <w:pPr>
        <w:pStyle w:val="4"/>
        <w:pageBreakBefore w:val="0"/>
        <w:widowControl w:val="0"/>
        <w:kinsoku/>
        <w:wordWrap/>
        <w:overflowPunct/>
        <w:topLinePunct w:val="0"/>
        <w:autoSpaceDE/>
        <w:autoSpaceDN/>
        <w:bidi w:val="0"/>
        <w:adjustRightInd/>
        <w:snapToGrid/>
        <w:spacing w:line="540" w:lineRule="exact"/>
        <w:rPr>
          <w:color w:val="auto"/>
        </w:rPr>
      </w:pPr>
      <w:bookmarkStart w:id="17" w:name="_Toc3235"/>
      <w:r>
        <w:rPr>
          <w:rFonts w:hint="eastAsia"/>
          <w:color w:val="auto"/>
        </w:rPr>
        <w:t>第</w:t>
      </w:r>
      <w:r>
        <w:rPr>
          <w:rFonts w:hint="eastAsia"/>
          <w:color w:val="auto"/>
          <w:lang w:eastAsia="zh-CN"/>
        </w:rPr>
        <w:t>五</w:t>
      </w:r>
      <w:r>
        <w:rPr>
          <w:rFonts w:hint="eastAsia"/>
          <w:color w:val="auto"/>
        </w:rPr>
        <w:t>节  支持培育优势企业</w:t>
      </w:r>
      <w:bookmarkEnd w:id="17"/>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培育现代服务业龙头企业。</w:t>
      </w:r>
      <w:r>
        <w:rPr>
          <w:rFonts w:hint="eastAsia" w:ascii="仿宋_GB2312" w:hAnsi="仿宋_GB2312" w:eastAsia="仿宋_GB2312" w:cs="仿宋_GB2312"/>
          <w:color w:val="auto"/>
        </w:rPr>
        <w:t>探索建立区领导联系企业制度，鼓励企业跨地区、跨所有制兼并重组，形成生产与研发、服务分别聚集，所有制多元的企业形态，引导生产要素向优势企业和行业龙头集中，推动符合条件的企业上市，鼓励建立大型企业、中小企业相互协作的战略联盟。支持企业进行技术创新、管理创新和制度创新，促使服务向专业化、社会化和品牌化发展。重点在商贸流通、现代物流、电子商务、科技服务业等行业和领域培育带动能力强、增长潜力好和品牌影响大的骨干企业，成为带动服务业发展的龙头。</w:t>
      </w:r>
    </w:p>
    <w:p>
      <w:pPr>
        <w:pageBreakBefore w:val="0"/>
        <w:widowControl w:val="0"/>
        <w:kinsoku/>
        <w:wordWrap/>
        <w:overflowPunct/>
        <w:topLinePunct w:val="0"/>
        <w:autoSpaceDE/>
        <w:autoSpaceDN/>
        <w:bidi w:val="0"/>
        <w:adjustRightInd/>
        <w:snapToGrid/>
        <w:spacing w:line="540" w:lineRule="exact"/>
        <w:ind w:firstLine="643"/>
        <w:rPr>
          <w:rFonts w:hint="eastAsia" w:ascii="仿宋_GB2312" w:hAnsi="仿宋_GB2312" w:eastAsia="仿宋_GB2312" w:cs="仿宋_GB2312"/>
          <w:color w:val="auto"/>
        </w:rPr>
      </w:pPr>
      <w:r>
        <w:rPr>
          <w:rFonts w:hint="eastAsia" w:ascii="仿宋_GB2312" w:hAnsi="仿宋_GB2312" w:eastAsia="仿宋_GB2312" w:cs="仿宋_GB2312"/>
          <w:b/>
          <w:bCs/>
          <w:color w:val="auto"/>
        </w:rPr>
        <w:t>培育现代服务业品牌。</w:t>
      </w:r>
      <w:r>
        <w:rPr>
          <w:rFonts w:hint="eastAsia" w:ascii="仿宋_GB2312" w:hAnsi="仿宋_GB2312" w:eastAsia="仿宋_GB2312" w:cs="仿宋_GB2312"/>
          <w:color w:val="auto"/>
        </w:rPr>
        <w:t>鼓励具有知识创新和模式创新的服务型企业创建品牌，争创中国驰名商标、省著名商标和省名牌，推动形成具有武江特色的服务品牌体系。在商贸流通、现代物流、电子商务、科技服务、旅游等领域大力推进标准化服务体系建设，增强现代服务业核心竞争力。</w:t>
      </w:r>
    </w:p>
    <w:p>
      <w:pPr>
        <w:pageBreakBefore w:val="0"/>
        <w:widowControl w:val="0"/>
        <w:kinsoku/>
        <w:wordWrap/>
        <w:overflowPunct/>
        <w:topLinePunct w:val="0"/>
        <w:autoSpaceDE/>
        <w:autoSpaceDN/>
        <w:bidi w:val="0"/>
        <w:adjustRightInd/>
        <w:snapToGrid/>
        <w:spacing w:line="540" w:lineRule="exact"/>
        <w:ind w:firstLine="640"/>
        <w:rPr>
          <w:color w:val="auto"/>
        </w:rPr>
      </w:pPr>
    </w:p>
    <w:p>
      <w:pPr>
        <w:pStyle w:val="3"/>
        <w:pageBreakBefore w:val="0"/>
        <w:widowControl w:val="0"/>
        <w:kinsoku/>
        <w:wordWrap/>
        <w:overflowPunct/>
        <w:topLinePunct w:val="0"/>
        <w:autoSpaceDE/>
        <w:autoSpaceDN/>
        <w:bidi w:val="0"/>
        <w:adjustRightInd/>
        <w:snapToGrid/>
        <w:spacing w:line="540" w:lineRule="exact"/>
        <w:rPr>
          <w:color w:val="auto"/>
        </w:rPr>
      </w:pPr>
      <w:bookmarkStart w:id="18" w:name="_Toc8751"/>
      <w:r>
        <w:rPr>
          <w:rFonts w:hint="eastAsia"/>
          <w:color w:val="auto"/>
        </w:rPr>
        <w:t>第五章  保障措施</w:t>
      </w:r>
      <w:bookmarkEnd w:id="18"/>
    </w:p>
    <w:p>
      <w:pPr>
        <w:pStyle w:val="4"/>
        <w:pageBreakBefore w:val="0"/>
        <w:widowControl w:val="0"/>
        <w:kinsoku/>
        <w:wordWrap/>
        <w:overflowPunct/>
        <w:topLinePunct w:val="0"/>
        <w:autoSpaceDE/>
        <w:autoSpaceDN/>
        <w:bidi w:val="0"/>
        <w:adjustRightInd/>
        <w:snapToGrid/>
        <w:spacing w:line="540" w:lineRule="exact"/>
        <w:rPr>
          <w:color w:val="auto"/>
        </w:rPr>
      </w:pPr>
      <w:bookmarkStart w:id="19" w:name="_Toc14350"/>
      <w:r>
        <w:rPr>
          <w:rFonts w:hint="eastAsia"/>
          <w:color w:val="auto"/>
        </w:rPr>
        <w:t>第一节  加强组织领导</w:t>
      </w:r>
      <w:bookmarkEnd w:id="19"/>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强化统筹协调，加强对规划实施情况的跟踪分析和督促检查，加快推进服务业各重点行业发展。深化服务领域改革开放，进一步破除制约服务业发展的准入门槛，全面落实企业投资项目清单管理，创新事中事后监管模式和手段。充分利用微博、微信、网络、电视、报刊等信息平台，广泛听取社会各界对服务业发展的意见建议，吸纳城乡居民、企业代表、专家学者等参与重大问题的咨询论证。</w:t>
      </w:r>
    </w:p>
    <w:p>
      <w:pPr>
        <w:pStyle w:val="4"/>
        <w:pageBreakBefore w:val="0"/>
        <w:widowControl w:val="0"/>
        <w:kinsoku/>
        <w:wordWrap/>
        <w:overflowPunct/>
        <w:topLinePunct w:val="0"/>
        <w:autoSpaceDE/>
        <w:autoSpaceDN/>
        <w:bidi w:val="0"/>
        <w:adjustRightInd/>
        <w:snapToGrid/>
        <w:spacing w:line="540" w:lineRule="exact"/>
        <w:rPr>
          <w:color w:val="auto"/>
        </w:rPr>
      </w:pPr>
      <w:bookmarkStart w:id="20" w:name="_Toc32153"/>
      <w:r>
        <w:rPr>
          <w:rFonts w:hint="eastAsia"/>
          <w:color w:val="auto"/>
        </w:rPr>
        <w:t>第二节  优化发展环境</w:t>
      </w:r>
      <w:bookmarkEnd w:id="20"/>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适应服务业高质量发展的新要求，加强关键领域、薄弱环节工作，重点建立健全政府服务支撑体系，着力营造法治化、国际化、市场化营商环境。将现代服务业重点领域列入人才计划重点方向，大力引进现代服务业创新创业团队和领军人才。实施现代服务业商标品牌培育工程，建立品牌价值评价体系，引导现代服务业企业积极注册、运用、管理和保护商标，鼓励和支持企业到境外商标注册、品牌收购，建立商标海外维权救济渠道。大力推进商务诚信建设，推进商业征信系统建设，规范发展信用服务市场，培育壮大信用服务业。建立和完善“守信激励、失信惩戒”的机制，构建诚实守信的社会环境，提高企业“失信成本”，有效强化市场监管效力。加强行政审批制度改革后的市场监管，建立健全日常监管机制，切实做到管放结合。强化协同监管，推行部门联合执法检查方式，开展企业经营和投资项目的在线监测、执法检查等事中事后监管。加强重点服务领域消费维权工作，特别要加强知识产权保护，切实加大对侵权行为的打击力度。</w:t>
      </w:r>
    </w:p>
    <w:p>
      <w:pPr>
        <w:pStyle w:val="4"/>
        <w:pageBreakBefore w:val="0"/>
        <w:widowControl w:val="0"/>
        <w:kinsoku/>
        <w:wordWrap/>
        <w:overflowPunct/>
        <w:topLinePunct w:val="0"/>
        <w:autoSpaceDE/>
        <w:autoSpaceDN/>
        <w:bidi w:val="0"/>
        <w:adjustRightInd/>
        <w:snapToGrid/>
        <w:spacing w:line="540" w:lineRule="exact"/>
        <w:rPr>
          <w:color w:val="auto"/>
        </w:rPr>
      </w:pPr>
      <w:bookmarkStart w:id="21" w:name="_Toc14195"/>
      <w:r>
        <w:rPr>
          <w:rFonts w:hint="eastAsia"/>
          <w:color w:val="auto"/>
        </w:rPr>
        <w:t>第三节  扩大开放合作</w:t>
      </w:r>
      <w:bookmarkEnd w:id="21"/>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积极主动融入粤港澳大湾区建设，鼓励企业走出去，不断扩大对外经贸合作。主动对接深圳建设中国特色社会主义先行示范区，承接深圳溢出效应和制度红利。积极拓展港澳台合作，重点加强与港澳地区在金融、商贸、专业服务、公共服务等领域的交流合作，以大湾区的开放性、集聚性和协同性发展我区的现代服务业。</w:t>
      </w:r>
    </w:p>
    <w:p>
      <w:pPr>
        <w:pStyle w:val="4"/>
        <w:pageBreakBefore w:val="0"/>
        <w:widowControl w:val="0"/>
        <w:kinsoku/>
        <w:wordWrap/>
        <w:overflowPunct/>
        <w:topLinePunct w:val="0"/>
        <w:autoSpaceDE/>
        <w:autoSpaceDN/>
        <w:bidi w:val="0"/>
        <w:adjustRightInd/>
        <w:snapToGrid/>
        <w:spacing w:line="540" w:lineRule="exact"/>
        <w:rPr>
          <w:color w:val="auto"/>
        </w:rPr>
      </w:pPr>
      <w:bookmarkStart w:id="22" w:name="_Toc19111"/>
      <w:r>
        <w:rPr>
          <w:rFonts w:hint="eastAsia"/>
          <w:color w:val="auto"/>
        </w:rPr>
        <w:t>第四节  注重宣传引导</w:t>
      </w:r>
      <w:bookmarkEnd w:id="22"/>
    </w:p>
    <w:p>
      <w:pPr>
        <w:pageBreakBefore w:val="0"/>
        <w:widowControl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创新宣传方式，丰富宣传手段，加强支持服务业发展相关政策宣传解读和经验推广，倡导健康、智慧、便捷、共享的消费理念，营造有利于现代服务业良性发展的舆论氛围。</w:t>
      </w: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36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ind w:firstLine="36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left="0" w:leftChars="0"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A715C"/>
    <w:multiLevelType w:val="singleLevel"/>
    <w:tmpl w:val="AC1A715C"/>
    <w:lvl w:ilvl="0" w:tentative="0">
      <w:start w:val="4"/>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YTllMjIxNzI0N2QxMjQ4OWIwOTM1MGNkYzljMDAifQ=="/>
  </w:docVars>
  <w:rsids>
    <w:rsidRoot w:val="33040488"/>
    <w:rsid w:val="000A73C6"/>
    <w:rsid w:val="002A5AFF"/>
    <w:rsid w:val="002F6F3F"/>
    <w:rsid w:val="0055111B"/>
    <w:rsid w:val="00587225"/>
    <w:rsid w:val="007A79E4"/>
    <w:rsid w:val="007D403D"/>
    <w:rsid w:val="008C661D"/>
    <w:rsid w:val="00AA5858"/>
    <w:rsid w:val="00B04117"/>
    <w:rsid w:val="00C27AAA"/>
    <w:rsid w:val="00F66F31"/>
    <w:rsid w:val="00F8176B"/>
    <w:rsid w:val="01204C2D"/>
    <w:rsid w:val="027A738A"/>
    <w:rsid w:val="036F2FCB"/>
    <w:rsid w:val="03750BC0"/>
    <w:rsid w:val="0450120B"/>
    <w:rsid w:val="05BC2043"/>
    <w:rsid w:val="05EB0D04"/>
    <w:rsid w:val="06141270"/>
    <w:rsid w:val="07374361"/>
    <w:rsid w:val="07A572F5"/>
    <w:rsid w:val="08410424"/>
    <w:rsid w:val="095E480B"/>
    <w:rsid w:val="0C057821"/>
    <w:rsid w:val="0CEA7EBA"/>
    <w:rsid w:val="0D32666F"/>
    <w:rsid w:val="0DA66628"/>
    <w:rsid w:val="0E4A5F88"/>
    <w:rsid w:val="0F8E6526"/>
    <w:rsid w:val="120C0C49"/>
    <w:rsid w:val="12A27E2A"/>
    <w:rsid w:val="12AD6BF7"/>
    <w:rsid w:val="134D716A"/>
    <w:rsid w:val="143A5865"/>
    <w:rsid w:val="1453461B"/>
    <w:rsid w:val="165335AE"/>
    <w:rsid w:val="18E5539E"/>
    <w:rsid w:val="1A557292"/>
    <w:rsid w:val="1B962396"/>
    <w:rsid w:val="1BFB31F6"/>
    <w:rsid w:val="1D66768E"/>
    <w:rsid w:val="1EA43660"/>
    <w:rsid w:val="1F736442"/>
    <w:rsid w:val="22AB5FA1"/>
    <w:rsid w:val="24530AFD"/>
    <w:rsid w:val="24C24E3C"/>
    <w:rsid w:val="24C505B6"/>
    <w:rsid w:val="26066531"/>
    <w:rsid w:val="265D55AC"/>
    <w:rsid w:val="26AD14BB"/>
    <w:rsid w:val="26C86AA8"/>
    <w:rsid w:val="274E624D"/>
    <w:rsid w:val="29E76F47"/>
    <w:rsid w:val="2A5C5CB7"/>
    <w:rsid w:val="2ACF7058"/>
    <w:rsid w:val="2BE57DB9"/>
    <w:rsid w:val="2D7673F5"/>
    <w:rsid w:val="2E6E6135"/>
    <w:rsid w:val="32C0699C"/>
    <w:rsid w:val="33040488"/>
    <w:rsid w:val="331B0025"/>
    <w:rsid w:val="33B706EB"/>
    <w:rsid w:val="35B744C7"/>
    <w:rsid w:val="3760061E"/>
    <w:rsid w:val="377014BD"/>
    <w:rsid w:val="38C84098"/>
    <w:rsid w:val="3A7832AF"/>
    <w:rsid w:val="3C084B9D"/>
    <w:rsid w:val="3CAD5385"/>
    <w:rsid w:val="3CD1497A"/>
    <w:rsid w:val="3D37697A"/>
    <w:rsid w:val="3D760D32"/>
    <w:rsid w:val="3EDB7E51"/>
    <w:rsid w:val="4038589C"/>
    <w:rsid w:val="438F1CC7"/>
    <w:rsid w:val="43D441A9"/>
    <w:rsid w:val="46113492"/>
    <w:rsid w:val="4629531D"/>
    <w:rsid w:val="465313B5"/>
    <w:rsid w:val="48776E33"/>
    <w:rsid w:val="49450714"/>
    <w:rsid w:val="495C7E60"/>
    <w:rsid w:val="49E62540"/>
    <w:rsid w:val="4CAC3345"/>
    <w:rsid w:val="4EDA2D0A"/>
    <w:rsid w:val="4F9E4B93"/>
    <w:rsid w:val="503F255F"/>
    <w:rsid w:val="5253D7D0"/>
    <w:rsid w:val="528374C6"/>
    <w:rsid w:val="52AB0185"/>
    <w:rsid w:val="533D6092"/>
    <w:rsid w:val="538F4978"/>
    <w:rsid w:val="538F78E0"/>
    <w:rsid w:val="53A81EBA"/>
    <w:rsid w:val="54B93DDD"/>
    <w:rsid w:val="56791511"/>
    <w:rsid w:val="56E60617"/>
    <w:rsid w:val="577B533C"/>
    <w:rsid w:val="5A24280C"/>
    <w:rsid w:val="5AE572EA"/>
    <w:rsid w:val="5B7305A4"/>
    <w:rsid w:val="5BE359D2"/>
    <w:rsid w:val="5C535B47"/>
    <w:rsid w:val="5D6B1282"/>
    <w:rsid w:val="5DD52DD2"/>
    <w:rsid w:val="5E9732B1"/>
    <w:rsid w:val="5F267F7E"/>
    <w:rsid w:val="5FFC7C3C"/>
    <w:rsid w:val="606D7A10"/>
    <w:rsid w:val="61202465"/>
    <w:rsid w:val="614061D3"/>
    <w:rsid w:val="620A0755"/>
    <w:rsid w:val="63107610"/>
    <w:rsid w:val="640F6B2A"/>
    <w:rsid w:val="65366E77"/>
    <w:rsid w:val="669B11A7"/>
    <w:rsid w:val="69B57BC1"/>
    <w:rsid w:val="6A8614E1"/>
    <w:rsid w:val="6C271840"/>
    <w:rsid w:val="6C764901"/>
    <w:rsid w:val="6CD63340"/>
    <w:rsid w:val="6DD37B68"/>
    <w:rsid w:val="6E2357EB"/>
    <w:rsid w:val="6E3E6CF1"/>
    <w:rsid w:val="6F0206B1"/>
    <w:rsid w:val="6F0B1841"/>
    <w:rsid w:val="716A57BF"/>
    <w:rsid w:val="71FF1915"/>
    <w:rsid w:val="72785B7B"/>
    <w:rsid w:val="72C02690"/>
    <w:rsid w:val="73E85827"/>
    <w:rsid w:val="74656449"/>
    <w:rsid w:val="75070B33"/>
    <w:rsid w:val="75A3682B"/>
    <w:rsid w:val="785FF766"/>
    <w:rsid w:val="7A0D3822"/>
    <w:rsid w:val="7AFE68D3"/>
    <w:rsid w:val="7B1B4BC0"/>
    <w:rsid w:val="7B92251C"/>
    <w:rsid w:val="7B9E51BC"/>
    <w:rsid w:val="7BFA861C"/>
    <w:rsid w:val="7C770610"/>
    <w:rsid w:val="7D572EFB"/>
    <w:rsid w:val="7DA168CE"/>
    <w:rsid w:val="7F955E70"/>
    <w:rsid w:val="7FEECF74"/>
    <w:rsid w:val="7FF13847"/>
    <w:rsid w:val="7FFDDA51"/>
    <w:rsid w:val="B3FFCF2F"/>
    <w:rsid w:val="E1DFA8FC"/>
    <w:rsid w:val="E36FF1CD"/>
    <w:rsid w:val="F7BFBFB8"/>
    <w:rsid w:val="FD2CB366"/>
    <w:rsid w:val="FDDEDE0E"/>
    <w:rsid w:val="FEFFDF05"/>
    <w:rsid w:val="FF6B3541"/>
    <w:rsid w:val="FFFC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eastAsia="仿宋" w:asciiTheme="minorHAnsi" w:hAnsiTheme="minorHAnsi" w:cstheme="minorBidi"/>
      <w:kern w:val="2"/>
      <w:sz w:val="32"/>
      <w:szCs w:val="24"/>
      <w:lang w:val="en-US" w:eastAsia="zh-CN" w:bidi="ar-SA"/>
    </w:rPr>
  </w:style>
  <w:style w:type="paragraph" w:styleId="3">
    <w:name w:val="heading 1"/>
    <w:basedOn w:val="1"/>
    <w:next w:val="1"/>
    <w:autoRedefine/>
    <w:qFormat/>
    <w:uiPriority w:val="0"/>
    <w:pPr>
      <w:keepNext/>
      <w:keepLines/>
      <w:spacing w:before="340" w:after="330" w:line="576" w:lineRule="auto"/>
      <w:ind w:firstLine="0" w:firstLineChars="0"/>
      <w:jc w:val="center"/>
      <w:outlineLvl w:val="0"/>
    </w:pPr>
    <w:rPr>
      <w:rFonts w:eastAsia="黑体"/>
      <w:kern w:val="44"/>
      <w:sz w:val="44"/>
    </w:rPr>
  </w:style>
  <w:style w:type="paragraph" w:styleId="4">
    <w:name w:val="heading 2"/>
    <w:basedOn w:val="1"/>
    <w:next w:val="1"/>
    <w:autoRedefine/>
    <w:unhideWhenUsed/>
    <w:qFormat/>
    <w:uiPriority w:val="0"/>
    <w:pPr>
      <w:keepNext/>
      <w:keepLines/>
      <w:spacing w:before="260" w:after="260" w:line="413" w:lineRule="auto"/>
      <w:ind w:firstLine="0" w:firstLineChars="0"/>
      <w:jc w:val="center"/>
      <w:outlineLvl w:val="1"/>
    </w:pPr>
    <w:rPr>
      <w:rFonts w:ascii="Arial" w:hAnsi="Arial" w:eastAsia="黑体"/>
    </w:rPr>
  </w:style>
  <w:style w:type="paragraph" w:styleId="5">
    <w:name w:val="heading 3"/>
    <w:basedOn w:val="1"/>
    <w:next w:val="1"/>
    <w:unhideWhenUsed/>
    <w:qFormat/>
    <w:uiPriority w:val="0"/>
    <w:pPr>
      <w:keepNext/>
      <w:keepLines/>
      <w:spacing w:before="260" w:after="260" w:line="360" w:lineRule="auto"/>
      <w:outlineLvl w:val="2"/>
    </w:pPr>
    <w:rPr>
      <w:rFonts w:eastAsia="楷体"/>
      <w:b/>
    </w:rPr>
  </w:style>
  <w:style w:type="paragraph" w:styleId="6">
    <w:name w:val="heading 6"/>
    <w:basedOn w:val="1"/>
    <w:next w:val="1"/>
    <w:autoRedefine/>
    <w:unhideWhenUsed/>
    <w:qFormat/>
    <w:uiPriority w:val="0"/>
    <w:pPr>
      <w:spacing w:line="600" w:lineRule="exact"/>
      <w:ind w:firstLine="640"/>
      <w:outlineLvl w:val="5"/>
    </w:pPr>
    <w:rPr>
      <w:rFonts w:ascii="Times New Roman" w:hAnsi="Times New Roman" w:eastAsia="仿宋_GB231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等线 Light" w:hAnsi="等线 Light" w:eastAsia="等线 Light"/>
      <w:sz w:val="24"/>
    </w:rPr>
  </w:style>
  <w:style w:type="paragraph" w:styleId="7">
    <w:name w:val="Normal Indent"/>
    <w:basedOn w:val="1"/>
    <w:autoRedefine/>
    <w:qFormat/>
    <w:uiPriority w:val="0"/>
    <w:pPr>
      <w:spacing w:line="360" w:lineRule="auto"/>
      <w:ind w:firstLine="200"/>
    </w:pPr>
    <w:rPr>
      <w:rFonts w:ascii="Times New Roman" w:hAnsi="Times New Roman" w:eastAsia="宋体" w:cs="Times New Roman"/>
      <w:sz w:val="24"/>
    </w:rPr>
  </w:style>
  <w:style w:type="paragraph" w:styleId="8">
    <w:name w:val="Salutation"/>
    <w:basedOn w:val="1"/>
    <w:next w:val="1"/>
    <w:qFormat/>
    <w:uiPriority w:val="0"/>
  </w:style>
  <w:style w:type="paragraph" w:styleId="9">
    <w:name w:val="Plain Text"/>
    <w:basedOn w:val="1"/>
    <w:autoRedefine/>
    <w:qFormat/>
    <w:uiPriority w:val="0"/>
    <w:rPr>
      <w:rFonts w:hint="eastAsia" w:ascii="宋体" w:hAnsi="Courier New"/>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paragraph" w:styleId="14">
    <w:name w:val="Body Text First Indent 2"/>
    <w:basedOn w:val="7"/>
    <w:autoRedefine/>
    <w:qFormat/>
    <w:uiPriority w:val="0"/>
    <w:pPr>
      <w:ind w:firstLine="480"/>
    </w:pPr>
  </w:style>
  <w:style w:type="paragraph" w:customStyle="1" w:styleId="17">
    <w:name w:val="BodyText1I2"/>
    <w:basedOn w:val="18"/>
    <w:qFormat/>
    <w:uiPriority w:val="0"/>
    <w:pPr>
      <w:ind w:firstLine="420" w:firstLineChars="200"/>
    </w:pPr>
  </w:style>
  <w:style w:type="paragraph" w:customStyle="1" w:styleId="18">
    <w:name w:val="BodyTextIndent"/>
    <w:basedOn w:val="1"/>
    <w:qFormat/>
    <w:uiPriority w:val="0"/>
    <w:pPr>
      <w:ind w:firstLine="800" w:firstLineChars="250"/>
    </w:pPr>
    <w:rPr>
      <w:rFonts w:ascii="仿宋_GB2312" w:hAnsi="仿宋"/>
    </w:rPr>
  </w:style>
  <w:style w:type="paragraph" w:customStyle="1" w:styleId="19">
    <w:name w:val="Body Text First Indent 21"/>
    <w:basedOn w:val="20"/>
    <w:autoRedefine/>
    <w:qFormat/>
    <w:uiPriority w:val="0"/>
    <w:pPr>
      <w:ind w:firstLine="420" w:firstLineChars="200"/>
    </w:pPr>
    <w:rPr>
      <w:rFonts w:ascii="Times New Roman" w:eastAsia="宋体"/>
      <w:sz w:val="24"/>
    </w:rPr>
  </w:style>
  <w:style w:type="paragraph" w:customStyle="1" w:styleId="20">
    <w:name w:val="Normal Indent1"/>
    <w:basedOn w:val="1"/>
    <w:autoRedefine/>
    <w:qFormat/>
    <w:uiPriority w:val="0"/>
    <w:pPr>
      <w:ind w:firstLine="420" w:firstLineChars="200"/>
    </w:pPr>
  </w:style>
  <w:style w:type="paragraph" w:customStyle="1" w:styleId="21">
    <w:name w:val="BodyText"/>
    <w:basedOn w:val="1"/>
    <w:qFormat/>
    <w:uiPriority w:val="0"/>
    <w:pPr>
      <w:textAlignment w:val="baseline"/>
    </w:pPr>
    <w:rPr>
      <w:rFonts w:ascii="宋体" w:hAnsi="宋体"/>
      <w:szCs w:val="32"/>
    </w:rPr>
  </w:style>
  <w:style w:type="character" w:customStyle="1" w:styleId="22">
    <w:name w:val="页眉 Char"/>
    <w:basedOn w:val="16"/>
    <w:link w:val="11"/>
    <w:qFormat/>
    <w:uiPriority w:val="0"/>
    <w:rPr>
      <w:rFonts w:eastAsia="仿宋" w:asciiTheme="minorHAnsi" w:hAnsiTheme="minorHAnsi" w:cstheme="minorBidi"/>
      <w:kern w:val="2"/>
      <w:sz w:val="18"/>
      <w:szCs w:val="18"/>
    </w:rPr>
  </w:style>
  <w:style w:type="character" w:customStyle="1" w:styleId="23">
    <w:name w:val="页脚 Char"/>
    <w:basedOn w:val="16"/>
    <w:link w:val="10"/>
    <w:qFormat/>
    <w:uiPriority w:val="0"/>
    <w:rPr>
      <w:rFonts w:eastAsia="仿宋" w:asciiTheme="minorHAnsi" w:hAnsiTheme="minorHAnsi" w:cstheme="minorBidi"/>
      <w:kern w:val="2"/>
      <w:sz w:val="18"/>
      <w:szCs w:val="1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customStyle="1" w:styleId="25">
    <w:name w:val="WPSOffice手动目录 2"/>
    <w:autoRedefine/>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12382</Words>
  <Characters>12494</Characters>
  <Lines>99</Lines>
  <Paragraphs>28</Paragraphs>
  <TotalTime>11</TotalTime>
  <ScaleCrop>false</ScaleCrop>
  <LinksUpToDate>false</LinksUpToDate>
  <CharactersWithSpaces>12664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2020-03-23T16:35:00Z</dcterms:created>
  <dc:creator>清葵</dc:creator>
  <cp:lastModifiedBy>微信用户</cp:lastModifiedBy>
  <cp:lastPrinted>2023-08-29T10:22:00Z</cp:lastPrinted>
  <dcterms:modified xsi:type="dcterms:W3CDTF">2024-01-15T08:10:05Z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ribbonExt">
    <vt:lpwstr>{"WPSExtOfficeTab":{"OnGetEnabled":false,"OnGetVisible":false}}</vt:lpwstr>
  </property>
  <property fmtid="{D5CDD505-2E9C-101B-9397-08002B2CF9AE}" pid="4" name="ICV">
    <vt:lpwstr>FB873B6F32984E618D7E302D86DB5A82_13</vt:lpwstr>
  </property>
</Properties>
</file>