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jc w:val="left"/>
        <w:textAlignment w:val="auto"/>
        <w:rPr>
          <w:rFonts w:ascii="黑体" w:cs="黑体" w:eastAsia="黑体" w:hAnsi="黑体" w:hint="eastAsia"/>
          <w:spacing w:val="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pacing w:val="0"/>
          <w:sz w:val="32"/>
          <w:szCs w:val="32"/>
          <w:lang w:val="en-US" w:eastAsia="zh-CN"/>
        </w:rPr>
        <w:t>附件：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jc w:val="left"/>
        <w:textAlignment w:val="auto"/>
        <w:rPr>
          <w:rFonts w:ascii="仿宋_GB2312" w:cs="仿宋_GB2312" w:eastAsia="仿宋_GB2312" w:hAnsi="仿宋_GB2312" w:hint="eastAsia"/>
          <w:spacing w:val="0"/>
          <w:sz w:val="32"/>
          <w:szCs w:val="32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  <w:t>韶关市武江区2023年中央农业经营主体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  <w:t>能力提升资金-新型农业经营主体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仿宋_GB2312" w:cs="仿宋_GB2312" w:eastAsia="仿宋_GB2312" w:hAnsi="仿宋_GB2312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pacing w:val="0"/>
          <w:sz w:val="44"/>
          <w:szCs w:val="44"/>
          <w:lang w:val="en-US" w:eastAsia="zh-CN"/>
        </w:rPr>
        <w:t>培育项目实施主体名单公示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textAlignment w:val="auto"/>
        <w:rPr>
          <w:rFonts w:ascii="仿宋_GB2312" w:cs="仿宋_GB2312" w:eastAsia="仿宋_GB2312" w:hAnsi="仿宋_GB2312" w:hint="eastAsia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textAlignment w:val="auto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spacing w:val="0"/>
          <w:sz w:val="32"/>
          <w:szCs w:val="32"/>
          <w:lang w:val="en-US" w:eastAsia="zh-CN"/>
        </w:rPr>
        <w:t>韶关市武江区龙归龙水水稻专业合作社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textAlignment w:val="auto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2.武江区续源家庭农场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textAlignment w:val="auto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3.武江区志洋水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lang w:val="en-US" w:eastAsia="zh-CN"/>
        </w:rPr>
        <w:t>稻家庭农场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4.武江区夏娃生态家庭农场</w:t>
      </w:r>
    </w:p>
    <w:sectPr>
      <w:footerReference w:type="default" r:id="rId2"/>
      <w:pgSz w:w="11906" w:h="16838" w:orient="portrait"/>
      <w:pgMar w:top="2098" w:right="1474" w:bottom="1984" w:left="1587" w:header="851" w:footer="992" w:gutter="0"/>
      <w:pgNumType w:fmt="numberInDash"/>
      <w:cols w:space="0" w:num="1"/>
      <w:rtlGutter w:val="false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32"/>
      <w:szCs w:val="32"/>
    </w:r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99</Words>
  <Pages>1</Pages>
  <Characters>106</Characters>
  <Application>WPS Office</Application>
  <DocSecurity>0</DocSecurity>
  <Paragraphs>14</Paragraphs>
  <ScaleCrop>false</ScaleCrop>
  <LinksUpToDate>false</LinksUpToDate>
  <CharactersWithSpaces>106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2024-01-18T15:43:47Z</dcterms:created>
  <dc:creator>Administrator</dc:creator>
  <lastModifiedBy>Lenovo TB-J606F</lastModifiedBy>
  <dcterms:modified xsi:type="dcterms:W3CDTF">2024-01-18T15:43:47Z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ce7b5232ba754b3b94740e04d6138271_23</vt:lpwstr>
  </property>
</Properties>
</file>