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法治政府建设典型案例--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深入学习贯彻《韶关市红色资源保护条例》</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i w:val="0"/>
          <w:iCs w:val="0"/>
          <w:caps w:val="0"/>
          <w:color w:val="000000"/>
          <w:spacing w:val="8"/>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8"/>
          <w:sz w:val="32"/>
          <w:szCs w:val="32"/>
          <w:shd w:val="clear" w:fill="FFFFFF"/>
        </w:rPr>
        <w:t>《韶关市红色资源保护条例》于2023年5月1日起施行。</w:t>
      </w:r>
      <w:r>
        <w:rPr>
          <w:rFonts w:hint="eastAsia" w:ascii="仿宋_GB2312" w:hAnsi="仿宋_GB2312" w:eastAsia="仿宋_GB2312" w:cs="仿宋_GB2312"/>
          <w:i w:val="0"/>
          <w:iCs w:val="0"/>
          <w:caps w:val="0"/>
          <w:color w:val="000000"/>
          <w:spacing w:val="8"/>
          <w:sz w:val="32"/>
          <w:szCs w:val="32"/>
          <w:shd w:val="clear" w:fill="FFFFFF"/>
          <w:lang w:val="en-US" w:eastAsia="zh-CN"/>
        </w:rPr>
        <w:t>我局把学习宣传贯彻《韶关市红色资源保护条例》纳入2023年度法治建设重要内容。</w:t>
      </w:r>
    </w:p>
    <w:p>
      <w:pPr>
        <w:ind w:firstLine="640" w:firstLineChars="200"/>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一、工作情况</w:t>
      </w:r>
    </w:p>
    <w:p>
      <w:pPr>
        <w:ind w:firstLine="643" w:firstLineChars="200"/>
        <w:jc w:val="both"/>
        <w:rPr>
          <w:rFonts w:hint="default"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b/>
          <w:bCs/>
          <w:color w:val="000000"/>
          <w:sz w:val="32"/>
          <w:szCs w:val="32"/>
          <w:lang w:val="en-US" w:eastAsia="zh-CN"/>
        </w:rPr>
        <w:t>一是做好普法宣教</w:t>
      </w:r>
      <w:r>
        <w:rPr>
          <w:rFonts w:hint="eastAsia" w:ascii="仿宋_GB2312" w:hAnsi="仿宋_GB2312" w:eastAsia="仿宋_GB2312" w:cs="仿宋_GB2312"/>
          <w:color w:val="000000"/>
          <w:sz w:val="32"/>
          <w:szCs w:val="32"/>
          <w:lang w:val="en-US" w:eastAsia="zh-CN"/>
        </w:rPr>
        <w:t>。深入开展红色资源保护条例宣传活动，深入农村、深入社区进行普法宣传，通过活动宣传、入户走访、互动交流等方式，向村居群众派发《韶关市红色资源保护条例》等法律法规宣传资料，生动形象的做好政策解读和普法教育。开展</w:t>
      </w:r>
      <w:r>
        <w:rPr>
          <w:rFonts w:hint="eastAsia" w:ascii="仿宋_GB2312" w:hAnsi="仿宋_GB2312" w:eastAsia="仿宋_GB2312" w:cs="仿宋_GB2312"/>
          <w:color w:val="auto"/>
          <w:sz w:val="32"/>
          <w:szCs w:val="32"/>
          <w:lang w:val="en-US" w:eastAsia="zh-CN"/>
        </w:rPr>
        <w:t>武江区“流动博物馆”进乡村进社区巡回展、第二届红色日记征文大赛、“英雄·值得千里追寻”爱国主义教育等活动，</w:t>
      </w:r>
      <w:r>
        <w:rPr>
          <w:rFonts w:hint="eastAsia" w:ascii="仿宋_GB2312" w:hAnsi="仿宋_GB2312" w:eastAsia="仿宋_GB2312" w:cs="仿宋_GB2312"/>
          <w:color w:val="000000"/>
          <w:sz w:val="32"/>
          <w:szCs w:val="32"/>
          <w:lang w:val="en-US" w:eastAsia="zh-CN"/>
        </w:rPr>
        <w:t>讲解红色资源的现实意义以及其背后的故事，展示近年来我区在红色资源保护工作亮点和成效。</w:t>
      </w:r>
    </w:p>
    <w:p>
      <w:pPr>
        <w:ind w:firstLine="675" w:firstLineChars="200"/>
        <w:jc w:val="both"/>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二是建立保护机制</w:t>
      </w:r>
      <w:r>
        <w:rPr>
          <w:rFonts w:hint="eastAsia" w:ascii="仿宋_GB2312" w:hAnsi="仿宋_GB2312" w:eastAsia="仿宋_GB2312" w:cs="仿宋_GB2312"/>
          <w:i w:val="0"/>
          <w:iCs w:val="0"/>
          <w:caps w:val="0"/>
          <w:color w:val="000000"/>
          <w:spacing w:val="8"/>
          <w:sz w:val="32"/>
          <w:szCs w:val="32"/>
          <w:shd w:val="clear" w:fill="FFFFFF"/>
          <w:lang w:val="en-US" w:eastAsia="zh-CN"/>
        </w:rPr>
        <w:t>。编制印发了武江区红色资源保护利用议案实施方案（2022-2027年），成立武江区红色资源保护利用工作领导小组，建立红色资源保护利用工作机制，核定红色资源保护管理人14人，</w:t>
      </w:r>
      <w:bookmarkStart w:id="0" w:name="_GoBack"/>
      <w:bookmarkEnd w:id="0"/>
      <w:r>
        <w:rPr>
          <w:rFonts w:hint="eastAsia" w:ascii="仿宋_GB2312" w:hAnsi="仿宋_GB2312" w:eastAsia="仿宋_GB2312" w:cs="仿宋_GB2312"/>
          <w:i w:val="0"/>
          <w:iCs w:val="0"/>
          <w:caps w:val="0"/>
          <w:color w:val="000000"/>
          <w:spacing w:val="8"/>
          <w:sz w:val="32"/>
          <w:szCs w:val="32"/>
          <w:shd w:val="clear" w:fill="FFFFFF"/>
          <w:lang w:val="en-US" w:eastAsia="zh-CN"/>
        </w:rPr>
        <w:t>压实工作责任，形成红色资源保护利用各方合力。</w:t>
      </w:r>
    </w:p>
    <w:p>
      <w:pPr>
        <w:ind w:firstLine="675" w:firstLineChars="200"/>
        <w:jc w:val="both"/>
        <w:rPr>
          <w:rFonts w:hint="default"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三是深化保护利用</w:t>
      </w:r>
      <w:r>
        <w:rPr>
          <w:rFonts w:hint="eastAsia" w:ascii="仿宋_GB2312" w:hAnsi="仿宋_GB2312" w:eastAsia="仿宋_GB2312" w:cs="仿宋_GB2312"/>
          <w:i w:val="0"/>
          <w:iCs w:val="0"/>
          <w:caps w:val="0"/>
          <w:color w:val="000000"/>
          <w:spacing w:val="8"/>
          <w:sz w:val="32"/>
          <w:szCs w:val="32"/>
          <w:shd w:val="clear" w:fill="FFFFFF"/>
          <w:lang w:val="en-US" w:eastAsia="zh-CN"/>
        </w:rPr>
        <w:t>。推动红色资源保护利用工作精品化项目化，</w:t>
      </w:r>
      <w:r>
        <w:rPr>
          <w:rFonts w:hint="eastAsia" w:ascii="仿宋_GB2312" w:hAnsi="仿宋_GB2312" w:eastAsia="仿宋_GB2312" w:cs="仿宋_GB2312"/>
          <w:b w:val="0"/>
          <w:bCs/>
          <w:color w:val="auto"/>
          <w:sz w:val="32"/>
          <w:szCs w:val="32"/>
          <w:lang w:val="en-US" w:eastAsia="zh-CN"/>
        </w:rPr>
        <w:t>统筹重阳战壕公园等区级红色文化项目、积极推进龙归镇革命老区和红色遗址开发利用等项目</w:t>
      </w:r>
      <w:r>
        <w:rPr>
          <w:rFonts w:hint="eastAsia" w:ascii="仿宋_GB2312" w:hAnsi="仿宋_GB2312" w:eastAsia="仿宋_GB2312" w:cs="仿宋_GB2312"/>
          <w:i w:val="0"/>
          <w:iCs w:val="0"/>
          <w:caps w:val="0"/>
          <w:color w:val="000000"/>
          <w:spacing w:val="8"/>
          <w:sz w:val="32"/>
          <w:szCs w:val="32"/>
          <w:shd w:val="clear" w:fill="FFFFFF"/>
          <w:lang w:val="en-US" w:eastAsia="zh-CN"/>
        </w:rPr>
        <w:t>。把中共南方工作委员会南岸村交通站旧址活化利用及配套基础设施建设、山焦知青文化园提升建设列入重点谋划项目，已申请到专项建设资金200万元。近年来，申请到红色资源保护经费超过3000万元。支持旅行社开通山焦知青文化园红色旅游专线，丰富红色旅游产品供给，推动红色资源保护利用和文旅产业发展相得益彰。</w:t>
      </w:r>
    </w:p>
    <w:p>
      <w:pPr>
        <w:ind w:firstLine="640" w:firstLineChars="200"/>
        <w:jc w:val="both"/>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二、取得成效</w:t>
      </w:r>
    </w:p>
    <w:p>
      <w:pPr>
        <w:ind w:firstLine="675" w:firstLineChars="200"/>
        <w:jc w:val="both"/>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认定一批红色资源。</w:t>
      </w:r>
      <w:r>
        <w:rPr>
          <w:rFonts w:hint="eastAsia" w:ascii="仿宋_GB2312" w:hAnsi="仿宋_GB2312" w:eastAsia="仿宋_GB2312" w:cs="仿宋_GB2312"/>
          <w:i w:val="0"/>
          <w:iCs w:val="0"/>
          <w:caps w:val="0"/>
          <w:color w:val="000000"/>
          <w:spacing w:val="8"/>
          <w:sz w:val="32"/>
          <w:szCs w:val="32"/>
          <w:shd w:val="clear" w:fill="FFFFFF"/>
          <w:lang w:val="en-US" w:eastAsia="zh-CN"/>
        </w:rPr>
        <w:t>开展全区红色资源调查摸底工作，认定公布武江区红色革命遗址51个，统计红色标语16条，核定公布重阳镇侯屋村炮楼为武江区第二批革命文物名录（一般不可移动文物）。</w:t>
      </w:r>
    </w:p>
    <w:p>
      <w:pPr>
        <w:ind w:firstLine="675"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树立一批红色地标。</w:t>
      </w:r>
      <w:r>
        <w:rPr>
          <w:rFonts w:hint="eastAsia" w:ascii="仿宋_GB2312" w:hAnsi="仿宋_GB2312" w:eastAsia="仿宋_GB2312" w:cs="仿宋_GB2312"/>
          <w:i w:val="0"/>
          <w:iCs w:val="0"/>
          <w:caps w:val="0"/>
          <w:color w:val="000000"/>
          <w:spacing w:val="8"/>
          <w:sz w:val="32"/>
          <w:szCs w:val="32"/>
          <w:shd w:val="clear" w:fill="FFFFFF"/>
          <w:lang w:val="en-US" w:eastAsia="zh-CN"/>
        </w:rPr>
        <w:t>推荐暖水村溪水暴动指挥部旧址为中共韶光市委党校、广东南岭干部学院现场教学点。</w:t>
      </w:r>
      <w:r>
        <w:rPr>
          <w:rFonts w:hint="eastAsia" w:ascii="仿宋_GB2312" w:hAnsi="仿宋_GB2312" w:eastAsia="仿宋_GB2312" w:cs="仿宋_GB2312"/>
          <w:color w:val="auto"/>
          <w:sz w:val="32"/>
          <w:szCs w:val="32"/>
          <w:lang w:val="en-US" w:eastAsia="zh-CN"/>
        </w:rPr>
        <w:t>申请武江区重阳镇万侯村红色地名整体性设立特色标志、红色地名实体和相关周边环境维护改造项目，以重阳镇万侯村红色地名为契机，进一步保护好武江区红色地名标志，加强公众对红色地名的认知度和文化价值感知。</w:t>
      </w:r>
    </w:p>
    <w:p>
      <w:pPr>
        <w:ind w:firstLine="675" w:firstLineChars="200"/>
        <w:jc w:val="both"/>
        <w:rPr>
          <w:rFonts w:hint="default"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编撰一批红色文献。</w:t>
      </w:r>
      <w:r>
        <w:rPr>
          <w:rFonts w:hint="eastAsia" w:ascii="仿宋_GB2312" w:hAnsi="仿宋_GB2312" w:eastAsia="仿宋_GB2312" w:cs="仿宋_GB2312"/>
          <w:color w:val="auto"/>
          <w:sz w:val="32"/>
          <w:szCs w:val="32"/>
          <w:lang w:val="en-US" w:eastAsia="zh-CN"/>
        </w:rPr>
        <w:t>会同区党史办编撰</w:t>
      </w:r>
      <w:r>
        <w:rPr>
          <w:rFonts w:hint="eastAsia" w:ascii="仿宋_GB2312" w:hAnsi="仿宋_GB2312" w:eastAsia="仿宋_GB2312" w:cs="仿宋_GB2312"/>
          <w:color w:val="auto"/>
          <w:sz w:val="32"/>
          <w:szCs w:val="32"/>
          <w:lang w:val="en-US" w:eastAsia="zh-CN"/>
        </w:rPr>
        <w:t>《韶关市革命遗址大通览》初稿，正在核定《韶关市武江区革命遗址通览》。通过联系广东梅州市梅县区、大埔县等地方，实地采访村民，收集南岸交通站资料，编撰《香港文化名人大营救的重要中转站——南委南岸村交通站》文稿。撰写了《红色资源保护利用研究—以韶关市武江区为例》、《浅谈红色资源与乡村振兴的关系—以武江区为例》、“耙齿山反击战”等文章。</w:t>
      </w:r>
    </w:p>
    <w:p>
      <w:pPr>
        <w:ind w:firstLine="640" w:firstLineChars="200"/>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三、总结经验</w:t>
      </w:r>
    </w:p>
    <w:p>
      <w:pPr>
        <w:ind w:firstLine="675" w:firstLineChars="200"/>
        <w:jc w:val="both"/>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一是把普法宣传贯穿始终</w:t>
      </w:r>
      <w:r>
        <w:rPr>
          <w:rFonts w:hint="eastAsia" w:ascii="仿宋_GB2312" w:hAnsi="仿宋_GB2312" w:eastAsia="仿宋_GB2312" w:cs="仿宋_GB2312"/>
          <w:i w:val="0"/>
          <w:iCs w:val="0"/>
          <w:caps w:val="0"/>
          <w:color w:val="000000"/>
          <w:spacing w:val="8"/>
          <w:sz w:val="32"/>
          <w:szCs w:val="32"/>
          <w:shd w:val="clear" w:fill="FFFFFF"/>
          <w:lang w:val="en-US" w:eastAsia="zh-CN"/>
        </w:rPr>
        <w:t>。红色资源保护要形成“政府主导、社会参与”的合力，要把普法宣传贯穿红色资源保护利用全过程，切实提升依法保护、依法开发、依法利用的法治思维。</w:t>
      </w:r>
    </w:p>
    <w:p>
      <w:pPr>
        <w:ind w:firstLine="675" w:firstLineChars="200"/>
        <w:jc w:val="both"/>
        <w:rPr>
          <w:rFonts w:hint="default"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二是建立完善配套机制</w:t>
      </w:r>
      <w:r>
        <w:rPr>
          <w:rFonts w:hint="eastAsia" w:ascii="仿宋_GB2312" w:hAnsi="仿宋_GB2312" w:eastAsia="仿宋_GB2312" w:cs="仿宋_GB2312"/>
          <w:i w:val="0"/>
          <w:iCs w:val="0"/>
          <w:caps w:val="0"/>
          <w:color w:val="000000"/>
          <w:spacing w:val="8"/>
          <w:sz w:val="32"/>
          <w:szCs w:val="32"/>
          <w:shd w:val="clear" w:fill="FFFFFF"/>
          <w:lang w:val="en-US" w:eastAsia="zh-CN"/>
        </w:rPr>
        <w:t>。红色资源保护利用不仅要有法可依、还要有制可行，要建立健全切实可行的保护机制，形成至上而下、全面覆盖的联合保护合力，把政策法规落实到末端，打通依法推进红色资源保护利用“最后一公里”。</w:t>
      </w:r>
    </w:p>
    <w:p>
      <w:pPr>
        <w:keepNext w:val="0"/>
        <w:keepLines w:val="0"/>
        <w:widowControl/>
        <w:suppressLineNumbers w:val="0"/>
        <w:ind w:firstLine="675" w:firstLineChars="200"/>
        <w:jc w:val="both"/>
        <w:rPr>
          <w:rFonts w:hint="default"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三是以法治护航发展。</w:t>
      </w:r>
      <w:r>
        <w:rPr>
          <w:rFonts w:hint="eastAsia" w:ascii="仿宋_GB2312" w:hAnsi="仿宋_GB2312" w:eastAsia="仿宋_GB2312" w:cs="仿宋_GB2312"/>
          <w:i w:val="0"/>
          <w:iCs w:val="0"/>
          <w:caps w:val="0"/>
          <w:color w:val="000000"/>
          <w:spacing w:val="8"/>
          <w:sz w:val="32"/>
          <w:szCs w:val="32"/>
          <w:shd w:val="clear" w:fill="FFFFFF"/>
          <w:lang w:val="en-US" w:eastAsia="zh-CN"/>
        </w:rPr>
        <w:t>以政策法规为准绳，做好政策解读和执行，多措并举落实好各项工作任务。统筹兼顾社会效益和经济效益，促进红色资源保护与文旅产业发展相得益彰。在法治框架下开发好、利用好红色资源，依法依规守护好红色家底，让革命传统薪火相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iCs w:val="0"/>
          <w:caps w:val="0"/>
          <w:color w:val="000000"/>
          <w:spacing w:val="8"/>
          <w:sz w:val="32"/>
          <w:szCs w:val="32"/>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TliMzAyMDYyYTAyZDY3ZGEyMjcwYjc5Nzk0MTUifQ=="/>
  </w:docVars>
  <w:rsids>
    <w:rsidRoot w:val="00000000"/>
    <w:rsid w:val="00125861"/>
    <w:rsid w:val="005C088A"/>
    <w:rsid w:val="00DA3EA5"/>
    <w:rsid w:val="011863EE"/>
    <w:rsid w:val="01A544B3"/>
    <w:rsid w:val="028422ED"/>
    <w:rsid w:val="02EA018D"/>
    <w:rsid w:val="036068E4"/>
    <w:rsid w:val="037203C5"/>
    <w:rsid w:val="03E25F57"/>
    <w:rsid w:val="04115E30"/>
    <w:rsid w:val="04B0389B"/>
    <w:rsid w:val="050F6813"/>
    <w:rsid w:val="05B13426"/>
    <w:rsid w:val="060F2843"/>
    <w:rsid w:val="06287461"/>
    <w:rsid w:val="0736405C"/>
    <w:rsid w:val="0754675F"/>
    <w:rsid w:val="08D5567E"/>
    <w:rsid w:val="08FC70AE"/>
    <w:rsid w:val="098552F6"/>
    <w:rsid w:val="098B0432"/>
    <w:rsid w:val="09BC4A90"/>
    <w:rsid w:val="0A090A62"/>
    <w:rsid w:val="0A2E773B"/>
    <w:rsid w:val="0A6A0048"/>
    <w:rsid w:val="0A9450C5"/>
    <w:rsid w:val="0AC37758"/>
    <w:rsid w:val="0AC459AA"/>
    <w:rsid w:val="0B1D155E"/>
    <w:rsid w:val="0B8D0D72"/>
    <w:rsid w:val="0BBA4FFF"/>
    <w:rsid w:val="0BDA11FD"/>
    <w:rsid w:val="0CCA74C4"/>
    <w:rsid w:val="0D0E115E"/>
    <w:rsid w:val="0D241949"/>
    <w:rsid w:val="0D2941EA"/>
    <w:rsid w:val="0D4F1E8D"/>
    <w:rsid w:val="0D4F3069"/>
    <w:rsid w:val="0D7D0092"/>
    <w:rsid w:val="0D9378B6"/>
    <w:rsid w:val="0DC108C7"/>
    <w:rsid w:val="0DD028B8"/>
    <w:rsid w:val="0DD56120"/>
    <w:rsid w:val="0F0A1DF9"/>
    <w:rsid w:val="0F1B7B63"/>
    <w:rsid w:val="10BE2E9B"/>
    <w:rsid w:val="10FB7C4C"/>
    <w:rsid w:val="110C00AB"/>
    <w:rsid w:val="11164A85"/>
    <w:rsid w:val="12A54D4B"/>
    <w:rsid w:val="12C34799"/>
    <w:rsid w:val="130152C1"/>
    <w:rsid w:val="1356560D"/>
    <w:rsid w:val="136441CE"/>
    <w:rsid w:val="13765CAF"/>
    <w:rsid w:val="13CE1647"/>
    <w:rsid w:val="13FA068E"/>
    <w:rsid w:val="14171240"/>
    <w:rsid w:val="151B4D60"/>
    <w:rsid w:val="1525577A"/>
    <w:rsid w:val="16591D98"/>
    <w:rsid w:val="16F75359"/>
    <w:rsid w:val="17485BB5"/>
    <w:rsid w:val="175B7522"/>
    <w:rsid w:val="18574301"/>
    <w:rsid w:val="18ED6A14"/>
    <w:rsid w:val="18F6297D"/>
    <w:rsid w:val="191B532F"/>
    <w:rsid w:val="19677F5C"/>
    <w:rsid w:val="197E766C"/>
    <w:rsid w:val="19B337B9"/>
    <w:rsid w:val="19C77265"/>
    <w:rsid w:val="19D67B51"/>
    <w:rsid w:val="1A0D279E"/>
    <w:rsid w:val="1A2E2E40"/>
    <w:rsid w:val="1B75684C"/>
    <w:rsid w:val="1BC81072"/>
    <w:rsid w:val="1BEE12BF"/>
    <w:rsid w:val="1C4E77C9"/>
    <w:rsid w:val="1CAC44F0"/>
    <w:rsid w:val="1D2B7B0B"/>
    <w:rsid w:val="1D9D3ED0"/>
    <w:rsid w:val="1E646E41"/>
    <w:rsid w:val="1E761259"/>
    <w:rsid w:val="1E8C45D9"/>
    <w:rsid w:val="1F530AFF"/>
    <w:rsid w:val="202A40A9"/>
    <w:rsid w:val="20322F5E"/>
    <w:rsid w:val="20384A18"/>
    <w:rsid w:val="20B147CB"/>
    <w:rsid w:val="20C22534"/>
    <w:rsid w:val="21325907"/>
    <w:rsid w:val="21D342CD"/>
    <w:rsid w:val="22370D00"/>
    <w:rsid w:val="224F429B"/>
    <w:rsid w:val="226A2E83"/>
    <w:rsid w:val="22A9658B"/>
    <w:rsid w:val="22B95BC6"/>
    <w:rsid w:val="22C407E5"/>
    <w:rsid w:val="22D84291"/>
    <w:rsid w:val="22D8603F"/>
    <w:rsid w:val="22EE13BE"/>
    <w:rsid w:val="233174FD"/>
    <w:rsid w:val="23931F66"/>
    <w:rsid w:val="23B87C1E"/>
    <w:rsid w:val="23BB00A6"/>
    <w:rsid w:val="259326F1"/>
    <w:rsid w:val="265956E8"/>
    <w:rsid w:val="265E685B"/>
    <w:rsid w:val="269B7AAF"/>
    <w:rsid w:val="26D7469E"/>
    <w:rsid w:val="26EE4083"/>
    <w:rsid w:val="26FE1DEC"/>
    <w:rsid w:val="27111B1F"/>
    <w:rsid w:val="2769195B"/>
    <w:rsid w:val="27856069"/>
    <w:rsid w:val="285048C9"/>
    <w:rsid w:val="28BC5ABB"/>
    <w:rsid w:val="28FA43F5"/>
    <w:rsid w:val="299F0CF5"/>
    <w:rsid w:val="2A236AF5"/>
    <w:rsid w:val="2A6665E2"/>
    <w:rsid w:val="2BC03B14"/>
    <w:rsid w:val="2C26606D"/>
    <w:rsid w:val="2CCB09C2"/>
    <w:rsid w:val="2D483DC1"/>
    <w:rsid w:val="2D8F3594"/>
    <w:rsid w:val="2E33681F"/>
    <w:rsid w:val="2E426A62"/>
    <w:rsid w:val="2E6E3CFB"/>
    <w:rsid w:val="2E903C71"/>
    <w:rsid w:val="2F6C023B"/>
    <w:rsid w:val="2F9037FD"/>
    <w:rsid w:val="2FB35E69"/>
    <w:rsid w:val="2FCF4325"/>
    <w:rsid w:val="303D5733"/>
    <w:rsid w:val="30A367D5"/>
    <w:rsid w:val="30BF439A"/>
    <w:rsid w:val="3172765E"/>
    <w:rsid w:val="322C5A5F"/>
    <w:rsid w:val="32E427DE"/>
    <w:rsid w:val="33E52369"/>
    <w:rsid w:val="33FB1B8D"/>
    <w:rsid w:val="34AD39FE"/>
    <w:rsid w:val="354B6B44"/>
    <w:rsid w:val="36062A6B"/>
    <w:rsid w:val="36653C36"/>
    <w:rsid w:val="372238D5"/>
    <w:rsid w:val="376E08C8"/>
    <w:rsid w:val="38EA0422"/>
    <w:rsid w:val="3A555D6F"/>
    <w:rsid w:val="3A922B1F"/>
    <w:rsid w:val="3B2D43E9"/>
    <w:rsid w:val="3B3360B0"/>
    <w:rsid w:val="3C0E458F"/>
    <w:rsid w:val="3C5B265E"/>
    <w:rsid w:val="3CB90837"/>
    <w:rsid w:val="3D956BAE"/>
    <w:rsid w:val="3E3E7246"/>
    <w:rsid w:val="3F6F51DD"/>
    <w:rsid w:val="3F7153F9"/>
    <w:rsid w:val="3F89533D"/>
    <w:rsid w:val="40300E10"/>
    <w:rsid w:val="41654AEA"/>
    <w:rsid w:val="417E5BAB"/>
    <w:rsid w:val="41EA4FEF"/>
    <w:rsid w:val="42417305"/>
    <w:rsid w:val="424E37D0"/>
    <w:rsid w:val="433E3844"/>
    <w:rsid w:val="435C016E"/>
    <w:rsid w:val="43C71A8C"/>
    <w:rsid w:val="43C73BDB"/>
    <w:rsid w:val="442C5D93"/>
    <w:rsid w:val="446C5274"/>
    <w:rsid w:val="44DC3315"/>
    <w:rsid w:val="452C3067"/>
    <w:rsid w:val="455C26A8"/>
    <w:rsid w:val="458C4D3B"/>
    <w:rsid w:val="45905EAD"/>
    <w:rsid w:val="45C06792"/>
    <w:rsid w:val="461E170B"/>
    <w:rsid w:val="465D2233"/>
    <w:rsid w:val="47A143A2"/>
    <w:rsid w:val="47A7342F"/>
    <w:rsid w:val="47F00E85"/>
    <w:rsid w:val="48541414"/>
    <w:rsid w:val="48981C49"/>
    <w:rsid w:val="493F3E72"/>
    <w:rsid w:val="4A9B5A20"/>
    <w:rsid w:val="4AB4263E"/>
    <w:rsid w:val="4B404E9B"/>
    <w:rsid w:val="4B6D2F19"/>
    <w:rsid w:val="4BE51056"/>
    <w:rsid w:val="4C6205A3"/>
    <w:rsid w:val="4CF663D4"/>
    <w:rsid w:val="4D7F6F33"/>
    <w:rsid w:val="4D930C30"/>
    <w:rsid w:val="4DC62DB4"/>
    <w:rsid w:val="4DC82688"/>
    <w:rsid w:val="4DD54DA5"/>
    <w:rsid w:val="4E54216E"/>
    <w:rsid w:val="4F696075"/>
    <w:rsid w:val="4F8C3B89"/>
    <w:rsid w:val="4F9A44F8"/>
    <w:rsid w:val="4FFE5524"/>
    <w:rsid w:val="505A51B9"/>
    <w:rsid w:val="515A3F3F"/>
    <w:rsid w:val="52CF44B9"/>
    <w:rsid w:val="53CE651E"/>
    <w:rsid w:val="54D1276A"/>
    <w:rsid w:val="54D41E1E"/>
    <w:rsid w:val="55B61960"/>
    <w:rsid w:val="55E71B19"/>
    <w:rsid w:val="560426CB"/>
    <w:rsid w:val="5627460C"/>
    <w:rsid w:val="56530F5D"/>
    <w:rsid w:val="566C7598"/>
    <w:rsid w:val="569C6DA8"/>
    <w:rsid w:val="572F5526"/>
    <w:rsid w:val="57A852D8"/>
    <w:rsid w:val="581D1822"/>
    <w:rsid w:val="58223AF1"/>
    <w:rsid w:val="585F1E3B"/>
    <w:rsid w:val="587873A1"/>
    <w:rsid w:val="58937D37"/>
    <w:rsid w:val="58B77EC9"/>
    <w:rsid w:val="597D4C6F"/>
    <w:rsid w:val="59AD307A"/>
    <w:rsid w:val="59B44408"/>
    <w:rsid w:val="59C3464B"/>
    <w:rsid w:val="59F1740B"/>
    <w:rsid w:val="5A0031AA"/>
    <w:rsid w:val="5AC97A40"/>
    <w:rsid w:val="5AE825BC"/>
    <w:rsid w:val="5AFA409D"/>
    <w:rsid w:val="5BB10BFF"/>
    <w:rsid w:val="5BF31218"/>
    <w:rsid w:val="5C1B730A"/>
    <w:rsid w:val="5C732359"/>
    <w:rsid w:val="5CD54DC2"/>
    <w:rsid w:val="5D26561D"/>
    <w:rsid w:val="5D2B6790"/>
    <w:rsid w:val="5DAA7FFC"/>
    <w:rsid w:val="5E3478C6"/>
    <w:rsid w:val="5ECD013E"/>
    <w:rsid w:val="6037544B"/>
    <w:rsid w:val="607466A0"/>
    <w:rsid w:val="60AF592A"/>
    <w:rsid w:val="610A2B60"/>
    <w:rsid w:val="61477910"/>
    <w:rsid w:val="61AB60F1"/>
    <w:rsid w:val="61CA2A1B"/>
    <w:rsid w:val="63381C06"/>
    <w:rsid w:val="638906B4"/>
    <w:rsid w:val="63AE1EC8"/>
    <w:rsid w:val="645B3DFE"/>
    <w:rsid w:val="647924D6"/>
    <w:rsid w:val="647C6246"/>
    <w:rsid w:val="64BE438D"/>
    <w:rsid w:val="65876E75"/>
    <w:rsid w:val="65962C14"/>
    <w:rsid w:val="65A478BB"/>
    <w:rsid w:val="667271DD"/>
    <w:rsid w:val="668F1B3D"/>
    <w:rsid w:val="673D77EB"/>
    <w:rsid w:val="683C5CF5"/>
    <w:rsid w:val="699A6627"/>
    <w:rsid w:val="69FA5E67"/>
    <w:rsid w:val="6A6B466F"/>
    <w:rsid w:val="6B1B42CF"/>
    <w:rsid w:val="6B2A62D8"/>
    <w:rsid w:val="6BEE7306"/>
    <w:rsid w:val="6BFA10DE"/>
    <w:rsid w:val="6C661592"/>
    <w:rsid w:val="6C8B4AD3"/>
    <w:rsid w:val="6E7F2DDF"/>
    <w:rsid w:val="6ED07197"/>
    <w:rsid w:val="6FCA1E38"/>
    <w:rsid w:val="6FEF7AF1"/>
    <w:rsid w:val="70875F7B"/>
    <w:rsid w:val="70952446"/>
    <w:rsid w:val="711F7F62"/>
    <w:rsid w:val="713E63D0"/>
    <w:rsid w:val="714D2D21"/>
    <w:rsid w:val="71972B8A"/>
    <w:rsid w:val="71D276C4"/>
    <w:rsid w:val="72181E6B"/>
    <w:rsid w:val="72BC63B0"/>
    <w:rsid w:val="72D37256"/>
    <w:rsid w:val="7303644A"/>
    <w:rsid w:val="738E3F84"/>
    <w:rsid w:val="740A4EF9"/>
    <w:rsid w:val="742E508B"/>
    <w:rsid w:val="752E10BB"/>
    <w:rsid w:val="756A5E7A"/>
    <w:rsid w:val="75D43A11"/>
    <w:rsid w:val="760A11E0"/>
    <w:rsid w:val="76BB24DB"/>
    <w:rsid w:val="76E539FB"/>
    <w:rsid w:val="775C313C"/>
    <w:rsid w:val="778E659F"/>
    <w:rsid w:val="78104CF5"/>
    <w:rsid w:val="794C38BE"/>
    <w:rsid w:val="7A212F9C"/>
    <w:rsid w:val="7B036ACB"/>
    <w:rsid w:val="7C5C02BC"/>
    <w:rsid w:val="7CB47DAA"/>
    <w:rsid w:val="7D621902"/>
    <w:rsid w:val="7D6C09D3"/>
    <w:rsid w:val="7DB83C18"/>
    <w:rsid w:val="7E1A2753"/>
    <w:rsid w:val="7EF02F3D"/>
    <w:rsid w:val="7F1D01D6"/>
    <w:rsid w:val="7F482D79"/>
    <w:rsid w:val="7F7B6CAB"/>
    <w:rsid w:val="7FEC5DFB"/>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cs="Times New Roman"/>
      <w:b/>
      <w:sz w:val="32"/>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123</dc:creator>
  <cp:lastModifiedBy>123</cp:lastModifiedBy>
  <dcterms:modified xsi:type="dcterms:W3CDTF">2023-11-17T00:27:51Z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364718F7AC514CF59CCD9B2E6B48AA54_12</vt:lpwstr>
  </property>
</Properties>
</file>