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right="0"/>
        <w:jc w:val="left"/>
        <w:textAlignment w:val="auto"/>
        <w:rPr>
          <w:rFonts w:hint="eastAsia" w:ascii="黑体" w:hAnsi="黑体" w:eastAsia="黑体" w:cs="黑体"/>
          <w:i w:val="0"/>
          <w:iCs w:val="0"/>
          <w:caps w:val="0"/>
          <w:color w:val="191919"/>
          <w:spacing w:val="0"/>
          <w:sz w:val="32"/>
          <w:szCs w:val="32"/>
          <w:shd w:val="clear" w:color="auto" w:fill="FFFFFF"/>
        </w:rPr>
      </w:pPr>
      <w:r>
        <w:rPr>
          <w:rFonts w:hint="eastAsia" w:ascii="黑体" w:hAnsi="黑体" w:eastAsia="黑体" w:cs="黑体"/>
          <w:i w:val="0"/>
          <w:iCs w:val="0"/>
          <w:caps w:val="0"/>
          <w:color w:val="191919"/>
          <w:spacing w:val="0"/>
          <w:sz w:val="32"/>
          <w:szCs w:val="32"/>
          <w:shd w:val="clear" w:color="auto" w:fill="FFFFFF"/>
        </w:rPr>
        <w:t>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right="0"/>
        <w:jc w:val="center"/>
        <w:textAlignment w:val="auto"/>
        <w:rPr>
          <w:rFonts w:hint="eastAsia" w:ascii="仿宋_GB2312" w:hAnsi="仿宋_GB2312" w:eastAsia="仿宋_GB2312" w:cs="仿宋_GB2312"/>
          <w:b/>
          <w:bCs/>
          <w:spacing w:val="9"/>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right="0"/>
        <w:jc w:val="center"/>
        <w:textAlignment w:val="auto"/>
        <w:rPr>
          <w:rFonts w:hint="eastAsia" w:ascii="仿宋_GB2312" w:hAnsi="仿宋_GB2312" w:eastAsia="仿宋_GB2312" w:cs="仿宋_GB2312"/>
          <w:b/>
          <w:bCs/>
          <w:i w:val="0"/>
          <w:iCs w:val="0"/>
          <w:caps w:val="0"/>
          <w:color w:val="191919"/>
          <w:spacing w:val="0"/>
          <w:sz w:val="44"/>
          <w:szCs w:val="44"/>
          <w:shd w:val="clear" w:color="auto" w:fill="FFFFFF"/>
        </w:rPr>
      </w:pPr>
      <w:bookmarkStart w:id="0" w:name="_GoBack"/>
      <w:r>
        <w:rPr>
          <w:rFonts w:hint="eastAsia" w:ascii="仿宋_GB2312" w:hAnsi="仿宋_GB2312" w:eastAsia="仿宋_GB2312" w:cs="仿宋_GB2312"/>
          <w:b/>
          <w:bCs/>
          <w:spacing w:val="9"/>
          <w:sz w:val="44"/>
          <w:szCs w:val="44"/>
        </w:rPr>
        <w:t>广东省消防安全重点单位界定标准</w:t>
      </w:r>
      <w:bookmarkEnd w:id="0"/>
    </w:p>
    <w:p>
      <w:pPr>
        <w:ind w:firstLine="435"/>
        <w:rPr>
          <w:rFonts w:hint="eastAsia" w:ascii="黑体" w:hAnsi="黑体" w:eastAsia="黑体" w:cs="黑体"/>
          <w:snapToGrid w:val="0"/>
          <w:color w:val="000000"/>
          <w:spacing w:val="6"/>
          <w:kern w:val="0"/>
          <w:sz w:val="31"/>
          <w:szCs w:val="31"/>
          <w:lang w:eastAsia="en-US"/>
        </w:rPr>
      </w:pP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黑体" w:hAnsi="黑体" w:eastAsia="黑体" w:cs="黑体"/>
          <w:snapToGrid w:val="0"/>
          <w:color w:val="000000"/>
          <w:spacing w:val="6"/>
          <w:kern w:val="0"/>
          <w:sz w:val="31"/>
          <w:szCs w:val="31"/>
          <w:lang w:eastAsia="en-US"/>
        </w:rPr>
        <w:t>一、重要公共建筑：</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（一）地市级及以上的党委、人大、政府、政协、人民检察院、人民法院。</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（二）设计使用人数或座位数超过 1500 人（座）的体育馆、会堂、影剧院、公共娱乐场所、证券交易所等公共室内场所。</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（三）藏书量超过 50 万册的图书馆。</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（四）地市级及以上，且设有不可移动建筑物的文物保护单位。</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（五）地市级及以上博物馆、展览馆、档案馆。</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（六）省级及以上的银行等金融机构。</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（七）省级及以上的广播电视台。</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（八）住宿人数超过 500 人的寄宿制学校。</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（九）使用人数超过 200 人的幼儿园、托儿所、残障人员康复设施；</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（十）150 张床位及以上的医院、老年人照料设施。</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（十一）地下轨道交通车辆段、基地、控制中心和 2 条线路及以上的换乘枢纽站点。</w:t>
      </w:r>
    </w:p>
    <w:p>
      <w:pPr>
        <w:ind w:firstLine="435"/>
        <w:rPr>
          <w:rFonts w:hint="eastAsia" w:ascii="黑体" w:hAnsi="黑体" w:eastAsia="黑体" w:cs="黑体"/>
          <w:snapToGrid w:val="0"/>
          <w:color w:val="000000"/>
          <w:spacing w:val="6"/>
          <w:kern w:val="0"/>
          <w:sz w:val="31"/>
          <w:szCs w:val="31"/>
          <w:lang w:eastAsia="en-US"/>
        </w:rPr>
      </w:pPr>
      <w:r>
        <w:rPr>
          <w:rFonts w:hint="eastAsia" w:ascii="黑体" w:hAnsi="黑体" w:eastAsia="黑体" w:cs="黑体"/>
          <w:snapToGrid w:val="0"/>
          <w:color w:val="000000"/>
          <w:spacing w:val="6"/>
          <w:kern w:val="0"/>
          <w:sz w:val="31"/>
          <w:szCs w:val="31"/>
          <w:lang w:eastAsia="en-US"/>
        </w:rPr>
        <w:t>二、其他公共建筑：</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（十二）一类高层公共建筑。</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（十三）任一层建筑面积大于 1500 平方米或总建筑面积大于 3000 平方米的商店（商场）建筑（包含但不限于商业综合体、步行街、商店、市场、商业综合楼等）。</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（十四）任一层建筑面积大于 1500 平方米或总面积大于3000 平方米的宾馆。</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（十五）任一层建筑面积大于 1500 平方米或总建筑面积大于 3000 平方米的餐饮场所（饭店）。</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（十六）候车厅、候船厅任一层建筑面积大于 1500 平方米或总建筑面积大于 3000 平方米的客运车站和客运码头；</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（十七） 民用机场。</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（十八）建筑面积大于 1500 平方米的城镇邮政、通信枢纽单位。</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（十九）国家和省级重点工程施工现场。</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（二十）部属、省属科研单位</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（二十一）建筑面积在 3000 平方米以上的大型游客服务中心、大型高速公路服务区；</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（二十二）监狱和司法行政戒毒所</w:t>
      </w:r>
    </w:p>
    <w:p>
      <w:pPr>
        <w:ind w:firstLine="435"/>
        <w:rPr>
          <w:rFonts w:hint="eastAsia" w:ascii="黑体" w:hAnsi="黑体" w:eastAsia="黑体" w:cs="黑体"/>
          <w:snapToGrid w:val="0"/>
          <w:color w:val="000000"/>
          <w:spacing w:val="6"/>
          <w:kern w:val="0"/>
          <w:sz w:val="31"/>
          <w:szCs w:val="31"/>
          <w:lang w:eastAsia="en-US"/>
        </w:rPr>
      </w:pPr>
      <w:r>
        <w:rPr>
          <w:rFonts w:hint="eastAsia" w:ascii="黑体" w:hAnsi="黑体" w:eastAsia="黑体" w:cs="黑体"/>
          <w:snapToGrid w:val="0"/>
          <w:color w:val="000000"/>
          <w:spacing w:val="6"/>
          <w:kern w:val="0"/>
          <w:sz w:val="31"/>
          <w:szCs w:val="31"/>
          <w:lang w:eastAsia="en-US"/>
        </w:rPr>
        <w:t>三、工业建筑：</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（二十三）装机容量 200MW 以上的火力发电厂，电压 220kv 以上的地区变电站、换流站，二级以上国家电网公司，设区的市级以上电力调度中心。</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（二十四）设有单体建筑面积大于 2000 平方米的甲类厂房， 或者单体建筑面积大于 6000 平方米的乙类厂房，或者单体建筑面积大于 3000 平方米乙类高层厂房的企业。</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（二十五） 日装瓶数量大于 3000 瓶的液化石油气储配站。</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（二十六）设有占地面积大于 300 平方米的甲、 乙类仓库， 占地面积大于 1500 平方米或者总建筑面积大于 3000 平方米丙类仓库的企业。</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（二十七）装置设备、罐区、建筑区占地面积大于 10000 平方米的易燃易爆化学物品生产、充装、储存、供应、销售企业；</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（二十八）同一建筑内员工在 100 人以上的服装、鞋帽、玩 具、食品加工、电子生产、医药、家具、电镀等劳动密集型生产、加工企业。</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（二十九）国家储备粮库、总储量在 10000 吨以上的其他粮库。</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（三十）设有总储量 500 吨以上棉库的企业。</w:t>
      </w:r>
    </w:p>
    <w:p>
      <w:pPr>
        <w:ind w:firstLine="435"/>
        <w:rPr>
          <w:rFonts w:hint="eastAsia" w:ascii="仿宋_GB2312" w:hAnsi="仿宋_GB2312" w:eastAsia="仿宋_GB2312" w:cs="仿宋_GB2312"/>
          <w:i w:val="0"/>
          <w:iCs w:val="0"/>
          <w:caps w:val="0"/>
          <w:color w:val="191919"/>
          <w:spacing w:val="0"/>
          <w:sz w:val="32"/>
          <w:szCs w:val="32"/>
          <w:shd w:val="clear" w:color="auto" w:fill="FFFFFF"/>
        </w:rPr>
      </w:pPr>
      <w:r>
        <w:rPr>
          <w:rFonts w:hint="eastAsia" w:ascii="仿宋_GB2312" w:hAnsi="仿宋_GB2312" w:eastAsia="仿宋_GB2312" w:cs="仿宋_GB2312"/>
          <w:i w:val="0"/>
          <w:iCs w:val="0"/>
          <w:caps w:val="0"/>
          <w:color w:val="191919"/>
          <w:spacing w:val="0"/>
          <w:sz w:val="32"/>
          <w:szCs w:val="32"/>
          <w:shd w:val="clear" w:color="auto" w:fill="FFFFFF"/>
        </w:rPr>
        <w:t>（三十一）设有总储量 10000 立方米以上木材堆场的企业。</w:t>
      </w:r>
    </w:p>
    <w:p>
      <w:pPr>
        <w:ind w:firstLine="435"/>
        <w:rPr>
          <w:rFonts w:hint="eastAsia" w:ascii="黑体" w:hAnsi="黑体" w:eastAsia="黑体" w:cs="黑体"/>
          <w:snapToGrid w:val="0"/>
          <w:color w:val="000000"/>
          <w:spacing w:val="6"/>
          <w:kern w:val="0"/>
          <w:sz w:val="31"/>
          <w:szCs w:val="31"/>
          <w:lang w:eastAsia="en-US"/>
        </w:rPr>
      </w:pPr>
      <w:r>
        <w:rPr>
          <w:rFonts w:hint="eastAsia" w:ascii="黑体" w:hAnsi="黑体" w:eastAsia="黑体" w:cs="黑体"/>
          <w:snapToGrid w:val="0"/>
          <w:color w:val="000000"/>
          <w:spacing w:val="6"/>
          <w:kern w:val="0"/>
          <w:sz w:val="31"/>
          <w:szCs w:val="31"/>
          <w:lang w:eastAsia="en-US"/>
        </w:rPr>
        <w:t>四、其他发生火灾可能性较大以及一旦发生火灾可能造成重大人身伤亡或者财产损失的单位：</w:t>
      </w:r>
    </w:p>
    <w:p>
      <w:pPr>
        <w:spacing w:line="57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i w:val="0"/>
          <w:iCs w:val="0"/>
          <w:caps w:val="0"/>
          <w:color w:val="191919"/>
          <w:spacing w:val="0"/>
          <w:sz w:val="32"/>
          <w:szCs w:val="32"/>
          <w:shd w:val="clear" w:color="auto" w:fill="FFFFFF"/>
        </w:rPr>
        <w:t>（三十二）大型矿山企业。</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TE5ZGVhODBkMGVlODcyZTFjZTc1ZDhlODU3NTcifQ=="/>
    <w:docVar w:name="KSO_WPS_MARK_KEY" w:val="58cb3dd8-51c7-4106-83e6-aac12f34e083"/>
  </w:docVars>
  <w:rsids>
    <w:rsidRoot w:val="382B2C2A"/>
    <w:rsid w:val="006B31C3"/>
    <w:rsid w:val="016B230B"/>
    <w:rsid w:val="020C7186"/>
    <w:rsid w:val="0CA710DF"/>
    <w:rsid w:val="0F3F7CF5"/>
    <w:rsid w:val="140137CB"/>
    <w:rsid w:val="147B6AB9"/>
    <w:rsid w:val="1BB13D28"/>
    <w:rsid w:val="1FC3402A"/>
    <w:rsid w:val="2724711D"/>
    <w:rsid w:val="2751016E"/>
    <w:rsid w:val="291122AA"/>
    <w:rsid w:val="312B5ED3"/>
    <w:rsid w:val="33A37A02"/>
    <w:rsid w:val="37FC4126"/>
    <w:rsid w:val="382B2C2A"/>
    <w:rsid w:val="3A646BF6"/>
    <w:rsid w:val="3C014951"/>
    <w:rsid w:val="3CED6733"/>
    <w:rsid w:val="40A315E2"/>
    <w:rsid w:val="44C63AF1"/>
    <w:rsid w:val="477E6905"/>
    <w:rsid w:val="47E516F1"/>
    <w:rsid w:val="49307A8A"/>
    <w:rsid w:val="4A6F0787"/>
    <w:rsid w:val="4B4F2D9B"/>
    <w:rsid w:val="4DAA6362"/>
    <w:rsid w:val="59D90361"/>
    <w:rsid w:val="5A5C665B"/>
    <w:rsid w:val="5C55650D"/>
    <w:rsid w:val="5F40611E"/>
    <w:rsid w:val="601D3B18"/>
    <w:rsid w:val="74277859"/>
    <w:rsid w:val="75C57A68"/>
    <w:rsid w:val="79073835"/>
    <w:rsid w:val="7B20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eastAsia="宋体" w:cs="Times New Roman"/>
      <w:sz w:val="21"/>
      <w:szCs w:val="20"/>
    </w:rPr>
  </w:style>
  <w:style w:type="paragraph" w:styleId="3">
    <w:name w:val="Body Text"/>
    <w:basedOn w:val="1"/>
    <w:autoRedefine/>
    <w:semiHidden/>
    <w:qFormat/>
    <w:uiPriority w:val="0"/>
    <w:rPr>
      <w:rFonts w:ascii="仿宋" w:hAnsi="仿宋" w:eastAsia="仿宋" w:cs="仿宋"/>
      <w:sz w:val="30"/>
      <w:szCs w:val="30"/>
      <w:lang w:val="en-US" w:eastAsia="en-US" w:bidi="ar-SA"/>
    </w:rPr>
  </w:style>
  <w:style w:type="paragraph" w:styleId="4">
    <w:name w:val="Body Text Indent"/>
    <w:basedOn w:val="1"/>
    <w:next w:val="2"/>
    <w:autoRedefine/>
    <w:qFormat/>
    <w:uiPriority w:val="0"/>
    <w:pPr>
      <w:spacing w:after="120" w:afterLines="0"/>
      <w:ind w:left="420" w:leftChars="200"/>
    </w:p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7">
    <w:name w:val="Body Text First Indent 2"/>
    <w:basedOn w:val="4"/>
    <w:autoRedefine/>
    <w:qFormat/>
    <w:uiPriority w:val="0"/>
    <w:pPr>
      <w:ind w:firstLine="420" w:firstLineChars="200"/>
    </w:pPr>
    <w:rPr>
      <w:rFonts w:ascii="Calibri" w:hAnsi="Calibri"/>
      <w:szCs w:val="22"/>
    </w:rPr>
  </w:style>
  <w:style w:type="character" w:styleId="10">
    <w:name w:val="Strong"/>
    <w:basedOn w:val="9"/>
    <w:autoRedefine/>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4156</Words>
  <Characters>4478</Characters>
  <Lines>0</Lines>
  <Paragraphs>0</Paragraphs>
  <TotalTime>22</TotalTime>
  <ScaleCrop>false</ScaleCrop>
  <LinksUpToDate>false</LinksUpToDate>
  <CharactersWithSpaces>4879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2022-11-11T03:13:00Z</dcterms:created>
  <dc:creator>WPS_1654499699</dc:creator>
  <cp:lastModifiedBy>Administrator</cp:lastModifiedBy>
  <dcterms:modified xsi:type="dcterms:W3CDTF">2024-02-01T06:59:00Z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E7DBE3C2C165479BB3218CFE2BEE7CF4_13</vt:lpwstr>
  </property>
</Properties>
</file>