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94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  <w:r>
        <w:rPr>
          <w:rFonts w:hint="eastAsia" w:ascii="黑体" w:eastAsia="黑体"/>
          <w:sz w:val="32"/>
          <w:szCs w:val="32"/>
        </w:rPr>
        <w:t>：</w:t>
      </w:r>
    </w:p>
    <w:p>
      <w:pPr>
        <w:adjustRightInd w:val="0"/>
        <w:snapToGrid w:val="0"/>
        <w:spacing w:line="594" w:lineRule="exact"/>
        <w:rPr>
          <w:rFonts w:ascii="黑体" w:eastAsia="黑体"/>
          <w:sz w:val="32"/>
          <w:szCs w:val="32"/>
        </w:rPr>
      </w:pPr>
    </w:p>
    <w:p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广东省火灾高危单位界定标准</w:t>
      </w:r>
      <w:bookmarkEnd w:id="0"/>
    </w:p>
    <w:p>
      <w:pPr>
        <w:adjustRightInd w:val="0"/>
        <w:snapToGrid w:val="0"/>
        <w:spacing w:line="57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（高危单位必须是重点单位）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黑体" w:eastAsia="黑体"/>
          <w:color w:val="000000"/>
        </w:rPr>
      </w:pPr>
    </w:p>
    <w:p>
      <w:pPr>
        <w:adjustRightInd w:val="0"/>
        <w:snapToGrid w:val="0"/>
        <w:spacing w:line="594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第三条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本规定所称火灾高危单位，是指消防安全重点单位中容易发生造成群死群伤、重大财产损失或重大社会影响的火灾的单位或场所。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符合下列条件之一的消防安全重点单位应确定为火灾高危单位：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（一）建筑面积超过</w:t>
      </w:r>
      <w:r>
        <w:rPr>
          <w:rFonts w:ascii="仿宋_GB2312" w:eastAsia="仿宋_GB2312"/>
          <w:color w:val="000000"/>
          <w:sz w:val="32"/>
          <w:szCs w:val="32"/>
        </w:rPr>
        <w:t>15000</w:t>
      </w:r>
      <w:r>
        <w:rPr>
          <w:rFonts w:hint="eastAsia" w:ascii="仿宋_GB2312" w:eastAsia="仿宋_GB2312"/>
          <w:color w:val="000000"/>
          <w:sz w:val="32"/>
          <w:szCs w:val="32"/>
        </w:rPr>
        <w:t>平方米的下列场所：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1.</w:t>
      </w:r>
      <w:r>
        <w:rPr>
          <w:rFonts w:hint="eastAsia" w:ascii="仿宋_GB2312" w:eastAsia="仿宋_GB2312"/>
          <w:color w:val="000000"/>
          <w:sz w:val="32"/>
          <w:szCs w:val="32"/>
        </w:rPr>
        <w:t>商场、市场、会堂、展览馆；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2.</w:t>
      </w:r>
      <w:r>
        <w:rPr>
          <w:rFonts w:hint="eastAsia" w:ascii="仿宋_GB2312" w:eastAsia="仿宋_GB2312"/>
          <w:color w:val="000000"/>
          <w:sz w:val="32"/>
          <w:szCs w:val="32"/>
        </w:rPr>
        <w:t>综合经营购物、餐饮、休闲、娱乐、会议、展览等</w:t>
      </w:r>
      <w:r>
        <w:rPr>
          <w:rFonts w:ascii="仿宋_GB2312" w:eastAsia="仿宋_GB2312"/>
          <w:color w:val="000000"/>
          <w:sz w:val="32"/>
          <w:szCs w:val="32"/>
        </w:rPr>
        <w:t>3</w:t>
      </w:r>
      <w:r>
        <w:rPr>
          <w:rFonts w:hint="eastAsia" w:ascii="仿宋_GB2312" w:eastAsia="仿宋_GB2312"/>
          <w:color w:val="000000"/>
          <w:sz w:val="32"/>
          <w:szCs w:val="32"/>
        </w:rPr>
        <w:t>个以上项目的公众聚集场所；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（二）看台座位数量超过</w:t>
      </w:r>
      <w:r>
        <w:rPr>
          <w:rFonts w:ascii="仿宋_GB2312" w:eastAsia="仿宋_GB2312"/>
          <w:color w:val="000000"/>
          <w:sz w:val="32"/>
          <w:szCs w:val="32"/>
        </w:rPr>
        <w:t>25000</w:t>
      </w:r>
      <w:r>
        <w:rPr>
          <w:rFonts w:hint="eastAsia" w:ascii="仿宋_GB2312" w:eastAsia="仿宋_GB2312"/>
          <w:color w:val="000000"/>
          <w:sz w:val="32"/>
          <w:szCs w:val="32"/>
        </w:rPr>
        <w:t>个的体育场，看台座位数量超过</w:t>
      </w:r>
      <w:r>
        <w:rPr>
          <w:rFonts w:ascii="仿宋_GB2312" w:eastAsia="仿宋_GB2312"/>
          <w:color w:val="000000"/>
          <w:sz w:val="32"/>
          <w:szCs w:val="32"/>
        </w:rPr>
        <w:t>8000</w:t>
      </w:r>
      <w:r>
        <w:rPr>
          <w:rFonts w:hint="eastAsia" w:ascii="仿宋_GB2312" w:eastAsia="仿宋_GB2312"/>
          <w:color w:val="000000"/>
          <w:sz w:val="32"/>
          <w:szCs w:val="32"/>
        </w:rPr>
        <w:t>个的体育馆；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（三）建筑面积超过</w:t>
      </w:r>
      <w:r>
        <w:rPr>
          <w:rFonts w:ascii="仿宋_GB2312" w:eastAsia="仿宋_GB2312"/>
          <w:color w:val="000000"/>
          <w:sz w:val="32"/>
          <w:szCs w:val="32"/>
        </w:rPr>
        <w:t>2000</w:t>
      </w:r>
      <w:r>
        <w:rPr>
          <w:rFonts w:hint="eastAsia" w:ascii="仿宋_GB2312" w:eastAsia="仿宋_GB2312"/>
          <w:color w:val="000000"/>
          <w:sz w:val="32"/>
          <w:szCs w:val="32"/>
        </w:rPr>
        <w:t>平方米的歌舞娱乐放映游艺场所；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（四）床位数超过</w:t>
      </w:r>
      <w:r>
        <w:rPr>
          <w:rFonts w:ascii="仿宋_GB2312" w:eastAsia="仿宋_GB2312"/>
          <w:color w:val="000000"/>
          <w:sz w:val="32"/>
          <w:szCs w:val="32"/>
        </w:rPr>
        <w:t>500</w:t>
      </w:r>
      <w:r>
        <w:rPr>
          <w:rFonts w:hint="eastAsia" w:ascii="仿宋_GB2312" w:eastAsia="仿宋_GB2312"/>
          <w:color w:val="000000"/>
          <w:sz w:val="32"/>
          <w:szCs w:val="32"/>
        </w:rPr>
        <w:t>个的宾馆、饭店，床位数超过</w:t>
      </w:r>
      <w:r>
        <w:rPr>
          <w:rFonts w:ascii="仿宋_GB2312" w:eastAsia="仿宋_GB2312"/>
          <w:color w:val="000000"/>
          <w:sz w:val="32"/>
          <w:szCs w:val="32"/>
        </w:rPr>
        <w:t>500</w:t>
      </w:r>
      <w:r>
        <w:rPr>
          <w:rFonts w:hint="eastAsia" w:ascii="仿宋_GB2312" w:eastAsia="仿宋_GB2312"/>
          <w:color w:val="000000"/>
          <w:sz w:val="32"/>
          <w:szCs w:val="32"/>
        </w:rPr>
        <w:t>个的医院、养老院、福利院，床位数超过</w:t>
      </w:r>
      <w:r>
        <w:rPr>
          <w:rFonts w:ascii="仿宋_GB2312" w:eastAsia="仿宋_GB2312"/>
          <w:color w:val="000000"/>
          <w:sz w:val="32"/>
          <w:szCs w:val="32"/>
        </w:rPr>
        <w:t>10000</w:t>
      </w:r>
      <w:r>
        <w:rPr>
          <w:rFonts w:hint="eastAsia" w:ascii="仿宋_GB2312" w:eastAsia="仿宋_GB2312"/>
          <w:color w:val="000000"/>
          <w:sz w:val="32"/>
          <w:szCs w:val="32"/>
        </w:rPr>
        <w:t>个的寄宿制高等学校，床位数超过</w:t>
      </w:r>
      <w:r>
        <w:rPr>
          <w:rFonts w:ascii="仿宋_GB2312" w:eastAsia="仿宋_GB2312"/>
          <w:color w:val="000000"/>
          <w:sz w:val="32"/>
          <w:szCs w:val="32"/>
        </w:rPr>
        <w:t>1000</w:t>
      </w:r>
      <w:r>
        <w:rPr>
          <w:rFonts w:hint="eastAsia" w:ascii="仿宋_GB2312" w:eastAsia="仿宋_GB2312"/>
          <w:color w:val="000000"/>
          <w:sz w:val="32"/>
          <w:szCs w:val="32"/>
        </w:rPr>
        <w:t>个的寄宿制中、小学校，床位数超过</w:t>
      </w:r>
      <w:r>
        <w:rPr>
          <w:rFonts w:ascii="仿宋_GB2312" w:eastAsia="仿宋_GB2312"/>
          <w:color w:val="000000"/>
          <w:sz w:val="32"/>
          <w:szCs w:val="32"/>
        </w:rPr>
        <w:t>300</w:t>
      </w:r>
      <w:r>
        <w:rPr>
          <w:rFonts w:hint="eastAsia" w:ascii="仿宋_GB2312" w:eastAsia="仿宋_GB2312"/>
          <w:color w:val="000000"/>
          <w:sz w:val="32"/>
          <w:szCs w:val="32"/>
        </w:rPr>
        <w:t>个的寄宿制托儿所、幼儿园；</w:t>
      </w:r>
    </w:p>
    <w:p>
      <w:pPr>
        <w:adjustRightInd w:val="0"/>
        <w:snapToGrid w:val="0"/>
        <w:spacing w:line="594" w:lineRule="exact"/>
        <w:ind w:firstLine="645"/>
        <w:rPr>
          <w:rFonts w:ascii="仿宋_GB2312" w:hAnsi="??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（五）单个生产车间建筑面积超过</w:t>
      </w:r>
      <w:r>
        <w:rPr>
          <w:rFonts w:ascii="仿宋_GB2312" w:eastAsia="仿宋_GB2312"/>
          <w:color w:val="000000"/>
          <w:sz w:val="32"/>
          <w:szCs w:val="32"/>
        </w:rPr>
        <w:t>20000</w:t>
      </w:r>
      <w:r>
        <w:rPr>
          <w:rFonts w:hint="eastAsia" w:ascii="仿宋_GB2312" w:eastAsia="仿宋_GB2312"/>
          <w:color w:val="000000"/>
          <w:sz w:val="32"/>
          <w:szCs w:val="32"/>
        </w:rPr>
        <w:t>平方米，且同一时间同一建筑物内从业人员数量超过</w:t>
      </w:r>
      <w:r>
        <w:rPr>
          <w:rFonts w:ascii="仿宋_GB2312" w:eastAsia="仿宋_GB2312"/>
          <w:color w:val="000000"/>
          <w:sz w:val="32"/>
          <w:szCs w:val="32"/>
        </w:rPr>
        <w:t>1000</w:t>
      </w:r>
      <w:r>
        <w:rPr>
          <w:rFonts w:hint="eastAsia" w:ascii="仿宋_GB2312" w:eastAsia="仿宋_GB2312"/>
          <w:color w:val="000000"/>
          <w:sz w:val="32"/>
          <w:szCs w:val="32"/>
        </w:rPr>
        <w:t>人的劳动密集型企业；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（六）采用木结构或者砖木结构的全国重点文物保护单位；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仿宋_GB2312" w:eastAsia="仿宋_GB2312"/>
          <w:b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（七）生产、储存甲、乙类液体总储量超过</w:t>
      </w:r>
      <w:r>
        <w:rPr>
          <w:rFonts w:ascii="仿宋_GB2312" w:eastAsia="仿宋_GB2312"/>
          <w:color w:val="000000"/>
          <w:sz w:val="32"/>
          <w:szCs w:val="32"/>
        </w:rPr>
        <w:t>30000</w:t>
      </w:r>
      <w:r>
        <w:rPr>
          <w:rFonts w:hint="eastAsia" w:ascii="仿宋_GB2312" w:eastAsia="仿宋_GB2312"/>
          <w:color w:val="000000"/>
          <w:sz w:val="32"/>
          <w:szCs w:val="32"/>
        </w:rPr>
        <w:t>立方米，生产、储存甲、乙类气体总储量超过</w:t>
      </w:r>
      <w:r>
        <w:rPr>
          <w:rFonts w:ascii="仿宋_GB2312" w:eastAsia="仿宋_GB2312"/>
          <w:color w:val="000000"/>
          <w:sz w:val="32"/>
          <w:szCs w:val="32"/>
        </w:rPr>
        <w:t>2500</w:t>
      </w:r>
      <w:r>
        <w:rPr>
          <w:rFonts w:hint="eastAsia" w:ascii="仿宋_GB2312" w:eastAsia="仿宋_GB2312"/>
          <w:color w:val="000000"/>
          <w:sz w:val="32"/>
          <w:szCs w:val="32"/>
        </w:rPr>
        <w:t>立方米，生产、储存甲、乙类固体、纤维总储量超过</w:t>
      </w:r>
      <w:r>
        <w:rPr>
          <w:rFonts w:ascii="仿宋_GB2312" w:eastAsia="仿宋_GB2312"/>
          <w:color w:val="000000"/>
          <w:sz w:val="32"/>
          <w:szCs w:val="32"/>
        </w:rPr>
        <w:t>5000</w:t>
      </w:r>
      <w:r>
        <w:rPr>
          <w:rFonts w:hint="eastAsia" w:ascii="仿宋_GB2312" w:eastAsia="仿宋_GB2312"/>
          <w:color w:val="000000"/>
          <w:sz w:val="32"/>
          <w:szCs w:val="32"/>
        </w:rPr>
        <w:t>吨的单位，或者占地面积超过</w:t>
      </w:r>
      <w:r>
        <w:rPr>
          <w:rFonts w:ascii="仿宋_GB2312" w:eastAsia="仿宋_GB2312"/>
          <w:color w:val="000000"/>
          <w:sz w:val="32"/>
          <w:szCs w:val="32"/>
        </w:rPr>
        <w:t>30000</w:t>
      </w:r>
      <w:r>
        <w:rPr>
          <w:rFonts w:hint="eastAsia" w:ascii="仿宋_GB2312" w:eastAsia="仿宋_GB2312"/>
          <w:color w:val="000000"/>
          <w:sz w:val="32"/>
          <w:szCs w:val="32"/>
        </w:rPr>
        <w:t>平方米的易燃易爆物品生产、储存单位，经营面积超过</w:t>
      </w:r>
      <w:r>
        <w:rPr>
          <w:rFonts w:ascii="仿宋_GB2312" w:eastAsia="仿宋_GB2312"/>
          <w:color w:val="000000"/>
          <w:sz w:val="32"/>
          <w:szCs w:val="32"/>
        </w:rPr>
        <w:t>1000</w:t>
      </w:r>
      <w:r>
        <w:rPr>
          <w:rFonts w:hint="eastAsia" w:ascii="仿宋_GB2312" w:eastAsia="仿宋_GB2312"/>
          <w:color w:val="000000"/>
          <w:sz w:val="32"/>
          <w:szCs w:val="32"/>
        </w:rPr>
        <w:t>平方米的易燃易爆物品经营单位；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（八）民用机场，候车室建筑面积超过</w:t>
      </w:r>
      <w:r>
        <w:rPr>
          <w:rFonts w:ascii="仿宋_GB2312" w:eastAsia="仿宋_GB2312"/>
          <w:color w:val="000000"/>
          <w:sz w:val="32"/>
          <w:szCs w:val="32"/>
        </w:rPr>
        <w:t>10000</w:t>
      </w:r>
      <w:r>
        <w:rPr>
          <w:rFonts w:hint="eastAsia" w:ascii="仿宋_GB2312" w:eastAsia="仿宋_GB2312"/>
          <w:color w:val="000000"/>
          <w:sz w:val="32"/>
          <w:szCs w:val="32"/>
        </w:rPr>
        <w:t>平方米的火车站，候车（船）厅建筑面积超过</w:t>
      </w:r>
      <w:r>
        <w:rPr>
          <w:rFonts w:ascii="仿宋_GB2312" w:eastAsia="仿宋_GB2312"/>
          <w:color w:val="000000"/>
          <w:sz w:val="32"/>
          <w:szCs w:val="32"/>
        </w:rPr>
        <w:t>2000</w:t>
      </w:r>
      <w:r>
        <w:rPr>
          <w:rFonts w:hint="eastAsia" w:ascii="仿宋_GB2312" w:eastAsia="仿宋_GB2312"/>
          <w:color w:val="000000"/>
          <w:sz w:val="32"/>
          <w:szCs w:val="32"/>
        </w:rPr>
        <w:t>平方米的客运车站及客运码头；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（九）其他容易发生造成群死群伤、重大财产损失或重大社会影响的火灾的单位或场所。</w:t>
      </w:r>
    </w:p>
    <w:p>
      <w:pPr>
        <w:adjustRightInd w:val="0"/>
        <w:snapToGrid w:val="0"/>
        <w:spacing w:line="594" w:lineRule="exact"/>
        <w:ind w:firstLine="640" w:firstLineChars="200"/>
        <w:rPr>
          <w:rFonts w:ascii="仿宋_GB2312" w:eastAsia="仿宋_GB2312" w:cs="宋体"/>
          <w:bCs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建筑高度超过</w:t>
      </w:r>
      <w:r>
        <w:rPr>
          <w:rFonts w:ascii="仿宋_GB2312" w:eastAsia="仿宋_GB2312"/>
          <w:color w:val="000000"/>
          <w:sz w:val="32"/>
          <w:szCs w:val="32"/>
        </w:rPr>
        <w:t>100</w:t>
      </w:r>
      <w:r>
        <w:rPr>
          <w:rFonts w:hint="eastAsia" w:ascii="仿宋_GB2312" w:eastAsia="仿宋_GB2312"/>
          <w:color w:val="000000"/>
          <w:sz w:val="32"/>
          <w:szCs w:val="32"/>
        </w:rPr>
        <w:t>米的高层公共建筑、建筑面积超过</w:t>
      </w:r>
      <w:r>
        <w:rPr>
          <w:rFonts w:ascii="仿宋_GB2312" w:eastAsia="仿宋_GB2312"/>
          <w:color w:val="000000"/>
          <w:sz w:val="32"/>
          <w:szCs w:val="32"/>
        </w:rPr>
        <w:t>10000</w:t>
      </w:r>
      <w:r>
        <w:rPr>
          <w:rFonts w:hint="eastAsia" w:ascii="仿宋_GB2312" w:eastAsia="仿宋_GB2312"/>
          <w:color w:val="000000"/>
          <w:sz w:val="32"/>
          <w:szCs w:val="32"/>
        </w:rPr>
        <w:t>平方米的地下公共建筑、城市地下轨道交通工程，应按照本规定对火灾高危单位的要求，实行严格管理。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NTE5ZGVhODBkMGVlODcyZTFjZTc1ZDhlODU3NTcifQ=="/>
    <w:docVar w:name="KSO_WPS_MARK_KEY" w:val="58cb3dd8-51c7-4106-83e6-aac12f34e083"/>
  </w:docVars>
  <w:rsids>
    <w:rsidRoot w:val="382B2C2A"/>
    <w:rsid w:val="006B31C3"/>
    <w:rsid w:val="016B230B"/>
    <w:rsid w:val="0CA710DF"/>
    <w:rsid w:val="0F3F7CF5"/>
    <w:rsid w:val="140137CB"/>
    <w:rsid w:val="147B6AB9"/>
    <w:rsid w:val="1BB13D28"/>
    <w:rsid w:val="1F5E0C33"/>
    <w:rsid w:val="1FC3402A"/>
    <w:rsid w:val="2724711D"/>
    <w:rsid w:val="2751016E"/>
    <w:rsid w:val="291122AA"/>
    <w:rsid w:val="312B5ED3"/>
    <w:rsid w:val="33A37A02"/>
    <w:rsid w:val="37FC4126"/>
    <w:rsid w:val="382B2C2A"/>
    <w:rsid w:val="3A646BF6"/>
    <w:rsid w:val="3C014951"/>
    <w:rsid w:val="3CED6733"/>
    <w:rsid w:val="40A315E2"/>
    <w:rsid w:val="44C63AF1"/>
    <w:rsid w:val="477E6905"/>
    <w:rsid w:val="47E516F1"/>
    <w:rsid w:val="49307A8A"/>
    <w:rsid w:val="4A6F0787"/>
    <w:rsid w:val="4B4F2D9B"/>
    <w:rsid w:val="4DAA6362"/>
    <w:rsid w:val="59D90361"/>
    <w:rsid w:val="5A5C665B"/>
    <w:rsid w:val="5C55650D"/>
    <w:rsid w:val="5F40611E"/>
    <w:rsid w:val="601D3B18"/>
    <w:rsid w:val="74277859"/>
    <w:rsid w:val="75C57A68"/>
    <w:rsid w:val="79073835"/>
    <w:rsid w:val="7B20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仿宋_GB2312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  <w:rPr>
      <w:rFonts w:ascii="Times New Roman" w:eastAsia="宋体" w:cs="Times New Roman"/>
      <w:sz w:val="21"/>
      <w:szCs w:val="20"/>
    </w:rPr>
  </w:style>
  <w:style w:type="paragraph" w:styleId="3">
    <w:name w:val="Body Text"/>
    <w:basedOn w:val="1"/>
    <w:semiHidden/>
    <w:qFormat/>
    <w:uiPriority w:val="0"/>
    <w:rPr>
      <w:rFonts w:ascii="仿宋" w:hAnsi="仿宋" w:eastAsia="仿宋" w:cs="仿宋"/>
      <w:sz w:val="30"/>
      <w:szCs w:val="30"/>
      <w:lang w:val="en-US" w:eastAsia="en-US" w:bidi="ar-SA"/>
    </w:rPr>
  </w:style>
  <w:style w:type="paragraph" w:styleId="4">
    <w:name w:val="Body Text Indent"/>
    <w:basedOn w:val="1"/>
    <w:next w:val="2"/>
    <w:qFormat/>
    <w:uiPriority w:val="0"/>
    <w:pPr>
      <w:spacing w:after="120" w:afterLines="0"/>
      <w:ind w:left="420" w:leftChars="200"/>
    </w:p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7">
    <w:name w:val="Body Text First Indent 2"/>
    <w:basedOn w:val="4"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styleId="10">
    <w:name w:val="Strong"/>
    <w:basedOn w:val="9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4156</Words>
  <Characters>4478</Characters>
  <Lines>0</Lines>
  <Paragraphs>0</Paragraphs>
  <TotalTime>22</TotalTime>
  <ScaleCrop>false</ScaleCrop>
  <LinksUpToDate>false</LinksUpToDate>
  <CharactersWithSpaces>4879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2022-11-11T03:13:00Z</dcterms:created>
  <dc:creator>WPS_1654499699</dc:creator>
  <cp:lastModifiedBy>Administrator</cp:lastModifiedBy>
  <dcterms:modified xsi:type="dcterms:W3CDTF">2024-02-01T07:01:07Z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E7DBE3C2C165479BB3218CFE2BEE7CF4_13</vt:lpwstr>
  </property>
</Properties>
</file>