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宋体"/>
          <w:szCs w:val="32"/>
          <w:lang w:eastAsia="zh-CN"/>
        </w:rPr>
      </w:pPr>
      <w:r>
        <w:rPr>
          <w:rFonts w:eastAsia="宋体"/>
          <w:szCs w:val="32"/>
          <w:lang w:eastAsia="zh-CN"/>
        </w:rPr>
        <w:t>附件1</w:t>
      </w:r>
    </w:p>
    <w:p>
      <w:pPr>
        <w:spacing w:line="560" w:lineRule="exact"/>
        <w:jc w:val="center"/>
        <w:rPr>
          <w:rFonts w:eastAsia="黑体"/>
          <w:b/>
          <w:szCs w:val="25"/>
          <w:lang w:eastAsia="zh-CN"/>
        </w:rPr>
      </w:pPr>
      <w:r>
        <w:rPr>
          <w:rFonts w:eastAsia="宋体"/>
          <w:b/>
          <w:szCs w:val="32"/>
          <w:lang w:eastAsia="zh-CN"/>
        </w:rPr>
        <w:t>韶关市山水林田湖草生态保护修复工程试点绩效考评指标体系</w:t>
      </w:r>
    </w:p>
    <w:tbl>
      <w:tblPr>
        <w:tblStyle w:val="3"/>
        <w:tblW w:w="13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3755"/>
        <w:gridCol w:w="7961"/>
        <w:gridCol w:w="572"/>
        <w:gridCol w:w="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tblHeader/>
        </w:trPr>
        <w:tc>
          <w:tcPr>
            <w:tcW w:w="93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指标</w:t>
            </w:r>
          </w:p>
        </w:tc>
        <w:tc>
          <w:tcPr>
            <w:tcW w:w="375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考核内容</w:t>
            </w:r>
          </w:p>
        </w:tc>
        <w:tc>
          <w:tcPr>
            <w:tcW w:w="796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考核标准</w:t>
            </w:r>
          </w:p>
        </w:tc>
        <w:tc>
          <w:tcPr>
            <w:tcW w:w="116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tblHeader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796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b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自评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b/>
                <w:sz w:val="21"/>
                <w:szCs w:val="21"/>
              </w:rPr>
            </w:pPr>
            <w:r>
              <w:rPr>
                <w:rFonts w:eastAsia="楷体"/>
                <w:b/>
                <w:sz w:val="21"/>
                <w:szCs w:val="21"/>
                <w:lang w:eastAsia="zh-CN" w:bidi="ar"/>
              </w:rPr>
              <w:t>市评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1"/>
                <w:szCs w:val="21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自评总结（20分）</w:t>
            </w: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及时保质上报自评报告和附件表格（20分）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1.在规定时间前提交绩效自评材料得4分，未按规定提交的，不得分；</w:t>
            </w:r>
          </w:p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2.自评报告内容详实，条理清晰，表格得扣分有依有据，得15-16分；自评报告内容较充实，表格得扣分有依据，但有待补充，得12-14分；自评报告内容欠缺，表格得分依据欠缺，不得超过10分。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b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b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3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中央奖补资金支出（20分）</w:t>
            </w: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1.中央专项资金的支出进度（</w:t>
            </w:r>
            <w:r>
              <w:rPr>
                <w:rStyle w:val="5"/>
                <w:rFonts w:ascii="Times New Roman" w:eastAsia="楷体" w:cs="Times New Roman"/>
                <w:color w:val="auto"/>
                <w:sz w:val="21"/>
                <w:szCs w:val="21"/>
                <w:lang w:eastAsia="zh-CN" w:bidi="ar"/>
              </w:rPr>
              <w:t>10分）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按照2020年3月-2020年12月20日每月的山水林田湖草试点项目支出进度排名表进行计分。各县（市、区）每月满分1分，当月排名第一名得当月满分1.0分，排名往后延一名扣0.1分，第十名得0.1分。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1"/>
                <w:szCs w:val="21"/>
                <w:lang w:eastAsia="zh-CN" w:bidi="ar"/>
              </w:rPr>
            </w:pP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eastAsia="楷体"/>
                <w:color w:val="FF0000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2.资金使用合理性（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10分）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 w:bidi="ar"/>
              </w:rPr>
            </w:pP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资金使用是否符合有关法律和国家、省及《韶关市山水林田湖草生态保护修复试点资金筹集使用管理操作细则》等有关制度规定，是否存在截留、挤占或闲置等问题，治理成本是否合理，符合要求得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10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分，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否则不得分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3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/>
              </w:rPr>
              <w:t>现场抽查（</w:t>
            </w:r>
            <w:r>
              <w:rPr>
                <w:rFonts w:hint="eastAsia" w:eastAsia="楷体"/>
                <w:sz w:val="21"/>
                <w:szCs w:val="21"/>
                <w:lang w:val="en-US" w:eastAsia="zh-CN"/>
              </w:rPr>
              <w:t>25</w:t>
            </w:r>
            <w:r>
              <w:rPr>
                <w:rFonts w:eastAsia="楷体"/>
                <w:sz w:val="21"/>
                <w:szCs w:val="21"/>
                <w:lang w:eastAsia="zh-CN"/>
              </w:rPr>
              <w:t>分）</w:t>
            </w: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抽查项目是否按时完成主体工程建设以及项目整体质量情况（10分）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抽查的两个项目是否完成主体工程建设，单个项目完成主体工程得2.5分，抽查的两个项目均完成主体工程得5分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；单个项目的完工率在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60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以下（完工率=该项目所有子项目完成主体工程的数量/项目子项目的数量），不得分。</w:t>
            </w:r>
          </w:p>
          <w:p>
            <w:pPr>
              <w:widowControl/>
              <w:jc w:val="both"/>
              <w:textAlignment w:val="center"/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抽查的两个</w:t>
            </w:r>
            <w:r>
              <w:rPr>
                <w:rStyle w:val="8"/>
                <w:rFonts w:hint="default" w:ascii="Times New Roman" w:hAnsi="Times New Roman" w:eastAsia="楷体" w:cs="Times New Roman"/>
                <w:color w:val="000000"/>
                <w:sz w:val="21"/>
                <w:szCs w:val="21"/>
                <w:lang w:eastAsia="zh-CN" w:bidi="ar"/>
              </w:rPr>
              <w:t>项目质量情况按照优良差评估，单个项目得“优”者得2.5分，“合格”得1.5分，“差”不得分，项目验收后，出现质量问题不得分。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绩效目标和综合成效实现情况（</w:t>
            </w:r>
            <w:r>
              <w:rPr>
                <w:rFonts w:hint="eastAsia" w:eastAsia="楷体"/>
                <w:sz w:val="21"/>
                <w:szCs w:val="21"/>
                <w:lang w:val="en-US" w:eastAsia="zh-CN" w:bidi="ar"/>
              </w:rPr>
              <w:t>5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矿山地质环境治理恢复率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治理恢复面积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实施方案拟定的治理恢复面积；</w:t>
            </w:r>
          </w:p>
        </w:tc>
        <w:tc>
          <w:tcPr>
            <w:tcW w:w="572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历史遗留的矿山地质环境治理完成率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=100%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历史遗留的矿山地质环境治理率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实施方案拟定的历史遗留的矿山地质环境治理率；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3.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矿山绿化覆盖完成率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=100%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矿区绿化覆盖率达到可绿化区域面积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实施方案拟定的矿区绿化覆盖率达到可绿化区域面积；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受污染耕地安全利用任务完成率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受污染耕地安全利用率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实施方案拟定的受污染耕地安全利用率；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历史遗留工矿废弃地复垦利用率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历史遗留工矿废弃地复垦利用面积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实施方案拟定的历史遗留工矿废弃地复垦利用面积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6.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区域耕地土壤治理修复示范任务完成率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区域耕地土壤治理修复示范面积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实施方案拟定的区域耕地土壤治理修复示范面积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7.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建立耕地安全利用示范任务完成率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建立耕地安全利用示范区面积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实施方案拟定的建立耕地安全利用示范区面积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8.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生态红线面积占国土面积的比例指标完成率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生态红线面积占国土面积的比例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实施方案拟定的生态红线面积占国土面积的比例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9.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湿地面积保有量指标完成率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湿地面积保有量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实施方案拟定的湿地面积保有量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10.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水土流失治理任务完成率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治理完成面积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实施方案拟定的修复总面积；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11.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石漠化治理面积任务完成率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=100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%×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治理完成面积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/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实施方案拟定的修复总面积；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12.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野生动物主要栖息地范围内陆生野生动物个体数量增加任务完成率：区域内动物种群丰富，完成保护目标得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，未完成预期目标但生物多样性得到明显提升得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60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，否则得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0%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。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sz w:val="21"/>
                <w:szCs w:val="21"/>
                <w:lang w:eastAsia="zh-CN"/>
              </w:rPr>
            </w:pPr>
            <w:r>
              <w:rPr>
                <w:rFonts w:eastAsia="楷体"/>
                <w:sz w:val="21"/>
                <w:szCs w:val="21"/>
                <w:lang w:eastAsia="zh-CN" w:bidi="ar"/>
              </w:rPr>
              <w:t>13.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流域水环境保护治理完成率：修复区域水质达到实施方案预设目标得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100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，水质未达标但项目实施以来，水质类别有提升，得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60</w:t>
            </w:r>
            <w:r>
              <w:rPr>
                <w:rStyle w:val="6"/>
                <w:rFonts w:eastAsia="楷体"/>
                <w:sz w:val="21"/>
                <w:szCs w:val="21"/>
                <w:lang w:eastAsia="zh-CN" w:bidi="ar"/>
              </w:rPr>
              <w:t>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，否则得</w:t>
            </w:r>
            <w:r>
              <w:rPr>
                <w:rStyle w:val="5"/>
                <w:rFonts w:ascii="Times New Roman" w:eastAsia="楷体" w:cs="Times New Roman"/>
                <w:sz w:val="21"/>
                <w:szCs w:val="21"/>
                <w:lang w:eastAsia="zh-CN" w:bidi="ar"/>
              </w:rPr>
              <w:t>0%</w:t>
            </w:r>
            <w:r>
              <w:rPr>
                <w:rStyle w:val="7"/>
                <w:rFonts w:hint="default" w:ascii="Times New Roman" w:hAnsi="Times New Roman" w:eastAsia="楷体" w:cs="Times New Roman"/>
                <w:sz w:val="21"/>
                <w:szCs w:val="21"/>
                <w:lang w:eastAsia="zh-CN" w:bidi="ar"/>
              </w:rPr>
              <w:t>；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备注：鉴于各县（市、区）工程内容不尽相同，实际考核项按照各工程试点实际设计内容选取，方案中不涉及的项目不参与计分，</w:t>
            </w:r>
            <w:r>
              <w:rPr>
                <w:rFonts w:hint="eastAsia" w:eastAsia="楷体"/>
                <w:color w:val="auto"/>
                <w:sz w:val="21"/>
                <w:szCs w:val="21"/>
                <w:lang w:val="en-US" w:eastAsia="zh-CN" w:bidi="ar"/>
              </w:rPr>
              <w:t>单个</w:t>
            </w: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项目绩效目标总得分</w:t>
            </w:r>
            <w:r>
              <w:rPr>
                <w:rStyle w:val="5"/>
                <w:rFonts w:ascii="Times New Roman" w:eastAsia="楷体" w:cs="Times New Roman"/>
                <w:color w:val="auto"/>
                <w:sz w:val="21"/>
                <w:szCs w:val="21"/>
                <w:lang w:eastAsia="zh-CN" w:bidi="ar"/>
              </w:rPr>
              <w:t>=</w:t>
            </w:r>
            <w:r>
              <w:rPr>
                <w:rStyle w:val="7"/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eastAsia="zh-CN" w:bidi="ar"/>
              </w:rPr>
              <w:t>平均完成率</w:t>
            </w:r>
            <w:r>
              <w:rPr>
                <w:rStyle w:val="6"/>
                <w:rFonts w:eastAsia="楷体"/>
                <w:color w:val="auto"/>
                <w:sz w:val="21"/>
                <w:szCs w:val="21"/>
                <w:lang w:eastAsia="zh-CN" w:bidi="ar"/>
              </w:rPr>
              <w:t>×</w:t>
            </w:r>
            <w:r>
              <w:rPr>
                <w:rStyle w:val="6"/>
                <w:rFonts w:hint="eastAsia" w:eastAsia="楷体"/>
                <w:color w:val="auto"/>
                <w:sz w:val="21"/>
                <w:szCs w:val="21"/>
                <w:lang w:val="en-US" w:eastAsia="zh-CN" w:bidi="ar"/>
              </w:rPr>
              <w:t>2.5</w:t>
            </w:r>
            <w:r>
              <w:rPr>
                <w:rStyle w:val="7"/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eastAsia="zh-CN" w:bidi="ar"/>
              </w:rPr>
              <w:t>；平均完成率为</w:t>
            </w:r>
            <w:r>
              <w:rPr>
                <w:rStyle w:val="7"/>
                <w:rFonts w:hint="eastAsia" w:eastAsia="楷体" w:cs="Times New Roman"/>
                <w:color w:val="auto"/>
                <w:sz w:val="21"/>
                <w:szCs w:val="21"/>
                <w:lang w:val="en-US" w:eastAsia="zh-CN" w:bidi="ar"/>
              </w:rPr>
              <w:t>抽查的两个项目</w:t>
            </w:r>
            <w:r>
              <w:rPr>
                <w:rStyle w:val="7"/>
                <w:rFonts w:hint="default" w:ascii="Times New Roman" w:hAnsi="Times New Roman" w:eastAsia="楷体" w:cs="Times New Roman"/>
                <w:color w:val="auto"/>
                <w:sz w:val="21"/>
                <w:szCs w:val="21"/>
                <w:lang w:eastAsia="zh-CN" w:bidi="ar"/>
              </w:rPr>
              <w:t>任务完成率的平均值。</w:t>
            </w:r>
          </w:p>
        </w:tc>
        <w:tc>
          <w:tcPr>
            <w:tcW w:w="572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58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3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/>
              </w:rPr>
              <w:t>档案管理（10分）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/>
              </w:rPr>
              <w:t>抽查的两个项目按《韶关市山水林田湖草生态保护修复试点工程项目档案管理办法（试行）》进行档案整理，每个项目得</w:t>
            </w:r>
            <w:r>
              <w:rPr>
                <w:rFonts w:hint="eastAsia" w:eastAsia="楷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eastAsia="楷体"/>
                <w:color w:val="auto"/>
                <w:sz w:val="21"/>
                <w:szCs w:val="21"/>
                <w:lang w:eastAsia="zh-CN"/>
              </w:rPr>
              <w:t>分，缺失一项必须的资料扣0.5分，扣完为止。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 w:hRule="atLeast"/>
        </w:trPr>
        <w:tc>
          <w:tcPr>
            <w:tcW w:w="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color w:val="auto"/>
                <w:sz w:val="21"/>
                <w:szCs w:val="21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材料检查（3</w:t>
            </w:r>
            <w:r>
              <w:rPr>
                <w:rFonts w:hint="eastAsia" w:eastAsia="楷体"/>
                <w:color w:val="auto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分）</w:t>
            </w:r>
          </w:p>
        </w:tc>
        <w:tc>
          <w:tcPr>
            <w:tcW w:w="37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按要求填报信息管理系统中项目资料、项目实施情况和资金支出进度等</w:t>
            </w:r>
          </w:p>
        </w:tc>
        <w:tc>
          <w:tcPr>
            <w:tcW w:w="796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1. 信息录入（10分）：信息管理系统上，各县（市、区）所有项目均按时保质报送要求的所有资料、最新的工程进度和资金支出进度，得10分；未按要求报送的，按每缺少一个项目录入，扣1分，扣完即止。对于已录入系统的项目，每缺少一项资料或者没有更新为最新的工程进度和资金支出进度，扣0.5分。</w:t>
            </w:r>
          </w:p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 xml:space="preserve">2.资金支付（5分）：中央奖补资金支付凭证完整合规，得3分，否则不得分；中央奖补资金支付凭证与资金支付进度相匹配，得2分，否则不得分。 </w:t>
            </w:r>
          </w:p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 w:bidi="ar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3.项目实施情况（5分）：全部项目实际实施进度与计划进度相匹配的，得5分；每有1个项目实际实施进度低于计划进度60%的，扣1分，扣完即止。</w:t>
            </w:r>
          </w:p>
          <w:p>
            <w:pPr>
              <w:widowControl/>
              <w:jc w:val="both"/>
              <w:textAlignment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4.绩效目标完成情况（</w:t>
            </w:r>
            <w:r>
              <w:rPr>
                <w:rFonts w:hint="eastAsia" w:eastAsia="楷体"/>
                <w:color w:val="auto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分）：根据全部试点项目实施情况，核算是否完成分配到各县（市、区）的19项年度绩效目标，每有1项未完成扣1分，扣完即止。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楷体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264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color w:val="auto"/>
                <w:sz w:val="21"/>
                <w:szCs w:val="21"/>
              </w:rPr>
            </w:pPr>
            <w:r>
              <w:rPr>
                <w:rFonts w:eastAsia="楷体"/>
                <w:color w:val="auto"/>
                <w:sz w:val="21"/>
                <w:szCs w:val="21"/>
                <w:lang w:eastAsia="zh-CN" w:bidi="ar"/>
              </w:rPr>
              <w:t>总分</w:t>
            </w:r>
          </w:p>
        </w:tc>
        <w:tc>
          <w:tcPr>
            <w:tcW w:w="57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5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eastAsia="楷体"/>
                <w:color w:val="auto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02B00"/>
    <w:rsid w:val="4DA52531"/>
    <w:rsid w:val="4EA0515C"/>
    <w:rsid w:val="6428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eastAsiaTheme="minorEastAsia"/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6">
    <w:name w:val="font1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51"/>
    <w:basedOn w:val="4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东东</cp:lastModifiedBy>
  <dcterms:modified xsi:type="dcterms:W3CDTF">2020-12-17T01:07:55Z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