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韶关市武江区人民政府202</w:t>
      </w: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3</w:t>
      </w: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年度政府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信息公开工作报告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小标宋简体" w:hAnsi="方正小标宋简体" w:eastAsia="方正小标宋简体" w:cs="方正小标宋简体"/>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市政府办公室：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宋体" w:hAnsi="宋体" w:eastAsia="宋体" w:cs="宋体"/>
          <w:i w:val="0"/>
          <w:caps w:val="0"/>
          <w:color w:val="333333"/>
          <w:spacing w:val="0"/>
          <w:sz w:val="32"/>
          <w:szCs w:val="32"/>
        </w:rPr>
      </w:pPr>
      <w:r>
        <w:rPr>
          <w:rFonts w:hint="eastAsia" w:ascii="仿宋_GB2312" w:hAnsi="仿宋_GB2312" w:eastAsia="仿宋_GB2312" w:cs="仿宋_GB2312"/>
          <w:kern w:val="0"/>
          <w:sz w:val="32"/>
          <w:szCs w:val="32"/>
          <w:shd w:val="clear" w:color="auto" w:fill="FFFFFF"/>
        </w:rPr>
        <w:t>根据《中华人民共和国政府信息公开条例》（以下简称《条例》）及《韶关市政府信息公开办法》等有关规定，现公布韶关市</w:t>
      </w:r>
      <w:r>
        <w:rPr>
          <w:rFonts w:hint="eastAsia" w:ascii="仿宋_GB2312" w:hAnsi="仿宋_GB2312" w:eastAsia="仿宋_GB2312" w:cs="仿宋_GB2312"/>
          <w:kern w:val="0"/>
          <w:sz w:val="32"/>
          <w:szCs w:val="32"/>
          <w:shd w:val="clear" w:color="auto" w:fill="FFFFFF"/>
          <w:lang w:eastAsia="zh-CN"/>
        </w:rPr>
        <w:t>武江区</w:t>
      </w:r>
      <w:r>
        <w:rPr>
          <w:rFonts w:hint="eastAsia" w:ascii="仿宋_GB2312" w:hAnsi="仿宋_GB2312" w:eastAsia="仿宋_GB2312" w:cs="仿宋_GB2312"/>
          <w:kern w:val="0"/>
          <w:sz w:val="32"/>
          <w:szCs w:val="32"/>
          <w:shd w:val="clear" w:color="auto" w:fill="FFFFFF"/>
        </w:rPr>
        <w:t>人民政府202</w:t>
      </w:r>
      <w:r>
        <w:rPr>
          <w:rFonts w:hint="eastAsia" w:ascii="仿宋_GB2312" w:hAnsi="仿宋_GB2312" w:eastAsia="仿宋_GB2312" w:cs="仿宋_GB2312"/>
          <w:kern w:val="0"/>
          <w:sz w:val="32"/>
          <w:szCs w:val="32"/>
          <w:shd w:val="clear" w:color="auto" w:fill="FFFFFF"/>
          <w:lang w:val="en-US" w:eastAsia="zh-CN"/>
        </w:rPr>
        <w:t>3</w:t>
      </w:r>
      <w:r>
        <w:rPr>
          <w:rFonts w:hint="eastAsia" w:ascii="仿宋_GB2312" w:hAnsi="仿宋_GB2312" w:eastAsia="仿宋_GB2312" w:cs="仿宋_GB2312"/>
          <w:kern w:val="0"/>
          <w:sz w:val="32"/>
          <w:szCs w:val="32"/>
          <w:shd w:val="clear" w:color="auto" w:fill="FFFFFF"/>
        </w:rPr>
        <w:t>年政府信息公开工作年度报告。</w:t>
      </w:r>
      <w:r>
        <w:rPr>
          <w:rFonts w:hint="eastAsia" w:ascii="仿宋_GB2312" w:eastAsia="仿宋_GB2312" w:hAnsiTheme="minorHAnsi" w:cstheme="minorBidi"/>
          <w:kern w:val="2"/>
          <w:sz w:val="32"/>
          <w:szCs w:val="32"/>
          <w:lang w:val="en-US" w:eastAsia="zh-CN" w:bidi="ar-SA"/>
        </w:rPr>
        <w:t>本报告的统计数据时限为2023年1月1日至12月31日。</w:t>
      </w:r>
      <w:r>
        <w:rPr>
          <w:rFonts w:hint="eastAsia" w:ascii="仿宋_GB2312" w:hAnsi="仿宋_GB2312" w:eastAsia="仿宋_GB2312" w:cs="仿宋_GB2312"/>
          <w:kern w:val="0"/>
          <w:sz w:val="32"/>
          <w:szCs w:val="32"/>
          <w:shd w:val="clear" w:color="auto" w:fill="FFFFFF"/>
        </w:rPr>
        <w:t>报告电子版可在韶关市</w:t>
      </w:r>
      <w:r>
        <w:rPr>
          <w:rFonts w:hint="eastAsia" w:ascii="仿宋_GB2312" w:hAnsi="仿宋_GB2312" w:eastAsia="仿宋_GB2312" w:cs="仿宋_GB2312"/>
          <w:kern w:val="0"/>
          <w:sz w:val="32"/>
          <w:szCs w:val="32"/>
          <w:shd w:val="clear" w:color="auto" w:fill="FFFFFF"/>
          <w:lang w:eastAsia="zh-CN"/>
        </w:rPr>
        <w:t>武江区</w:t>
      </w:r>
      <w:r>
        <w:rPr>
          <w:rFonts w:hint="eastAsia" w:ascii="仿宋_GB2312" w:hAnsi="仿宋_GB2312" w:eastAsia="仿宋_GB2312" w:cs="仿宋_GB2312"/>
          <w:kern w:val="0"/>
          <w:sz w:val="32"/>
          <w:szCs w:val="32"/>
          <w:shd w:val="clear" w:color="auto" w:fill="FFFFFF"/>
        </w:rPr>
        <w:t>人民政府门户网（http://www.sgwjq.gov.cn/）下载。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i w:val="0"/>
          <w:caps w:val="0"/>
          <w:color w:val="333333"/>
          <w:spacing w:val="0"/>
          <w:sz w:val="32"/>
          <w:szCs w:val="32"/>
          <w:lang w:val="en-US" w:eastAsia="zh-CN"/>
        </w:rPr>
        <w:t>2023年，</w:t>
      </w:r>
      <w:r>
        <w:rPr>
          <w:rFonts w:hint="eastAsia" w:ascii="仿宋_GB2312" w:hAnsi="仿宋_GB2312" w:eastAsia="仿宋_GB2312" w:cs="仿宋_GB2312"/>
          <w:kern w:val="0"/>
          <w:sz w:val="32"/>
          <w:szCs w:val="32"/>
          <w:shd w:val="clear" w:color="auto" w:fill="FFFFFF"/>
        </w:rPr>
        <w:t>在市委、市政府及区委的正确领导下，在区人大、政协的监督支持下，我</w:t>
      </w:r>
      <w:r>
        <w:rPr>
          <w:rFonts w:hint="eastAsia" w:ascii="仿宋_GB2312" w:hAnsi="仿宋_GB2312" w:eastAsia="仿宋_GB2312" w:cs="仿宋_GB2312"/>
          <w:kern w:val="0"/>
          <w:sz w:val="32"/>
          <w:szCs w:val="32"/>
          <w:shd w:val="clear" w:color="auto" w:fill="FFFFFF"/>
          <w:lang w:eastAsia="zh-CN"/>
        </w:rPr>
        <w:t>府</w:t>
      </w:r>
      <w:r>
        <w:rPr>
          <w:rFonts w:hint="eastAsia" w:ascii="仿宋_GB2312" w:hAnsi="仿宋_GB2312" w:eastAsia="仿宋_GB2312" w:cs="仿宋_GB2312"/>
          <w:kern w:val="0"/>
          <w:sz w:val="32"/>
          <w:szCs w:val="32"/>
          <w:shd w:val="clear" w:color="auto" w:fill="FFFFFF"/>
        </w:rPr>
        <w:t>认真贯彻落实《条例》和省、市关于</w:t>
      </w:r>
      <w:r>
        <w:rPr>
          <w:rFonts w:hint="eastAsia" w:ascii="仿宋_GB2312" w:eastAsia="仿宋_GB2312" w:hAnsiTheme="minorHAnsi" w:cstheme="minorBidi"/>
          <w:kern w:val="2"/>
          <w:sz w:val="32"/>
          <w:szCs w:val="32"/>
          <w:lang w:val="en-US" w:eastAsia="zh-CN" w:bidi="ar-SA"/>
        </w:rPr>
        <w:t>政务、政府信息公开的部署和要求，</w:t>
      </w:r>
      <w:r>
        <w:rPr>
          <w:rFonts w:hint="eastAsia" w:ascii="仿宋_GB2312" w:hAnsi="仿宋_GB2312" w:eastAsia="仿宋_GB2312" w:cs="仿宋_GB2312"/>
          <w:kern w:val="0"/>
          <w:sz w:val="32"/>
          <w:szCs w:val="32"/>
          <w:shd w:val="clear" w:color="auto" w:fill="FFFFFF"/>
          <w:lang w:eastAsia="zh-CN"/>
        </w:rPr>
        <w:t>坚持“</w:t>
      </w:r>
      <w:r>
        <w:rPr>
          <w:rFonts w:hint="eastAsia" w:ascii="仿宋_GB2312" w:hAnsi="仿宋_GB2312" w:eastAsia="仿宋_GB2312" w:cs="仿宋_GB2312"/>
          <w:kern w:val="0"/>
          <w:sz w:val="32"/>
          <w:szCs w:val="32"/>
          <w:shd w:val="clear" w:color="auto" w:fill="FFFFFF"/>
        </w:rPr>
        <w:t>公开为原则</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不公开为例外</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w:t>
      </w:r>
      <w:r>
        <w:rPr>
          <w:rFonts w:hint="eastAsia" w:ascii="仿宋_GB2312" w:eastAsia="仿宋_GB2312" w:hAnsiTheme="minorHAnsi" w:cstheme="minorBidi"/>
          <w:kern w:val="2"/>
          <w:sz w:val="32"/>
          <w:szCs w:val="32"/>
          <w:lang w:val="en-US" w:eastAsia="zh-CN" w:bidi="ar-SA"/>
        </w:rPr>
        <w:t>落实责任，强化措施，突出重点，大力推进政务、政府信息公开工作深入开展</w:t>
      </w:r>
      <w:r>
        <w:rPr>
          <w:rFonts w:hint="eastAsia" w:ascii="仿宋_GB2312" w:eastAsia="仿宋_GB2312" w:cstheme="minorBidi"/>
          <w:kern w:val="2"/>
          <w:sz w:val="32"/>
          <w:szCs w:val="32"/>
          <w:lang w:val="en-US" w:eastAsia="zh-CN" w:bidi="ar-SA"/>
        </w:rPr>
        <w:t>，</w:t>
      </w:r>
      <w:r>
        <w:rPr>
          <w:rFonts w:hint="eastAsia" w:ascii="仿宋_GB2312" w:hAnsi="仿宋_GB2312" w:eastAsia="仿宋_GB2312" w:cs="仿宋_GB2312"/>
          <w:kern w:val="0"/>
          <w:sz w:val="32"/>
          <w:szCs w:val="32"/>
          <w:shd w:val="clear" w:color="auto" w:fill="FFFFFF"/>
        </w:rPr>
        <w:t>有效保障了人民群众的知情权，全力打造公开透明的阳</w:t>
      </w:r>
      <w:r>
        <w:rPr>
          <w:rFonts w:hint="eastAsia" w:ascii="仿宋_GB2312" w:hAnsi="仿宋_GB2312" w:eastAsia="仿宋_GB2312" w:cs="仿宋_GB2312"/>
          <w:kern w:val="0"/>
          <w:sz w:val="32"/>
          <w:szCs w:val="32"/>
          <w:shd w:val="clear" w:color="auto" w:fill="FFFFFF"/>
          <w:lang w:eastAsia="zh-CN"/>
        </w:rPr>
        <w:t>光</w:t>
      </w:r>
      <w:r>
        <w:rPr>
          <w:rFonts w:hint="eastAsia" w:ascii="仿宋_GB2312" w:hAnsi="仿宋_GB2312" w:eastAsia="仿宋_GB2312" w:cs="仿宋_GB2312"/>
          <w:kern w:val="0"/>
          <w:sz w:val="32"/>
          <w:szCs w:val="32"/>
          <w:shd w:val="clear" w:color="auto" w:fill="FFFFFF"/>
        </w:rPr>
        <w:t>政府。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0"/>
          <w:sz w:val="32"/>
          <w:szCs w:val="32"/>
          <w:shd w:val="clear" w:color="auto" w:fill="FFFFFF"/>
          <w:lang w:val="en-US" w:eastAsia="zh-CN"/>
        </w:rPr>
        <w:t>（一）主动公开工作。</w:t>
      </w:r>
      <w:r>
        <w:rPr>
          <w:rFonts w:hint="eastAsia" w:ascii="仿宋_GB2312" w:hAnsi="仿宋_GB2312" w:eastAsia="仿宋_GB2312" w:cs="仿宋_GB2312"/>
          <w:kern w:val="0"/>
          <w:sz w:val="32"/>
          <w:szCs w:val="32"/>
          <w:shd w:val="clear" w:color="auto" w:fill="FFFFFF"/>
          <w:lang w:val="en-US" w:eastAsia="zh-CN"/>
        </w:rPr>
        <w:t>切实做好主动公开工作，实现“应公开尽公开”，围绕“放管服”改革以及重点民生领域，及时公开涉及群众切身利益的政府信息。2023年，区政府门户网站主动公开信息7357条。同时，</w:t>
      </w:r>
      <w:r>
        <w:rPr>
          <w:rFonts w:hint="eastAsia" w:ascii="仿宋_GB2312" w:hAnsi="仿宋_GB2312" w:eastAsia="仿宋_GB2312" w:cs="仿宋_GB2312"/>
          <w:sz w:val="32"/>
          <w:szCs w:val="32"/>
          <w:lang w:val="en-US" w:eastAsia="zh-CN"/>
        </w:rPr>
        <w:t>推动新生儿“出生一件事”、社保卡申领等事项联办，实现让材料多跑路，群众只用跑一次即可办理完“一件事”的目标。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_GB2312" w:hAnsi="仿宋_GB2312" w:eastAsia="仿宋_GB2312" w:cs="仿宋_GB2312"/>
          <w:color w:val="auto"/>
          <w:kern w:val="0"/>
          <w:sz w:val="32"/>
          <w:szCs w:val="32"/>
          <w:shd w:val="clear" w:color="auto" w:fill="FFFFFF"/>
          <w:lang w:val="en-US" w:eastAsia="zh-CN"/>
        </w:rPr>
      </w:pPr>
      <w:r>
        <w:rPr>
          <w:rFonts w:hint="eastAsia" w:ascii="楷体_GB2312" w:hAnsi="楷体_GB2312" w:eastAsia="楷体_GB2312" w:cs="楷体_GB2312"/>
          <w:kern w:val="0"/>
          <w:sz w:val="32"/>
          <w:szCs w:val="32"/>
          <w:shd w:val="clear" w:color="auto" w:fill="FFFFFF"/>
          <w:lang w:val="en-US" w:eastAsia="zh-CN"/>
        </w:rPr>
        <w:t>（二）依申请公开工作</w:t>
      </w:r>
      <w:r>
        <w:rPr>
          <w:rFonts w:hint="eastAsia" w:ascii="楷体_GB2312" w:hAnsi="楷体_GB2312" w:eastAsia="楷体_GB2312" w:cs="楷体_GB2312"/>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shd w:val="clear" w:color="auto" w:fill="FFFFFF"/>
          <w:lang w:val="en-US" w:eastAsia="zh-CN"/>
        </w:rPr>
        <w:t>依法依规办理公民政府信息依申请公开，2023年，我府及相关部门共办理依申请公开事项25件，其中自然人申请事项23宗，法人或其他组织申请事项2宗。其中予以公开及部分公开9宗，占36%；不予以公开4宗，占16%；因本机关不掌握等原因无法提供8宗，占32%；不予处理0宗，占0%；其他处理4宗，占16%；结转下年度办理0宗，占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楷体_GB2312" w:hAnsi="楷体_GB2312" w:eastAsia="楷体_GB2312" w:cs="楷体_GB2312"/>
          <w:kern w:val="0"/>
          <w:sz w:val="32"/>
          <w:szCs w:val="32"/>
          <w:shd w:val="clear" w:color="auto" w:fill="FFFFFF"/>
          <w:lang w:val="en-US" w:eastAsia="zh-CN"/>
        </w:rPr>
        <w:t>（三）政府信息管理工作。</w:t>
      </w:r>
      <w:r>
        <w:rPr>
          <w:rFonts w:hint="eastAsia" w:ascii="仿宋_GB2312" w:hAnsi="仿宋_GB2312" w:eastAsia="仿宋_GB2312" w:cs="仿宋_GB2312"/>
          <w:kern w:val="0"/>
          <w:sz w:val="32"/>
          <w:szCs w:val="32"/>
          <w:shd w:val="clear" w:color="auto" w:fill="FFFFFF"/>
          <w:lang w:val="en-US" w:eastAsia="zh-CN"/>
        </w:rPr>
        <w:t>加强政府信息发布范围、形式和载体的标准化规范化管理，让群众更加方便快捷获取政府信息。按照国家和省、市的工作部署，加强政府信息公开及重点领域信息公开内容规范性管理。建设行政规范性文件库专题专栏，对区级规范性文件梳理更新，提供在线查阅、检索、下载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楷体_GB2312" w:hAnsi="楷体_GB2312" w:eastAsia="楷体_GB2312" w:cs="楷体_GB2312"/>
          <w:kern w:val="0"/>
          <w:sz w:val="32"/>
          <w:szCs w:val="32"/>
          <w:shd w:val="clear" w:color="auto" w:fill="FFFFFF"/>
          <w:lang w:val="en-US" w:eastAsia="zh-CN"/>
        </w:rPr>
        <w:t>（四）平台建设工作。</w:t>
      </w:r>
      <w:r>
        <w:rPr>
          <w:rFonts w:hint="eastAsia" w:ascii="仿宋_GB2312" w:hAnsi="仿宋_GB2312" w:eastAsia="仿宋_GB2312" w:cs="仿宋_GB2312"/>
          <w:kern w:val="0"/>
          <w:sz w:val="32"/>
          <w:szCs w:val="32"/>
          <w:shd w:val="clear" w:color="auto" w:fill="FFFFFF"/>
          <w:lang w:val="en-US" w:eastAsia="zh-CN"/>
        </w:rPr>
        <w:t>完成区政府网站适老化及无障碍改造，完成区政府网站支持IPv6改造，按省市要求报送区级政务新媒体基本信息，推进政务新媒体健康有序发展。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楷体_GB2312" w:hAnsi="楷体_GB2312" w:eastAsia="楷体_GB2312" w:cs="楷体_GB2312"/>
          <w:kern w:val="0"/>
          <w:sz w:val="32"/>
          <w:szCs w:val="32"/>
          <w:shd w:val="clear" w:color="auto" w:fill="FFFFFF"/>
          <w:lang w:val="en-US" w:eastAsia="zh-CN"/>
        </w:rPr>
        <w:t>（五）解读回应工作。</w:t>
      </w:r>
      <w:r>
        <w:rPr>
          <w:rFonts w:hint="eastAsia" w:ascii="仿宋_GB2312" w:hAnsi="仿宋_GB2312" w:eastAsia="仿宋_GB2312" w:cs="仿宋_GB2312"/>
          <w:kern w:val="0"/>
          <w:sz w:val="32"/>
          <w:szCs w:val="32"/>
          <w:shd w:val="clear" w:color="auto" w:fill="FFFFFF"/>
          <w:lang w:val="en-US" w:eastAsia="zh-CN"/>
        </w:rPr>
        <w:t>切实加强对政府政策的宣传解读，参照《韶关市政府系统政策解读工作细则（试行）》要求，做到解读材料与政策文件同步起草、同步审签、同步发布。积极发挥政府网站第一平台阵地作用。2023年，区政府门户网站转载国家和省、市政策解读材料33条；12345政务服务便民热线全年共受理业务253130件，办结率为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楷体_GB2312" w:hAnsi="楷体_GB2312" w:eastAsia="楷体_GB2312" w:cs="楷体_GB2312"/>
          <w:kern w:val="0"/>
          <w:sz w:val="32"/>
          <w:szCs w:val="32"/>
          <w:shd w:val="clear" w:color="auto" w:fill="FFFFFF"/>
          <w:lang w:val="en-US" w:eastAsia="zh-CN"/>
        </w:rPr>
        <w:t>（六）监督保障工作。</w:t>
      </w:r>
      <w:r>
        <w:rPr>
          <w:rFonts w:hint="eastAsia" w:ascii="仿宋_GB2312" w:hAnsi="仿宋_GB2312" w:eastAsia="仿宋_GB2312" w:cs="仿宋_GB2312"/>
          <w:kern w:val="0"/>
          <w:sz w:val="32"/>
          <w:szCs w:val="32"/>
          <w:shd w:val="clear" w:color="auto" w:fill="FFFFFF"/>
          <w:lang w:val="en-US" w:eastAsia="zh-CN"/>
        </w:rPr>
        <w:t>持续完善政府信息公开监督体系，将政府信息主动公开、依申请公开，以及政策解读、政务舆情、政府信息主动公开基本目录编制等工作落实情况纳入区直部门政务公开绩效考核范围，并确保分值权重不低于4%。同时，按照法治广东建设等考评工作要求，切实加强对区政府部门和各镇（街）政务公开工作的考核。认真落实2023年度全省政务公开评估工作要求，不断提升各单位政务公开工作质量水平。强化对全区政府网站考评检测工作，完善全区政府网站和政务新媒体开展日常监测工作机制，做到每月巡查全覆盖。扎实推进政务公开业务、政府网站与政务新媒体考评工作培训，组织各镇（街）和区直单位结合实际深入开展专项培训，不断提升政府信息公开工作人员的业务素质和能力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b/>
          <w:i w:val="0"/>
          <w:caps w:val="0"/>
          <w:color w:val="333333"/>
          <w:spacing w:val="0"/>
          <w:sz w:val="32"/>
          <w:szCs w:val="32"/>
          <w:shd w:val="clear" w:fill="FFFFFF"/>
        </w:rPr>
      </w:pPr>
      <w:r>
        <w:rPr>
          <w:rFonts w:hint="eastAsia" w:ascii="黑体" w:hAnsi="黑体" w:eastAsia="黑体" w:cs="黑体"/>
          <w:b/>
          <w:i w:val="0"/>
          <w:caps w:val="0"/>
          <w:color w:val="333333"/>
          <w:spacing w:val="0"/>
          <w:sz w:val="32"/>
          <w:szCs w:val="32"/>
          <w:shd w:val="clear" w:fill="FFFFFF"/>
        </w:rPr>
        <w:t>二、主动公开政府信息情况</w:t>
      </w:r>
    </w:p>
    <w:tbl>
      <w:tblPr>
        <w:tblStyle w:val="5"/>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2</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2</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1"/>
                <w:szCs w:val="21"/>
                <w:lang w:val="en-US" w:eastAsia="zh-CN" w:bidi="ar"/>
              </w:rPr>
              <w:t>5</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Times New Roman" w:hAnsi="Times New Roman"/>
                <w:color w:val="auto"/>
                <w:sz w:val="21"/>
                <w:szCs w:val="21"/>
                <w:lang w:val="en-US" w:eastAsia="zh-CN"/>
              </w:rPr>
              <w:t>2528</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4"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Times New Roman" w:hAnsi="Times New Roman"/>
                <w:color w:val="auto"/>
                <w:sz w:val="21"/>
                <w:szCs w:val="21"/>
                <w:lang w:val="en-US" w:eastAsia="zh-CN"/>
              </w:rPr>
              <w:t>218</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Times New Roman" w:hAnsi="Times New Roman"/>
                <w:color w:val="auto"/>
                <w:sz w:val="21"/>
                <w:szCs w:val="21"/>
                <w:lang w:val="en-US" w:eastAsia="zh-CN"/>
              </w:rPr>
              <w:t>30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ind w:firstLine="3360" w:firstLineChars="1400"/>
              <w:textAlignment w:val="auto"/>
              <w:rPr>
                <w:rFonts w:hint="default" w:ascii="宋体" w:eastAsiaTheme="minorEastAsia"/>
                <w:sz w:val="24"/>
                <w:szCs w:val="24"/>
                <w:lang w:val="en-US" w:eastAsia="zh-CN"/>
              </w:rPr>
            </w:pPr>
            <w:r>
              <w:rPr>
                <w:rFonts w:hint="eastAsia" w:ascii="宋体"/>
                <w:sz w:val="24"/>
                <w:szCs w:val="24"/>
                <w:lang w:val="en-US" w:eastAsia="zh-CN"/>
              </w:rPr>
              <w:t>1287.35</w:t>
            </w:r>
          </w:p>
        </w:tc>
      </w:tr>
    </w:tbl>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right="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88" w:type="dxa"/>
            <w:vMerge w:val="continue"/>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23</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1</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1</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single" w:color="auto" w:sz="4" w:space="0"/>
              <w:left w:val="single" w:color="auto" w:sz="8" w:space="0"/>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rPr>
                <w:rFonts w:hint="eastAsia" w:eastAsia="宋体"/>
                <w:lang w:eastAsia="zh-CN"/>
              </w:rPr>
            </w:pPr>
            <w:r>
              <w:rPr>
                <w:rFonts w:hint="eastAsia" w:ascii="宋体" w:hAnsi="宋体" w:eastAsia="宋体" w:cs="宋体"/>
                <w:kern w:val="0"/>
                <w:sz w:val="20"/>
                <w:szCs w:val="20"/>
                <w:lang w:val="en-US" w:eastAsia="zh-CN" w:bidi="ar"/>
              </w:rPr>
              <w:t>（一）予以公开</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3</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1</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1</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4163"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4</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2</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2</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2</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8</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35" w:hRule="atLeast"/>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Calibri" w:hAnsi="Calibri"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single" w:color="auto" w:sz="4" w:space="0"/>
              <w:left w:val="nil"/>
              <w:bottom w:val="single" w:color="auto" w:sz="4"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Calibri" w:hAnsi="Calibri"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943"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322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Theme="minorEastAsia"/>
                <w:lang w:val="en-US" w:eastAsia="zh-CN"/>
              </w:rPr>
            </w:pPr>
            <w:r>
              <w:rPr>
                <w:rFonts w:hint="eastAsia"/>
                <w:lang w:val="en-US" w:eastAsia="zh-CN"/>
              </w:rPr>
              <w:t>4</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4163" w:type="dxa"/>
            <w:gridSpan w:val="2"/>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23</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1</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1</w:t>
            </w:r>
          </w:p>
        </w:tc>
        <w:tc>
          <w:tcPr>
            <w:tcW w:w="688"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lang w:val="en-US" w:eastAsia="zh-CN"/>
              </w:rPr>
            </w:pPr>
            <w:r>
              <w:rPr>
                <w:rFonts w:hint="eastAsia"/>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9"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overflowPunct/>
              <w:topLinePunct w:val="0"/>
              <w:autoSpaceDE/>
              <w:autoSpaceDN/>
              <w:bidi w:val="0"/>
              <w:adjustRightInd/>
              <w:snapToGrid/>
              <w:spacing w:line="560" w:lineRule="exact"/>
              <w:ind w:firstLine="240" w:firstLineChars="100"/>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333333"/>
          <w:spacing w:val="0"/>
          <w:sz w:val="24"/>
          <w:szCs w:val="2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lang w:val="en-US"/>
              </w:rPr>
            </w:pPr>
            <w:r>
              <w:rPr>
                <w:rFonts w:hint="eastAsia" w:ascii="黑体" w:hAnsi="黑体" w:eastAsia="黑体" w:cs="黑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lang w:val="en-US"/>
              </w:rPr>
            </w:pPr>
            <w:r>
              <w:rPr>
                <w:rFonts w:hint="eastAsia" w:ascii="黑体" w:hAnsi="黑体" w:eastAsia="黑体" w:cs="黑体"/>
                <w:kern w:val="0"/>
                <w:sz w:val="20"/>
                <w:szCs w:val="20"/>
                <w:lang w:val="en-US" w:eastAsia="zh-CN" w:bidi="ar"/>
              </w:rPr>
              <w:t>5</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lang w:val="en-US"/>
              </w:rPr>
            </w:pPr>
            <w:r>
              <w:rPr>
                <w:rFonts w:hint="eastAsia" w:ascii="黑体" w:hAnsi="黑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lang w:val="en-US"/>
              </w:rPr>
            </w:pPr>
            <w:r>
              <w:rPr>
                <w:rFonts w:hint="eastAsia" w:ascii="黑体" w:hAnsi="黑体" w:eastAsia="黑体" w:cs="黑体"/>
                <w:kern w:val="0"/>
                <w:sz w:val="20"/>
                <w:szCs w:val="20"/>
                <w:lang w:val="en-US" w:eastAsia="zh-CN" w:bidi="ar"/>
              </w:rPr>
              <w:t>4</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黑体" w:hAnsi="黑体" w:eastAsia="黑体" w:cs="黑体"/>
                <w:lang w:val="en-US"/>
              </w:rPr>
            </w:pPr>
            <w:r>
              <w:rPr>
                <w:rFonts w:hint="eastAsia" w:ascii="黑体" w:hAnsi="黑体" w:eastAsia="黑体" w:cs="黑体"/>
                <w:kern w:val="0"/>
                <w:sz w:val="20"/>
                <w:szCs w:val="20"/>
                <w:lang w:val="en-US" w:eastAsia="zh-CN" w:bidi="ar"/>
              </w:rPr>
              <w:t>10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lang w:val="en-US"/>
              </w:rPr>
            </w:pPr>
            <w:r>
              <w:rPr>
                <w:rFonts w:hint="eastAsia" w:ascii="黑体" w:hAnsi="黑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lang w:val="en-US"/>
              </w:rPr>
            </w:pPr>
            <w:r>
              <w:rPr>
                <w:rFonts w:hint="eastAsia" w:ascii="黑体" w:hAnsi="黑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rPr>
            </w:pPr>
            <w:r>
              <w:rPr>
                <w:rFonts w:hint="eastAsia" w:ascii="黑体" w:hAnsi="黑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lang w:val="en-US"/>
              </w:rPr>
            </w:pPr>
            <w:r>
              <w:rPr>
                <w:rFonts w:hint="eastAsia" w:ascii="黑体" w:hAnsi="黑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lang w:val="en-US"/>
              </w:rPr>
            </w:pPr>
            <w:r>
              <w:rPr>
                <w:rFonts w:hint="eastAsia" w:ascii="黑体" w:hAnsi="黑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rPr>
            </w:pPr>
            <w:r>
              <w:rPr>
                <w:rFonts w:hint="eastAsia" w:ascii="黑体" w:hAnsi="黑体" w:eastAsia="黑体" w:cs="黑体"/>
                <w:kern w:val="0"/>
                <w:sz w:val="20"/>
                <w:szCs w:val="20"/>
                <w:lang w:val="en-US" w:eastAsia="zh-CN" w:bidi="ar"/>
              </w:rPr>
              <w:t>1</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rPr>
            </w:pPr>
            <w:r>
              <w:rPr>
                <w:rFonts w:hint="eastAsia" w:ascii="黑体" w:hAnsi="黑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rPr>
            </w:pPr>
            <w:r>
              <w:rPr>
                <w:rFonts w:hint="eastAsia" w:ascii="黑体" w:hAnsi="黑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lang w:val="en-US"/>
              </w:rPr>
            </w:pPr>
            <w:r>
              <w:rPr>
                <w:rFonts w:hint="eastAsia" w:ascii="黑体" w:hAnsi="黑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1</w:t>
            </w:r>
          </w:p>
        </w:tc>
      </w:tr>
    </w:tbl>
    <w:p>
      <w:pPr>
        <w:keepNext w:val="0"/>
        <w:keepLines w:val="0"/>
        <w:pageBreakBefore w:val="0"/>
        <w:widowControl w:val="0"/>
        <w:kinsoku/>
        <w:wordWrap/>
        <w:overflowPunct/>
        <w:topLinePunct w:val="0"/>
        <w:autoSpaceDE/>
        <w:autoSpaceDN/>
        <w:bidi w:val="0"/>
        <w:adjustRightInd/>
        <w:snapToGrid/>
        <w:spacing w:line="200" w:lineRule="exact"/>
        <w:ind w:firstLine="640" w:firstLineChars="200"/>
        <w:textAlignment w:val="auto"/>
        <w:rPr>
          <w:rFonts w:hint="eastAsia" w:ascii="黑体" w:hAnsi="黑体" w:eastAsia="黑体" w:cs="黑体"/>
          <w:b w:val="0"/>
          <w:bCs/>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2023年，韶关市武江区人民</w:t>
      </w:r>
      <w:bookmarkStart w:id="0" w:name="_GoBack"/>
      <w:bookmarkEnd w:id="0"/>
      <w:r>
        <w:rPr>
          <w:rFonts w:hint="eastAsia" w:ascii="仿宋_GB2312" w:hAnsi="仿宋_GB2312" w:eastAsia="仿宋_GB2312" w:cs="仿宋_GB2312"/>
          <w:kern w:val="0"/>
          <w:sz w:val="32"/>
          <w:szCs w:val="32"/>
          <w:shd w:val="clear" w:color="auto" w:fill="FFFFFF"/>
          <w:lang w:val="en-US" w:eastAsia="zh-CN" w:bidi="ar"/>
        </w:rPr>
        <w:t>政府信息公开工作取得了一定的成效，但也存在一些不足：一是政府信息主动公开力度有待进一步提高。二是政策文件解读质量有待进一步提升。三是依申请公开业务水平有待进一步提升。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下一步韶关市武江区人民政府将按照国家和省、市的决策部署，进一步全面推进政府信息公开工作：一是强化政府信息主动公开，认真做好涉及市场主体、减税降费、扩大有效投资、优化营商环境、就业稳岗、公共企事业单位等方面的信息公开。二是加强政策解读工作，鼓励采取图文、音视频等多种解读形式，切实增强解读效果。三是加强依申请公开答复流程业务知识解答与培训，提升工作人员答复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收取信息处理费的情况：本年度无发出收费通知，无收取信息处理费用。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韶关市武江区人民政府办公室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2024年1月30日</w:t>
      </w:r>
    </w:p>
    <w:p>
      <w:pPr>
        <w:keepNext w:val="0"/>
        <w:keepLines w:val="0"/>
        <w:pageBreakBefore w:val="0"/>
        <w:kinsoku/>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1757"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YTllMjIxNzI0N2QxMjQ4OWIwOTM1MGNkYzljMDAifQ=="/>
  </w:docVars>
  <w:rsids>
    <w:rsidRoot w:val="29D74799"/>
    <w:rsid w:val="006954B8"/>
    <w:rsid w:val="02CA179F"/>
    <w:rsid w:val="036B4D03"/>
    <w:rsid w:val="04305BEE"/>
    <w:rsid w:val="04C32BDF"/>
    <w:rsid w:val="0523067A"/>
    <w:rsid w:val="055E085F"/>
    <w:rsid w:val="0661309E"/>
    <w:rsid w:val="071311AA"/>
    <w:rsid w:val="07C14757"/>
    <w:rsid w:val="07FD2059"/>
    <w:rsid w:val="0809043D"/>
    <w:rsid w:val="08D6430E"/>
    <w:rsid w:val="09324FA1"/>
    <w:rsid w:val="09525181"/>
    <w:rsid w:val="0AFB1713"/>
    <w:rsid w:val="0BA73F8A"/>
    <w:rsid w:val="0E9B59EF"/>
    <w:rsid w:val="0FB70159"/>
    <w:rsid w:val="103A162C"/>
    <w:rsid w:val="122214CC"/>
    <w:rsid w:val="12833AF0"/>
    <w:rsid w:val="14216A14"/>
    <w:rsid w:val="14BC4694"/>
    <w:rsid w:val="15D43E5C"/>
    <w:rsid w:val="16D162FD"/>
    <w:rsid w:val="17BE1C60"/>
    <w:rsid w:val="17CE1BA5"/>
    <w:rsid w:val="19644810"/>
    <w:rsid w:val="1C1D0A2D"/>
    <w:rsid w:val="1C274BC0"/>
    <w:rsid w:val="1CAE031C"/>
    <w:rsid w:val="1D1979CC"/>
    <w:rsid w:val="1DB765D0"/>
    <w:rsid w:val="1DBA3CD2"/>
    <w:rsid w:val="204E170C"/>
    <w:rsid w:val="20A668BE"/>
    <w:rsid w:val="22AD4B1E"/>
    <w:rsid w:val="22C205C9"/>
    <w:rsid w:val="22E03FC4"/>
    <w:rsid w:val="238F08E5"/>
    <w:rsid w:val="23DC09E4"/>
    <w:rsid w:val="260B31F7"/>
    <w:rsid w:val="26A22471"/>
    <w:rsid w:val="26AB74FD"/>
    <w:rsid w:val="27E078FA"/>
    <w:rsid w:val="28D4148C"/>
    <w:rsid w:val="29D74799"/>
    <w:rsid w:val="2AF46F08"/>
    <w:rsid w:val="2B2F386A"/>
    <w:rsid w:val="2B4D5018"/>
    <w:rsid w:val="2C4555B0"/>
    <w:rsid w:val="2C7B5A8A"/>
    <w:rsid w:val="2CF31F2F"/>
    <w:rsid w:val="2D73279F"/>
    <w:rsid w:val="2E731311"/>
    <w:rsid w:val="2FA76EBB"/>
    <w:rsid w:val="2FC86B82"/>
    <w:rsid w:val="301A06D0"/>
    <w:rsid w:val="31557E7B"/>
    <w:rsid w:val="31AD3D8D"/>
    <w:rsid w:val="32180206"/>
    <w:rsid w:val="327F40E6"/>
    <w:rsid w:val="33117C65"/>
    <w:rsid w:val="33F31A49"/>
    <w:rsid w:val="358E17EA"/>
    <w:rsid w:val="36C64D6A"/>
    <w:rsid w:val="38FD1F03"/>
    <w:rsid w:val="39B750BD"/>
    <w:rsid w:val="3A7641F6"/>
    <w:rsid w:val="3B011BDC"/>
    <w:rsid w:val="3DC9750D"/>
    <w:rsid w:val="3DDD580C"/>
    <w:rsid w:val="3E994F65"/>
    <w:rsid w:val="3F2226C4"/>
    <w:rsid w:val="3F5C36FF"/>
    <w:rsid w:val="40111499"/>
    <w:rsid w:val="407E6B93"/>
    <w:rsid w:val="44DB18EF"/>
    <w:rsid w:val="490779DE"/>
    <w:rsid w:val="4A2E7440"/>
    <w:rsid w:val="4A84631D"/>
    <w:rsid w:val="4AB539CE"/>
    <w:rsid w:val="4B4D5699"/>
    <w:rsid w:val="50125E3D"/>
    <w:rsid w:val="50791A93"/>
    <w:rsid w:val="51E754ED"/>
    <w:rsid w:val="51F0037B"/>
    <w:rsid w:val="540F5486"/>
    <w:rsid w:val="54244A97"/>
    <w:rsid w:val="54CF07B4"/>
    <w:rsid w:val="56B802D4"/>
    <w:rsid w:val="572D17AE"/>
    <w:rsid w:val="58C4720D"/>
    <w:rsid w:val="592F3F03"/>
    <w:rsid w:val="5A0A1945"/>
    <w:rsid w:val="5A363A8E"/>
    <w:rsid w:val="5A7B5B6B"/>
    <w:rsid w:val="5C9D7700"/>
    <w:rsid w:val="5CA34E8C"/>
    <w:rsid w:val="5CA4708A"/>
    <w:rsid w:val="5CB97030"/>
    <w:rsid w:val="5DBA4654"/>
    <w:rsid w:val="5F8374C3"/>
    <w:rsid w:val="62552798"/>
    <w:rsid w:val="62EC58CC"/>
    <w:rsid w:val="63251BB8"/>
    <w:rsid w:val="636807D4"/>
    <w:rsid w:val="637E3935"/>
    <w:rsid w:val="656C74F3"/>
    <w:rsid w:val="66F3261A"/>
    <w:rsid w:val="67347666"/>
    <w:rsid w:val="677E01D8"/>
    <w:rsid w:val="68B172D0"/>
    <w:rsid w:val="68C462F1"/>
    <w:rsid w:val="695D51EA"/>
    <w:rsid w:val="6A7D30C3"/>
    <w:rsid w:val="6C6241DE"/>
    <w:rsid w:val="6C770900"/>
    <w:rsid w:val="6CF92406"/>
    <w:rsid w:val="6D3F614A"/>
    <w:rsid w:val="6E4843FE"/>
    <w:rsid w:val="6F335B26"/>
    <w:rsid w:val="70652E02"/>
    <w:rsid w:val="70A67126"/>
    <w:rsid w:val="717D06BD"/>
    <w:rsid w:val="725738A4"/>
    <w:rsid w:val="733046A8"/>
    <w:rsid w:val="73A43546"/>
    <w:rsid w:val="75714DBB"/>
    <w:rsid w:val="7685772F"/>
    <w:rsid w:val="77954AC0"/>
    <w:rsid w:val="78A461A2"/>
    <w:rsid w:val="79617730"/>
    <w:rsid w:val="7A9B3AB3"/>
    <w:rsid w:val="7B9C10D8"/>
    <w:rsid w:val="7BFB4974"/>
    <w:rsid w:val="7CC51E3F"/>
    <w:rsid w:val="7CCB75CB"/>
    <w:rsid w:val="7DFC584B"/>
    <w:rsid w:val="7E3512F7"/>
    <w:rsid w:val="7FEB4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ht706\C:\Users\Administrator\AppData\Roaming\kingsoft\office6\templates\wps\zh_CN\&#20844;&#25991;&#27169;&#26495;1.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公文模板1.dotm</Template>
  <Company>韶关市武江区政务服务数据管理局</Company>
  <Pages>7</Pages>
  <Words>0</Words>
  <Characters>0</Characters>
  <Lines>0</Lines>
  <Paragraphs>0</Paragraphs>
  <TotalTime>56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2023-01-10T14:40:00Z</dcterms:created>
  <dc:creator>hjd</dc:creator>
  <cp:lastModifiedBy>微信用户</cp:lastModifiedBy>
  <cp:lastPrinted>2024-01-25T11:38:00Z</cp:lastPrinted>
  <dcterms:modified xsi:type="dcterms:W3CDTF">2024-05-21T07:46:42Z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F84D3A22FD5B4078B6CC7F3580633F42</vt:lpwstr>
  </property>
</Properties>
</file>