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eastAsia="方正大标宋简体"/>
          <w:color w:val="FF0000"/>
          <w:spacing w:val="-20"/>
          <w:w w:val="80"/>
          <w:sz w:val="90"/>
          <w:szCs w:val="90"/>
        </w:rPr>
      </w:pPr>
      <w:r>
        <w:rPr>
          <w:rFonts w:hint="eastAsia" w:ascii="宋体"/>
          <w:b/>
          <w:bCs/>
          <w:color w:val="FF0000"/>
          <w:spacing w:val="-60"/>
          <w:sz w:val="72"/>
          <w:szCs w:val="72"/>
        </w:rPr>
        <w:t>韶关市武江区</w:t>
      </w:r>
      <w:r>
        <w:rPr>
          <w:rFonts w:hint="eastAsia" w:ascii="宋体"/>
          <w:b/>
          <w:bCs/>
          <w:color w:val="FF0000"/>
          <w:spacing w:val="-60"/>
          <w:sz w:val="72"/>
          <w:szCs w:val="72"/>
          <w:lang w:val="en-US" w:eastAsia="zh-CN"/>
        </w:rPr>
        <w:t>市场监督</w:t>
      </w:r>
      <w:r>
        <w:rPr>
          <w:rFonts w:hint="eastAsia" w:ascii="宋体"/>
          <w:b/>
          <w:bCs/>
          <w:color w:val="FF0000"/>
          <w:spacing w:val="-60"/>
          <w:sz w:val="72"/>
          <w:szCs w:val="72"/>
        </w:rPr>
        <w:t>管理局</w:t>
      </w:r>
    </w:p>
    <w:tbl>
      <w:tblPr>
        <w:tblStyle w:val="8"/>
        <w:tblW w:w="0" w:type="auto"/>
        <w:jc w:val="center"/>
        <w:tblBorders>
          <w:top w:val="thinThickSmallGap" w:color="FF0000" w:sz="2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43"/>
      </w:tblGrid>
      <w:tr>
        <w:tblPrEx>
          <w:tblBorders>
            <w:top w:val="thinThickSmallGap" w:color="FF0000" w:sz="2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 w:hRule="atLeast"/>
          <w:jc w:val="center"/>
        </w:trPr>
        <w:tc>
          <w:tcPr>
            <w:tcW w:w="9743" w:type="dxa"/>
            <w:tcBorders>
              <w:top w:val="thinThickSmallGap" w:color="FF0000" w:sz="24" w:space="0"/>
              <w:left w:val="nil"/>
              <w:bottom w:val="nil"/>
              <w:right w:val="nil"/>
            </w:tcBorders>
            <w:noWrap w:val="0"/>
            <w:vAlign w:val="top"/>
          </w:tcPr>
          <w:p>
            <w:pPr>
              <w:spacing w:line="20" w:lineRule="exact"/>
              <w:ind w:right="252" w:rightChars="120"/>
              <w:jc w:val="center"/>
              <w:rPr>
                <w:rFonts w:hint="eastAsia" w:ascii="方正小标宋简体" w:hAnsi="方正小标宋简体" w:eastAsia="方正小标宋简体" w:cs="方正小标宋简体"/>
                <w:color w:val="FF0000"/>
                <w:sz w:val="44"/>
                <w:szCs w:val="44"/>
              </w:rPr>
            </w:pPr>
          </w:p>
        </w:tc>
      </w:tr>
    </w:tbl>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武江区市场监管局</w:t>
      </w:r>
      <w:r>
        <w:rPr>
          <w:rFonts w:hint="eastAsia" w:ascii="方正小标宋简体" w:hAnsi="方正小标宋简体" w:eastAsia="方正小标宋简体" w:cs="方正小标宋简体"/>
          <w:sz w:val="44"/>
          <w:szCs w:val="44"/>
        </w:rPr>
        <w:t>2023年工作总结</w:t>
      </w:r>
      <w:r>
        <w:rPr>
          <w:rFonts w:hint="eastAsia" w:ascii="方正小标宋简体" w:hAnsi="方正小标宋简体" w:eastAsia="方正小标宋简体" w:cs="方正小标宋简体"/>
          <w:sz w:val="44"/>
          <w:szCs w:val="44"/>
          <w:lang w:val="en-US" w:eastAsia="zh-CN"/>
        </w:rPr>
        <w:t>及</w:t>
      </w:r>
    </w:p>
    <w:p>
      <w:pPr>
        <w:jc w:val="center"/>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2024年工作计划</w:t>
      </w:r>
    </w:p>
    <w:p>
      <w:pPr>
        <w:rPr>
          <w:rFonts w:hint="eastAsia" w:ascii="黑体" w:hAnsi="黑体" w:eastAsia="黑体" w:cs="黑体"/>
          <w:sz w:val="32"/>
          <w:szCs w:val="32"/>
        </w:rPr>
      </w:pPr>
    </w:p>
    <w:p>
      <w:pPr>
        <w:keepNext w:val="0"/>
        <w:keepLines w:val="0"/>
        <w:pageBreakBefore w:val="0"/>
        <w:kinsoku/>
        <w:wordWrap/>
        <w:overflowPunct/>
        <w:topLinePunct w:val="0"/>
        <w:autoSpaceDN/>
        <w:bidi w:val="0"/>
        <w:spacing w:line="560" w:lineRule="exact"/>
        <w:ind w:firstLine="640"/>
        <w:jc w:val="left"/>
        <w:textAlignment w:val="auto"/>
        <w:rPr>
          <w:rFonts w:hint="eastAsia" w:ascii="黑体" w:hAnsi="黑体" w:eastAsia="黑体" w:cs="黑体"/>
          <w:sz w:val="32"/>
          <w:szCs w:val="32"/>
        </w:rPr>
      </w:pPr>
      <w:r>
        <w:rPr>
          <w:rFonts w:hint="eastAsia" w:ascii="仿宋_GB2312" w:hAnsi="仿宋_GB2312" w:eastAsia="仿宋_GB2312" w:cs="仿宋_GB2312"/>
          <w:sz w:val="32"/>
          <w:szCs w:val="32"/>
          <w:lang w:val="en-US" w:eastAsia="zh-CN"/>
        </w:rPr>
        <w:t>2023年，武江区市场局紧紧围绕区委、区政府的总体部署，充分发挥市场监管部门职能，积极开展大服务、大监管、大执法，扎实推进市场主体发展、食品药品安全监管、特种设备监察等工作，切实保障市场秩序稳定运行。</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一、工作情况</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(一)目标完成情况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1.市场主体增长情况。</w:t>
      </w:r>
      <w:r>
        <w:rPr>
          <w:rFonts w:hint="eastAsia" w:ascii="仿宋_GB2312" w:hAnsi="仿宋_GB2312" w:eastAsia="仿宋_GB2312" w:cs="仿宋_GB2312"/>
          <w:sz w:val="32"/>
          <w:szCs w:val="32"/>
        </w:rPr>
        <w:t>截止到202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月底，全区登记市场主体</w:t>
      </w:r>
      <w:r>
        <w:rPr>
          <w:rFonts w:hint="eastAsia" w:ascii="仿宋_GB2312" w:hAnsi="仿宋_GB2312" w:eastAsia="仿宋_GB2312" w:cs="仿宋_GB2312"/>
          <w:sz w:val="32"/>
          <w:szCs w:val="32"/>
          <w:lang w:val="en-US" w:eastAsia="zh-CN"/>
        </w:rPr>
        <w:t>30066</w:t>
      </w:r>
      <w:r>
        <w:rPr>
          <w:rFonts w:hint="eastAsia" w:ascii="仿宋_GB2312" w:hAnsi="仿宋_GB2312" w:eastAsia="仿宋_GB2312" w:cs="仿宋_GB2312"/>
          <w:sz w:val="32"/>
          <w:szCs w:val="32"/>
        </w:rPr>
        <w:t>户，注册资本（金）5503401.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万元，从业人员100343人，与去年同期相比增长分别为</w:t>
      </w:r>
      <w:r>
        <w:rPr>
          <w:rFonts w:hint="eastAsia" w:ascii="仿宋_GB2312" w:hAnsi="仿宋_GB2312" w:eastAsia="仿宋_GB2312" w:cs="仿宋_GB2312"/>
          <w:sz w:val="32"/>
          <w:szCs w:val="32"/>
          <w:lang w:val="en-US" w:eastAsia="zh-CN"/>
        </w:rPr>
        <w:t>17.67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8.59</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1.68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今年以来</w:t>
      </w:r>
      <w:r>
        <w:rPr>
          <w:rFonts w:hint="eastAsia" w:ascii="仿宋_GB2312" w:hAnsi="仿宋_GB2312" w:eastAsia="仿宋_GB2312" w:cs="仿宋_GB2312"/>
          <w:sz w:val="32"/>
          <w:szCs w:val="32"/>
        </w:rPr>
        <w:t>新登记市场主体</w:t>
      </w:r>
      <w:r>
        <w:rPr>
          <w:rFonts w:hint="eastAsia" w:ascii="仿宋_GB2312" w:hAnsi="仿宋_GB2312" w:eastAsia="仿宋_GB2312" w:cs="仿宋_GB2312"/>
          <w:sz w:val="32"/>
          <w:szCs w:val="32"/>
          <w:lang w:val="en-US" w:eastAsia="zh-CN"/>
        </w:rPr>
        <w:t>4127</w:t>
      </w:r>
      <w:r>
        <w:rPr>
          <w:rFonts w:hint="eastAsia" w:ascii="仿宋_GB2312" w:hAnsi="仿宋_GB2312" w:eastAsia="仿宋_GB2312" w:cs="仿宋_GB2312"/>
          <w:sz w:val="32"/>
          <w:szCs w:val="32"/>
        </w:rPr>
        <w:t>户，其中，企业8</w:t>
      </w:r>
      <w:r>
        <w:rPr>
          <w:rFonts w:hint="eastAsia" w:ascii="仿宋_GB2312" w:hAnsi="仿宋_GB2312" w:eastAsia="仿宋_GB2312" w:cs="仿宋_GB2312"/>
          <w:sz w:val="32"/>
          <w:szCs w:val="32"/>
          <w:lang w:val="en-US" w:eastAsia="zh-CN"/>
        </w:rPr>
        <w:t>79</w:t>
      </w:r>
      <w:r>
        <w:rPr>
          <w:rFonts w:hint="eastAsia" w:ascii="仿宋_GB2312" w:hAnsi="仿宋_GB2312" w:eastAsia="仿宋_GB2312" w:cs="仿宋_GB2312"/>
          <w:sz w:val="32"/>
          <w:szCs w:val="32"/>
        </w:rPr>
        <w:t>户，</w:t>
      </w:r>
      <w:r>
        <w:rPr>
          <w:rFonts w:hint="eastAsia" w:ascii="仿宋_GB2312" w:hAnsi="仿宋_GB2312" w:eastAsia="仿宋_GB2312" w:cs="仿宋_GB2312"/>
          <w:sz w:val="32"/>
          <w:szCs w:val="32"/>
          <w:lang w:eastAsia="zh-CN"/>
        </w:rPr>
        <w:t>农民专业合作社</w:t>
      </w:r>
      <w:r>
        <w:rPr>
          <w:rFonts w:hint="eastAsia" w:ascii="仿宋_GB2312" w:hAnsi="仿宋_GB2312" w:eastAsia="仿宋_GB2312" w:cs="仿宋_GB2312"/>
          <w:sz w:val="32"/>
          <w:szCs w:val="32"/>
          <w:lang w:val="en-US" w:eastAsia="zh-CN"/>
        </w:rPr>
        <w:t>3户，</w:t>
      </w:r>
      <w:r>
        <w:rPr>
          <w:rFonts w:hint="eastAsia" w:ascii="仿宋_GB2312" w:hAnsi="仿宋_GB2312" w:eastAsia="仿宋_GB2312" w:cs="仿宋_GB2312"/>
          <w:sz w:val="32"/>
          <w:szCs w:val="32"/>
        </w:rPr>
        <w:t>个体工商户</w:t>
      </w:r>
      <w:r>
        <w:rPr>
          <w:rFonts w:hint="eastAsia" w:ascii="仿宋_GB2312" w:hAnsi="仿宋_GB2312" w:eastAsia="仿宋_GB2312" w:cs="仿宋_GB2312"/>
          <w:sz w:val="32"/>
          <w:szCs w:val="32"/>
          <w:lang w:val="en-US" w:eastAsia="zh-CN"/>
        </w:rPr>
        <w:t>3245</w:t>
      </w:r>
      <w:r>
        <w:rPr>
          <w:rFonts w:hint="eastAsia" w:ascii="仿宋_GB2312" w:hAnsi="仿宋_GB2312" w:eastAsia="仿宋_GB2312" w:cs="仿宋_GB2312"/>
          <w:sz w:val="32"/>
          <w:szCs w:val="32"/>
        </w:rPr>
        <w:t>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餐饮业经济工作。</w:t>
      </w:r>
      <w:r>
        <w:rPr>
          <w:rFonts w:hint="eastAsia" w:ascii="仿宋_GB2312" w:hAnsi="仿宋_GB2312" w:eastAsia="仿宋_GB2312" w:cs="仿宋_GB2312"/>
          <w:sz w:val="32"/>
          <w:szCs w:val="32"/>
        </w:rPr>
        <w:t>武江区限上餐饮企业2023年</w:t>
      </w:r>
      <w:r>
        <w:rPr>
          <w:rFonts w:hint="eastAsia" w:ascii="仿宋_GB2312" w:hAnsi="仿宋_GB2312" w:eastAsia="仿宋_GB2312" w:cs="仿宋_GB2312"/>
          <w:sz w:val="32"/>
          <w:szCs w:val="32"/>
          <w:lang w:eastAsia="zh-CN"/>
        </w:rPr>
        <w:t>预计</w:t>
      </w:r>
      <w:r>
        <w:rPr>
          <w:rFonts w:hint="eastAsia" w:ascii="仿宋_GB2312" w:hAnsi="仿宋_GB2312" w:eastAsia="仿宋_GB2312" w:cs="仿宋_GB2312"/>
          <w:sz w:val="32"/>
          <w:szCs w:val="32"/>
        </w:rPr>
        <w:t>营业额</w:t>
      </w:r>
      <w:r>
        <w:rPr>
          <w:rFonts w:hint="eastAsia" w:ascii="仿宋_GB2312" w:hAnsi="仿宋_GB2312" w:eastAsia="仿宋_GB2312" w:cs="仿宋_GB2312"/>
          <w:sz w:val="32"/>
          <w:szCs w:val="32"/>
          <w:lang w:val="en-US" w:eastAsia="zh-CN"/>
        </w:rPr>
        <w:t>1.44亿</w:t>
      </w:r>
      <w:r>
        <w:rPr>
          <w:rFonts w:hint="eastAsia" w:ascii="仿宋_GB2312" w:hAnsi="仿宋_GB2312" w:eastAsia="仿宋_GB2312" w:cs="仿宋_GB2312"/>
          <w:sz w:val="32"/>
          <w:szCs w:val="32"/>
        </w:rPr>
        <w:t>元，同比增长</w:t>
      </w:r>
      <w:r>
        <w:rPr>
          <w:rFonts w:hint="eastAsia" w:ascii="仿宋_GB2312" w:hAnsi="仿宋_GB2312" w:eastAsia="仿宋_GB2312" w:cs="仿宋_GB2312"/>
          <w:b w:val="0"/>
          <w:bCs w:val="0"/>
          <w:color w:val="auto"/>
          <w:sz w:val="32"/>
          <w:szCs w:val="32"/>
          <w:highlight w:val="none"/>
          <w:shd w:val="clear" w:color="auto" w:fill="FFFFFF"/>
          <w:lang w:val="en-US" w:eastAsia="zh-CN"/>
        </w:rPr>
        <w:t>29%</w:t>
      </w:r>
      <w:r>
        <w:rPr>
          <w:rFonts w:hint="eastAsia" w:ascii="仿宋_GB2312" w:hAnsi="仿宋_GB2312" w:eastAsia="仿宋_GB2312" w:cs="仿宋_GB2312"/>
          <w:sz w:val="32"/>
          <w:szCs w:val="32"/>
        </w:rPr>
        <w:t>。</w:t>
      </w:r>
    </w:p>
    <w:p>
      <w:pPr>
        <w:pStyle w:val="5"/>
        <w:ind w:left="0" w:leftChars="0"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餐饮企业纳统工作。</w:t>
      </w:r>
      <w:r>
        <w:rPr>
          <w:rFonts w:hint="eastAsia" w:ascii="仿宋_GB2312" w:hAnsi="仿宋_GB2312" w:eastAsia="仿宋_GB2312" w:cs="仿宋_GB2312"/>
          <w:sz w:val="32"/>
          <w:lang w:val="en-US" w:eastAsia="zh-CN"/>
        </w:rPr>
        <w:t>2022年</w:t>
      </w:r>
      <w:r>
        <w:rPr>
          <w:rFonts w:hint="eastAsia" w:ascii="仿宋_GB2312" w:hAnsi="仿宋_GB2312" w:eastAsia="仿宋_GB2312" w:cs="仿宋_GB2312"/>
          <w:sz w:val="32"/>
        </w:rPr>
        <w:t>武江区餐饮限上企业共17家，2023年</w:t>
      </w:r>
      <w:r>
        <w:rPr>
          <w:rFonts w:hint="eastAsia" w:ascii="仿宋_GB2312" w:hAnsi="仿宋_GB2312" w:eastAsia="仿宋_GB2312" w:cs="仿宋_GB2312"/>
          <w:color w:val="auto"/>
          <w:kern w:val="2"/>
          <w:sz w:val="32"/>
          <w:szCs w:val="32"/>
          <w:u w:val="none" w:color="auto"/>
          <w:lang w:val="en-US" w:eastAsia="zh-CN" w:bidi="ar-SA"/>
        </w:rPr>
        <w:t>韶关椰林餐饮服务有限公司已完成当年入库纳统，11月韶关市恒胜七海里餐饮有限公司将提交材料并完成年度入库，届时</w:t>
      </w:r>
      <w:r>
        <w:rPr>
          <w:rFonts w:hint="eastAsia" w:ascii="仿宋_GB2312" w:hAnsi="仿宋_GB2312" w:eastAsia="仿宋_GB2312" w:cs="仿宋_GB2312"/>
          <w:sz w:val="32"/>
        </w:rPr>
        <w:t>武江区餐饮限上企业</w:t>
      </w:r>
      <w:r>
        <w:rPr>
          <w:rFonts w:hint="eastAsia" w:ascii="仿宋_GB2312" w:hAnsi="仿宋_GB2312" w:eastAsia="仿宋_GB2312" w:cs="仿宋_GB2312"/>
          <w:sz w:val="32"/>
          <w:lang w:eastAsia="zh-CN"/>
        </w:rPr>
        <w:t>将达到</w:t>
      </w:r>
      <w:r>
        <w:rPr>
          <w:rFonts w:hint="eastAsia" w:ascii="仿宋_GB2312" w:hAnsi="仿宋_GB2312" w:eastAsia="仿宋_GB2312" w:cs="仿宋_GB2312"/>
          <w:sz w:val="32"/>
        </w:rPr>
        <w:t>1</w:t>
      </w:r>
      <w:r>
        <w:rPr>
          <w:rFonts w:hint="eastAsia" w:ascii="仿宋_GB2312" w:hAnsi="仿宋_GB2312" w:eastAsia="仿宋_GB2312" w:cs="仿宋_GB2312"/>
          <w:sz w:val="32"/>
          <w:lang w:val="en-US" w:eastAsia="zh-CN"/>
        </w:rPr>
        <w:t>9</w:t>
      </w:r>
      <w:r>
        <w:rPr>
          <w:rFonts w:hint="eastAsia" w:ascii="仿宋_GB2312" w:hAnsi="仿宋_GB2312" w:eastAsia="仿宋_GB2312" w:cs="仿宋_GB2312"/>
          <w:sz w:val="32"/>
        </w:rPr>
        <w:t>家。</w:t>
      </w:r>
    </w:p>
    <w:p>
      <w:pPr>
        <w:numPr>
          <w:ilvl w:val="0"/>
          <w:numId w:val="0"/>
        </w:num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工作亮点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推进商事登记智能化审批</w:t>
      </w:r>
      <w:r>
        <w:rPr>
          <w:rFonts w:hint="eastAsia" w:ascii="仿宋_GB2312" w:hAnsi="仿宋_GB2312" w:eastAsia="仿宋_GB2312" w:cs="仿宋_GB2312"/>
          <w:sz w:val="32"/>
          <w:szCs w:val="32"/>
          <w:lang w:eastAsia="zh-CN"/>
        </w:rPr>
        <w:t>。通过韶关市场监管微信公众号的“智能办照”，推行“微信+智能化审批” 登记注册“全程电子化”服务，申请人可直接在手机端发起设立登记申请，进行身份认证、数据填报、电子签名等步骤，智能化生成业务办理结果，实现“随时随地，即报即批”的智能审批，实现“零资料、零见面、零跑路”，推动商事主体登记业务从“面对面”到“全自动”的服务模式转变。今年以来我区有7</w:t>
      </w:r>
      <w:r>
        <w:rPr>
          <w:rFonts w:hint="eastAsia" w:ascii="仿宋_GB2312" w:hAnsi="仿宋_GB2312" w:eastAsia="仿宋_GB2312" w:cs="仿宋_GB2312"/>
          <w:sz w:val="32"/>
          <w:szCs w:val="32"/>
          <w:lang w:val="en-US" w:eastAsia="zh-CN"/>
        </w:rPr>
        <w:t>59</w:t>
      </w:r>
      <w:r>
        <w:rPr>
          <w:rFonts w:hint="eastAsia" w:ascii="仿宋_GB2312" w:hAnsi="仿宋_GB2312" w:eastAsia="仿宋_GB2312" w:cs="仿宋_GB2312"/>
          <w:sz w:val="32"/>
          <w:szCs w:val="32"/>
          <w:lang w:eastAsia="zh-CN"/>
        </w:rPr>
        <w:t>户市场主体通过智能审批系统办理了商事登记。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2.2023年</w:t>
      </w:r>
      <w:r>
        <w:rPr>
          <w:rFonts w:hint="eastAsia" w:ascii="仿宋_GB2312" w:hAnsi="仿宋_GB2312" w:eastAsia="仿宋_GB2312" w:cs="仿宋_GB2312"/>
          <w:sz w:val="32"/>
          <w:szCs w:val="32"/>
          <w:lang w:eastAsia="zh-CN"/>
        </w:rPr>
        <w:t>9月，组织武江辖区7家企业参加由省</w:t>
      </w:r>
      <w:r>
        <w:rPr>
          <w:rFonts w:hint="eastAsia" w:ascii="仿宋_GB2312" w:hAnsi="仿宋_GB2312" w:eastAsia="仿宋_GB2312" w:cs="仿宋_GB2312"/>
          <w:sz w:val="32"/>
          <w:szCs w:val="32"/>
          <w:lang w:val="en-US" w:eastAsia="zh-CN"/>
        </w:rPr>
        <w:t>市场监管</w:t>
      </w:r>
      <w:r>
        <w:rPr>
          <w:rFonts w:hint="eastAsia" w:ascii="仿宋_GB2312" w:hAnsi="仿宋_GB2312" w:eastAsia="仿宋_GB2312" w:cs="仿宋_GB2312"/>
          <w:sz w:val="32"/>
          <w:szCs w:val="32"/>
          <w:lang w:eastAsia="zh-CN"/>
        </w:rPr>
        <w:t>局主办的首届粤东西北知识产权创业创新大赛，其中3家企业进入决赛（</w:t>
      </w:r>
      <w:r>
        <w:rPr>
          <w:rFonts w:hint="eastAsia" w:ascii="仿宋_GB2312" w:hAnsi="仿宋_GB2312" w:eastAsia="仿宋_GB2312" w:cs="仿宋_GB2312"/>
          <w:sz w:val="32"/>
          <w:szCs w:val="32"/>
          <w:lang w:val="en-US" w:eastAsia="zh-CN"/>
        </w:rPr>
        <w:t>全市共</w:t>
      </w:r>
      <w:r>
        <w:rPr>
          <w:rFonts w:hint="eastAsia" w:ascii="仿宋_GB2312" w:hAnsi="仿宋_GB2312" w:eastAsia="仿宋_GB2312" w:cs="仿宋_GB2312"/>
          <w:sz w:val="32"/>
          <w:szCs w:val="32"/>
          <w:lang w:eastAsia="zh-CN"/>
        </w:rPr>
        <w:t>有4家企业进入决赛，进入决赛即获银奖）。韶能集团韶关宏大齿轮有限公司“新能源汽车传动轴轮制造关键技术开发及产业化”、丽珠集团利民制药厂“参芪扶正注射液质量控制及产品升级关键技术”分获发明组第四、第五名。</w:t>
      </w:r>
    </w:p>
    <w:p>
      <w:pPr>
        <w:numPr>
          <w:ilvl w:val="0"/>
          <w:numId w:val="0"/>
        </w:num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主要举措</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1.简程序，优服务，提升注册登记便利度。</w:t>
      </w:r>
      <w:r>
        <w:rPr>
          <w:rFonts w:hint="eastAsia" w:ascii="仿宋_GB2312" w:hAnsi="仿宋_GB2312" w:eastAsia="仿宋_GB2312" w:cs="仿宋_GB2312"/>
          <w:sz w:val="32"/>
          <w:szCs w:val="32"/>
          <w:lang w:val="en-US" w:eastAsia="zh-CN"/>
        </w:rPr>
        <w:t>一是推行“一网通办、一窗通取”服务模式。依托省开办企业“一网通办”平台，将开办企业涉及到的商事登记、印章刻制、发票申领和税控设备、员工参保登记、住房公积金缴存登记、银行开户等多个事项整合，办事环节压至1个，实现开办企业全流程“一网通办、一窗通取”服务模式。二是大力推行全程电子化登记。全面推行注册登记业务“网上办”、“零见面”，今年以来网上登记系统完成3426笔业务的初审，进一步促进了注册登记电子化和便利化，市场准入更便捷、营商环境更优化。三是支持个体工商户发展。全面贯彻落实《促进个体工商户发展条例》，便利了个体工商户经营权的转让，实现了个体工商户变更经营者在成立时间、字号和相关行政许可方面的延续，有利于个体工商户持续经营。有利于个体工商户持续经营。</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3" w:firstLineChars="200"/>
        <w:jc w:val="both"/>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2.守底线、强监管，筑牢民生安全防线</w:t>
      </w:r>
    </w:p>
    <w:p>
      <w:pPr>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充分发挥区食药安办牵头抓总作用。</w:t>
      </w:r>
      <w:r>
        <w:rPr>
          <w:rFonts w:hint="eastAsia" w:ascii="仿宋_GB2312" w:hAnsi="仿宋_GB2312" w:eastAsia="仿宋_GB2312" w:cs="仿宋_GB2312"/>
          <w:b w:val="0"/>
          <w:bCs w:val="0"/>
          <w:sz w:val="32"/>
          <w:szCs w:val="32"/>
          <w:lang w:val="en-US" w:eastAsia="zh-CN"/>
        </w:rPr>
        <w:t>一是</w:t>
      </w:r>
      <w:r>
        <w:rPr>
          <w:rFonts w:hint="eastAsia" w:ascii="仿宋_GB2312" w:hAnsi="仿宋_GB2312" w:eastAsia="仿宋_GB2312" w:cs="仿宋_GB2312"/>
          <w:b w:val="0"/>
          <w:bCs w:val="0"/>
          <w:sz w:val="32"/>
          <w:szCs w:val="32"/>
          <w:lang w:eastAsia="zh-CN"/>
        </w:rPr>
        <w:t>制定印发2023 年食品安全重点工作安排，厘清各成员单位工作职能。</w:t>
      </w:r>
      <w:r>
        <w:rPr>
          <w:rFonts w:hint="eastAsia" w:ascii="仿宋_GB2312" w:hAnsi="仿宋_GB2312" w:eastAsia="仿宋_GB2312" w:cs="仿宋_GB2312"/>
          <w:b w:val="0"/>
          <w:bCs w:val="0"/>
          <w:sz w:val="32"/>
          <w:szCs w:val="32"/>
          <w:highlight w:val="none"/>
          <w:lang w:eastAsia="zh-CN"/>
        </w:rPr>
        <w:t>健全镇（街）食药安办实体化运行机制，</w:t>
      </w:r>
      <w:r>
        <w:rPr>
          <w:rFonts w:hint="eastAsia" w:ascii="仿宋_GB2312" w:hAnsi="仿宋_GB2312" w:eastAsia="仿宋_GB2312" w:cs="仿宋_GB2312"/>
          <w:b w:val="0"/>
          <w:bCs w:val="0"/>
          <w:sz w:val="32"/>
          <w:szCs w:val="32"/>
          <w:lang w:eastAsia="zh-CN"/>
        </w:rPr>
        <w:t>推动倡导村（居）建立食药安工作站，更好发挥综合协调作用。印发《关于及早谋划2023年食品安全评议考核工作的通知》，落实食品安全领导调研研究部署、纳入重点工作督办、纳入考核评议、监管力量建设、制度建设、表彰奖励等年度规定动作。</w:t>
      </w:r>
      <w:r>
        <w:rPr>
          <w:rFonts w:hint="eastAsia" w:ascii="仿宋_GB2312" w:hAnsi="仿宋_GB2312" w:eastAsia="仿宋_GB2312" w:cs="仿宋_GB2312"/>
          <w:b w:val="0"/>
          <w:bCs w:val="0"/>
          <w:sz w:val="32"/>
          <w:szCs w:val="32"/>
          <w:lang w:val="en-US" w:eastAsia="zh-CN"/>
        </w:rPr>
        <w:t>二是</w:t>
      </w:r>
      <w:r>
        <w:rPr>
          <w:rFonts w:hint="eastAsia" w:ascii="仿宋_GB2312" w:hAnsi="仿宋_GB2312" w:eastAsia="仿宋_GB2312" w:cs="仿宋_GB2312"/>
          <w:b w:val="0"/>
          <w:bCs w:val="0"/>
          <w:sz w:val="32"/>
          <w:szCs w:val="32"/>
        </w:rPr>
        <w:t>落实食品安全“两个责任”</w:t>
      </w:r>
      <w:r>
        <w:rPr>
          <w:rFonts w:hint="eastAsia" w:ascii="仿宋_GB2312" w:hAnsi="仿宋_GB2312" w:eastAsia="仿宋_GB2312" w:cs="仿宋_GB2312"/>
          <w:b w:val="0"/>
          <w:bCs w:val="0"/>
          <w:sz w:val="32"/>
          <w:szCs w:val="32"/>
          <w:lang w:eastAsia="zh-CN"/>
        </w:rPr>
        <w:t>工作。</w:t>
      </w:r>
      <w:r>
        <w:rPr>
          <w:rFonts w:hint="eastAsia" w:ascii="仿宋_GB2312" w:hAnsi="仿宋_GB2312" w:eastAsia="仿宋_GB2312" w:cs="仿宋_GB2312"/>
          <w:sz w:val="32"/>
          <w:szCs w:val="32"/>
          <w:highlight w:val="none"/>
        </w:rPr>
        <w:t>组织召开“两个责任”</w:t>
      </w:r>
      <w:r>
        <w:rPr>
          <w:rFonts w:hint="eastAsia" w:ascii="仿宋_GB2312" w:hAnsi="仿宋_GB2312" w:eastAsia="仿宋_GB2312" w:cs="仿宋_GB2312"/>
          <w:sz w:val="32"/>
          <w:szCs w:val="32"/>
          <w:highlight w:val="none"/>
          <w:lang w:eastAsia="zh-CN"/>
        </w:rPr>
        <w:t>工作</w:t>
      </w:r>
      <w:r>
        <w:rPr>
          <w:rFonts w:hint="eastAsia" w:ascii="仿宋_GB2312" w:hAnsi="仿宋_GB2312" w:eastAsia="仿宋_GB2312" w:cs="仿宋_GB2312"/>
          <w:sz w:val="32"/>
          <w:szCs w:val="32"/>
          <w:highlight w:val="none"/>
        </w:rPr>
        <w:t>推进会，</w:t>
      </w:r>
      <w:r>
        <w:rPr>
          <w:rFonts w:hint="eastAsia" w:ascii="仿宋_GB2312" w:hAnsi="仿宋_GB2312" w:eastAsia="仿宋_GB2312" w:cs="仿宋_GB2312"/>
          <w:sz w:val="32"/>
          <w:szCs w:val="32"/>
          <w:highlight w:val="none"/>
          <w:lang w:eastAsia="zh-CN"/>
        </w:rPr>
        <w:t>编写、印发</w:t>
      </w:r>
      <w:r>
        <w:rPr>
          <w:rFonts w:hint="eastAsia" w:ascii="仿宋_GB2312" w:hAnsi="仿宋_GB2312" w:eastAsia="仿宋_GB2312" w:cs="仿宋_GB2312"/>
          <w:sz w:val="32"/>
          <w:szCs w:val="32"/>
          <w:highlight w:val="none"/>
          <w:lang w:val="en-US" w:eastAsia="zh-CN"/>
        </w:rPr>
        <w:t>《关于运行食品安全属地责任平台和2023年食品安全“两个责任”督导工作进展的情况通报》共20期，</w:t>
      </w:r>
      <w:r>
        <w:rPr>
          <w:rFonts w:hint="eastAsia" w:ascii="仿宋_GB2312" w:hAnsi="仿宋_GB2312" w:eastAsia="仿宋_GB2312" w:cs="仿宋_GB2312"/>
          <w:sz w:val="32"/>
          <w:szCs w:val="32"/>
          <w:highlight w:val="none"/>
        </w:rPr>
        <w:t>定期通报各项指标完成情况，促进工作的落实落细。引导包保干部按季度开展督导，重大节假日增加督导频次，推动包保督导工作常态化运行。组织包保干部培训、制作包保督导工作指引和示例，提升包保干部督导水平。强化督导发现问题的移送衔接、整改落实。2023年</w:t>
      </w:r>
      <w:r>
        <w:rPr>
          <w:rFonts w:hint="eastAsia" w:ascii="仿宋_GB2312" w:hAnsi="仿宋_GB2312" w:eastAsia="仿宋_GB2312" w:cs="仿宋_GB2312"/>
          <w:sz w:val="32"/>
          <w:szCs w:val="32"/>
          <w:highlight w:val="none"/>
          <w:lang w:eastAsia="zh-CN"/>
        </w:rPr>
        <w:t>前三季度</w:t>
      </w:r>
      <w:r>
        <w:rPr>
          <w:rFonts w:hint="eastAsia" w:ascii="仿宋_GB2312" w:hAnsi="仿宋_GB2312" w:eastAsia="仿宋_GB2312" w:cs="仿宋_GB2312"/>
          <w:sz w:val="32"/>
          <w:szCs w:val="32"/>
          <w:highlight w:val="none"/>
        </w:rPr>
        <w:t>，包保督导任务完成率达到100%，督导发现问题整改率超过90%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推动在产在营获证主体包保覆盖率</w:t>
      </w:r>
      <w:r>
        <w:rPr>
          <w:rFonts w:hint="eastAsia" w:ascii="仿宋_GB2312" w:hAnsi="仿宋_GB2312" w:eastAsia="仿宋_GB2312" w:cs="仿宋_GB2312"/>
          <w:sz w:val="32"/>
          <w:szCs w:val="32"/>
          <w:highlight w:val="none"/>
          <w:lang w:eastAsia="zh-CN"/>
        </w:rPr>
        <w:t>超过</w:t>
      </w:r>
      <w:r>
        <w:rPr>
          <w:rFonts w:hint="eastAsia"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（2）持续强化食品安全隐患整治。</w:t>
      </w:r>
      <w:r>
        <w:rPr>
          <w:rFonts w:hint="eastAsia" w:ascii="仿宋_GB2312" w:hAnsi="仿宋_GB2312" w:eastAsia="仿宋_GB2312" w:cs="仿宋_GB2312"/>
          <w:b w:val="0"/>
          <w:bCs w:val="0"/>
          <w:sz w:val="32"/>
          <w:szCs w:val="32"/>
          <w:lang w:val="en-US" w:eastAsia="zh-CN"/>
        </w:rPr>
        <w:t>一是</w:t>
      </w:r>
      <w:r>
        <w:rPr>
          <w:rFonts w:hint="eastAsia" w:ascii="仿宋_GB2312" w:hAnsi="仿宋_GB2312" w:eastAsia="仿宋_GB2312" w:cs="仿宋_GB2312"/>
          <w:b w:val="0"/>
          <w:bCs w:val="0"/>
          <w:sz w:val="32"/>
          <w:szCs w:val="32"/>
        </w:rPr>
        <w:t>突出做好食品抽检民生实事工作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rPr>
        <w:t>坚持问题导向，将日常监管、风险监测、投诉举报、舆情处置等发现的问题及人民群众消费量大的，重点关注的食品纳入抽检计划；覆盖辖区内所有在产获得食品生产许可证企业生产的食品，以及对已发现问题的食品企业及产品跟踪抽检，提高抽检针对性</w:t>
      </w:r>
      <w:r>
        <w:rPr>
          <w:rFonts w:hint="eastAsia" w:ascii="仿宋_GB2312" w:hAnsi="仿宋_GB2312" w:eastAsia="仿宋_GB2312" w:cs="仿宋_GB2312"/>
          <w:sz w:val="32"/>
          <w:szCs w:val="32"/>
          <w:lang w:eastAsia="zh-CN"/>
        </w:rPr>
        <w:t>。截至</w:t>
      </w:r>
      <w:r>
        <w:rPr>
          <w:rFonts w:hint="eastAsia" w:ascii="仿宋_GB2312" w:hAnsi="仿宋_GB2312" w:eastAsia="仿宋_GB2312" w:cs="仿宋_GB2312"/>
          <w:sz w:val="32"/>
          <w:szCs w:val="32"/>
          <w:lang w:val="en-US" w:eastAsia="zh-CN"/>
        </w:rPr>
        <w:t>10月31日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完成食品抽检</w:t>
      </w:r>
      <w:r>
        <w:rPr>
          <w:rFonts w:hint="eastAsia" w:ascii="仿宋_GB2312" w:hAnsi="仿宋_GB2312" w:eastAsia="仿宋_GB2312" w:cs="仿宋_GB2312"/>
          <w:sz w:val="32"/>
          <w:szCs w:val="32"/>
          <w:lang w:val="en-US" w:eastAsia="zh-CN"/>
        </w:rPr>
        <w:t>560</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达到</w:t>
      </w:r>
      <w:r>
        <w:rPr>
          <w:rFonts w:hint="eastAsia" w:ascii="仿宋_GB2312" w:hAnsi="仿宋_GB2312" w:eastAsia="仿宋_GB2312" w:cs="仿宋_GB2312"/>
          <w:sz w:val="32"/>
          <w:szCs w:val="32"/>
        </w:rPr>
        <w:t>全年计划任务量的</w:t>
      </w:r>
      <w:r>
        <w:rPr>
          <w:rFonts w:hint="eastAsia" w:ascii="仿宋_GB2312" w:hAnsi="仿宋_GB2312" w:eastAsia="仿宋_GB2312" w:cs="仿宋_GB2312"/>
          <w:sz w:val="32"/>
          <w:szCs w:val="32"/>
          <w:lang w:val="en-US" w:eastAsia="zh-CN"/>
        </w:rPr>
        <w:t>86.1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。所有已经出具检验报告的抽检任务已全部完成公示，公示率达到</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按规定开展</w:t>
      </w:r>
      <w:r>
        <w:rPr>
          <w:rFonts w:hint="eastAsia" w:ascii="仿宋_GB2312" w:hAnsi="仿宋_GB2312" w:eastAsia="仿宋_GB2312" w:cs="仿宋_GB2312"/>
          <w:sz w:val="32"/>
          <w:szCs w:val="32"/>
        </w:rPr>
        <w:t>不合格食品</w:t>
      </w:r>
      <w:r>
        <w:rPr>
          <w:rFonts w:hint="eastAsia" w:ascii="仿宋_GB2312" w:hAnsi="仿宋_GB2312" w:eastAsia="仿宋_GB2312" w:cs="仿宋_GB2312"/>
          <w:sz w:val="32"/>
          <w:szCs w:val="32"/>
          <w:lang w:eastAsia="zh-CN"/>
        </w:rPr>
        <w:t>后续处置工作，</w:t>
      </w:r>
      <w:r>
        <w:rPr>
          <w:rFonts w:hint="eastAsia" w:ascii="仿宋_GB2312" w:hAnsi="仿宋_GB2312" w:eastAsia="仿宋_GB2312" w:cs="仿宋_GB2312"/>
          <w:sz w:val="32"/>
          <w:szCs w:val="32"/>
        </w:rPr>
        <w:t>处置率100%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二是切实加强餐饮食品安全监管工作。针对重要时间节点，督促餐饮服务单位、学生集体用餐配送单位、养老和托育机构食堂严格落实食品安全主体责任，消除餐饮食品安全隐患。2023年，巡查餐饮服务单位</w:t>
      </w:r>
      <w:r>
        <w:rPr>
          <w:rFonts w:hint="eastAsia" w:ascii="仿宋" w:hAnsi="仿宋" w:eastAsia="仿宋" w:cs="仿宋"/>
          <w:color w:val="000000"/>
          <w:sz w:val="32"/>
          <w:szCs w:val="32"/>
          <w:lang w:val="en-US" w:eastAsia="zh-CN"/>
        </w:rPr>
        <w:t>1168</w:t>
      </w:r>
      <w:r>
        <w:rPr>
          <w:rFonts w:hint="eastAsia" w:ascii="仿宋_GB2312" w:hAnsi="仿宋_GB2312" w:eastAsia="仿宋_GB2312" w:cs="仿宋_GB2312"/>
          <w:sz w:val="32"/>
          <w:szCs w:val="32"/>
          <w:lang w:val="en-US" w:eastAsia="zh-CN"/>
        </w:rPr>
        <w:t>家次，发出责令整改通知书9份；监督检查学校（幼儿园）食堂238家次，集体用餐配送单位6家次，学校配送点2家次，校内食杂店、学校周边食品经营者224家次；监督检查养老和托育机构食堂23家次，发放监督意见书2份。通过“互联网+明厨亮灶”平台开展线上巡查100家次，检查中发现存在问题单位44家，均已督促整改落实。对辖区内的高校食堂，职业院校（含技工院校）食堂，中小学校及幼儿园食堂监督检查覆盖率达100%。三是做好重大活动食品安全保障工作，全力确保2023年武江区重大活动顺利进行。2023年前三季度，共出动执法人员131人次，全力做好了韶关市第十五届人大四次会议、第二届粤港澳大湾区（广东）算力产业大会暨首届中国算力网大会等十数场重大活动食品安全保障工作。四是继续深入开展餐饮质量安全提升行动。印发《韶关市武江区市场监督管理局关于落实餐饮质量提升行动“餐饮环境卫生提升年”相关工作的通知》进一步推动我区餐饮质量提升，深入开展餐饮从业人员培训，规范餐饮加工制作行为，加强环境卫生规范化、精细化管理，充分发挥“互联网+明厨亮灶”智慧监管平台效能，持续开展“查餐厅”活动为抓手，鼓励社会公众、媒体广泛参与，全力推动我区餐饮质量安全提升行动深入开展。截至10月31日，全区有1436家持证在营餐饮服务单位“食安快线通用版”培训考核实现全覆盖，有 106家学校（幼儿园）食堂、1家集体用餐配送单位，9家A级校外托管机均已开通“互联网＋明厨亮灶”智慧监管平台。</w:t>
      </w:r>
    </w:p>
    <w:p>
      <w:pPr>
        <w:ind w:firstLine="643"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b/>
          <w:bCs/>
          <w:sz w:val="32"/>
          <w:szCs w:val="32"/>
          <w:lang w:val="en-US" w:eastAsia="zh-CN"/>
        </w:rPr>
        <w:t>（3）扎实开展“两品一械”安全监管。</w:t>
      </w:r>
      <w:r>
        <w:rPr>
          <w:rFonts w:hint="eastAsia" w:ascii="仿宋_GB2312" w:hAnsi="仿宋_GB2312" w:eastAsia="仿宋_GB2312" w:cs="仿宋_GB2312"/>
          <w:b w:val="0"/>
          <w:bCs w:val="0"/>
          <w:sz w:val="32"/>
          <w:szCs w:val="32"/>
          <w:lang w:val="en-US" w:eastAsia="zh-CN"/>
        </w:rPr>
        <w:t>全面加强药品、化妆品、医疗器械流通领域监管工作及专项整治，消除药品行业风险隐患，全力保障公众用药用械安全。</w:t>
      </w:r>
      <w:r>
        <w:rPr>
          <w:rFonts w:hint="eastAsia" w:ascii="仿宋_GB2312" w:eastAsia="仿宋_GB2312"/>
          <w:sz w:val="32"/>
          <w:szCs w:val="32"/>
        </w:rPr>
        <w:t>共检查药品零售企业（含仅经营乙类非处方药门店）</w:t>
      </w:r>
      <w:r>
        <w:rPr>
          <w:rFonts w:hint="eastAsia" w:ascii="仿宋_GB2312" w:eastAsia="仿宋_GB2312"/>
          <w:sz w:val="32"/>
          <w:szCs w:val="32"/>
          <w:lang w:val="en-US" w:eastAsia="zh-CN"/>
        </w:rPr>
        <w:t>333</w:t>
      </w:r>
      <w:r>
        <w:rPr>
          <w:rFonts w:hint="eastAsia" w:ascii="仿宋_GB2312" w:eastAsia="仿宋_GB2312"/>
          <w:sz w:val="32"/>
          <w:szCs w:val="32"/>
        </w:rPr>
        <w:t>家</w:t>
      </w:r>
      <w:r>
        <w:rPr>
          <w:rFonts w:hint="eastAsia" w:ascii="仿宋_GB2312" w:eastAsia="仿宋_GB2312"/>
          <w:sz w:val="32"/>
          <w:szCs w:val="32"/>
          <w:lang w:val="en-US" w:eastAsia="zh-CN"/>
        </w:rPr>
        <w:t>次</w:t>
      </w:r>
      <w:r>
        <w:rPr>
          <w:rFonts w:hint="eastAsia" w:ascii="仿宋_GB2312" w:eastAsia="仿宋_GB2312"/>
          <w:sz w:val="32"/>
          <w:szCs w:val="32"/>
          <w:lang w:eastAsia="zh-CN"/>
        </w:rPr>
        <w:t>；</w:t>
      </w:r>
      <w:r>
        <w:rPr>
          <w:rFonts w:hint="eastAsia" w:ascii="仿宋_GB2312" w:eastAsia="仿宋_GB2312"/>
          <w:sz w:val="32"/>
          <w:szCs w:val="32"/>
        </w:rPr>
        <w:t>医疗器械经营企业179家次，使用单位19家次；妆品经营企业</w:t>
      </w:r>
      <w:r>
        <w:rPr>
          <w:rFonts w:hint="eastAsia" w:ascii="仿宋_GB2312" w:eastAsia="仿宋_GB2312"/>
          <w:sz w:val="32"/>
          <w:szCs w:val="32"/>
          <w:lang w:val="en-US" w:eastAsia="zh-CN"/>
        </w:rPr>
        <w:t>201</w:t>
      </w:r>
      <w:r>
        <w:rPr>
          <w:rFonts w:hint="eastAsia" w:ascii="仿宋_GB2312" w:eastAsia="仿宋_GB2312"/>
          <w:sz w:val="32"/>
          <w:szCs w:val="32"/>
        </w:rPr>
        <w:t>家</w:t>
      </w:r>
      <w:r>
        <w:rPr>
          <w:rFonts w:hint="eastAsia" w:ascii="仿宋_GB2312" w:eastAsia="仿宋_GB2312"/>
          <w:sz w:val="32"/>
          <w:szCs w:val="32"/>
          <w:lang w:val="en-US" w:eastAsia="zh-CN"/>
        </w:rPr>
        <w:t>次；</w:t>
      </w:r>
      <w:r>
        <w:rPr>
          <w:rFonts w:hint="eastAsia" w:ascii="仿宋_GB2312" w:eastAsia="仿宋_GB2312"/>
          <w:sz w:val="32"/>
          <w:szCs w:val="32"/>
        </w:rPr>
        <w:t>医疗机构21家</w:t>
      </w:r>
      <w:r>
        <w:rPr>
          <w:rFonts w:hint="eastAsia" w:ascii="仿宋_GB2312" w:eastAsia="仿宋_GB2312"/>
          <w:sz w:val="32"/>
          <w:szCs w:val="32"/>
          <w:lang w:val="en-US" w:eastAsia="zh-CN"/>
        </w:rPr>
        <w:t>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（4）紧抓特种设备安全监管。</w:t>
      </w:r>
      <w:r>
        <w:rPr>
          <w:rFonts w:hint="eastAsia" w:ascii="仿宋_GB2312" w:hAnsi="仿宋_GB2312" w:eastAsia="仿宋_GB2312" w:cs="仿宋_GB2312"/>
          <w:b w:val="0"/>
          <w:bCs w:val="0"/>
          <w:sz w:val="32"/>
          <w:szCs w:val="32"/>
          <w:lang w:val="en-US" w:eastAsia="zh-CN"/>
        </w:rPr>
        <w:t>目前，武江区共有在册在用特种设备6522台。2023年，我局</w:t>
      </w:r>
      <w:r>
        <w:rPr>
          <w:rFonts w:hint="eastAsia" w:ascii="仿宋_GB2312" w:eastAsia="仿宋_GB2312"/>
          <w:sz w:val="32"/>
          <w:szCs w:val="32"/>
          <w:lang w:val="zh-CN"/>
        </w:rPr>
        <w:t>并先后</w:t>
      </w:r>
      <w:r>
        <w:rPr>
          <w:rFonts w:hint="eastAsia" w:ascii="仿宋_GB2312" w:eastAsia="仿宋_GB2312"/>
          <w:sz w:val="32"/>
          <w:szCs w:val="32"/>
        </w:rPr>
        <w:t>开展</w:t>
      </w:r>
      <w:r>
        <w:rPr>
          <w:rFonts w:hint="eastAsia" w:ascii="仿宋_GB2312" w:eastAsia="仿宋_GB2312"/>
          <w:sz w:val="32"/>
          <w:szCs w:val="32"/>
          <w:lang w:eastAsia="zh-CN"/>
        </w:rPr>
        <w:t>元旦春节</w:t>
      </w:r>
      <w:r>
        <w:rPr>
          <w:rFonts w:hint="eastAsia" w:ascii="仿宋_GB2312" w:eastAsia="仿宋_GB2312"/>
          <w:sz w:val="32"/>
          <w:szCs w:val="32"/>
        </w:rPr>
        <w:t>期间特种设备专项检查行动</w:t>
      </w:r>
      <w:r>
        <w:rPr>
          <w:rFonts w:hint="eastAsia" w:ascii="仿宋_GB2312" w:eastAsia="仿宋_GB2312"/>
          <w:sz w:val="32"/>
          <w:szCs w:val="32"/>
          <w:lang w:eastAsia="zh-CN"/>
        </w:rPr>
        <w:t>，食品生产企业相关特种设备、物流园叉车、快开门式压力容器、起重机械等专项监督检查</w:t>
      </w:r>
      <w:r>
        <w:rPr>
          <w:rFonts w:hint="eastAsia" w:ascii="仿宋_GB2312" w:eastAsia="仿宋_GB2312"/>
          <w:sz w:val="32"/>
          <w:szCs w:val="32"/>
          <w:lang w:val="en-US" w:eastAsia="zh-CN"/>
        </w:rPr>
        <w:t>。共检查特种设备使用单位194家次，抽查特种设备511台套，排查发现存在未经检验、经检验不合格等严重事故隐患的电梯、起重机械、叉车、锅炉等共计416台套。其中，对5家使用未经检验起重机械的使用单位、1家未取得许可从事电梯维保的单位依法予以立案查处。</w:t>
      </w:r>
      <w:r>
        <w:rPr>
          <w:rFonts w:hint="default" w:ascii="仿宋_GB2312" w:hAnsi="仿宋_GB2312" w:eastAsia="仿宋_GB2312" w:cs="仿宋_GB2312"/>
          <w:b w:val="0"/>
          <w:bCs w:val="0"/>
          <w:sz w:val="32"/>
          <w:szCs w:val="32"/>
          <w:lang w:val="en-US" w:eastAsia="zh-CN"/>
        </w:rPr>
        <w:t>辖区特种设备保持平稳安全运行，未发生特种设备安全事故</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（5）抓好质量安全监管。</w:t>
      </w:r>
      <w:r>
        <w:rPr>
          <w:rFonts w:hint="eastAsia" w:ascii="仿宋_GB2312" w:hAnsi="仿宋_GB2312" w:eastAsia="仿宋_GB2312" w:cs="仿宋_GB2312"/>
          <w:b w:val="0"/>
          <w:bCs w:val="0"/>
          <w:sz w:val="32"/>
          <w:szCs w:val="32"/>
          <w:lang w:val="en-US" w:eastAsia="zh-CN"/>
        </w:rPr>
        <w:t>一是开展</w:t>
      </w:r>
      <w:r>
        <w:rPr>
          <w:rFonts w:hint="eastAsia" w:ascii="仿宋_GB2312" w:hAnsi="仿宋_GB2312" w:eastAsia="仿宋_GB2312" w:cs="仿宋_GB2312"/>
          <w:sz w:val="32"/>
          <w:szCs w:val="32"/>
        </w:rPr>
        <w:t>道路交通安全、城镇燃气用品安全、电动自行车及电池产品、儿童用品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化肥产品</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产品质量专项检查，联合各镇（街）共出动执法人员254人次，检查电动自行车及电池等销售单位103家（次），燃气具销售单位38家、电线电缆5家、儿童用品18家、化肥15家，暂未发现严重产品质量安全隐患。二是实施制造业品质领跑者工程，发动企业积极申报首批制造业品质领跑者，目前5家企业已全部通过现场评审工作，申报工作稳步推进中。同时，</w:t>
      </w:r>
      <w:r>
        <w:rPr>
          <w:rFonts w:hint="eastAsia" w:ascii="仿宋_GB2312" w:hAnsi="微软雅黑" w:eastAsia="仿宋_GB2312"/>
          <w:sz w:val="32"/>
          <w:szCs w:val="32"/>
        </w:rPr>
        <w:t>通过线上监督、监督抽查等方式，重点对绿色食品认证、有机产品认证、环境体系认证、质量管理体系认证、服务认证等自愿性认证活动开展监督检查，共监督抽查证书</w:t>
      </w:r>
      <w:r>
        <w:rPr>
          <w:rFonts w:hint="eastAsia" w:ascii="仿宋_GB2312" w:hAnsi="微软雅黑" w:eastAsia="仿宋_GB2312"/>
          <w:sz w:val="32"/>
          <w:szCs w:val="32"/>
          <w:lang w:val="en-US" w:eastAsia="zh-CN"/>
        </w:rPr>
        <w:t>28</w:t>
      </w:r>
      <w:r>
        <w:rPr>
          <w:rFonts w:hint="eastAsia" w:ascii="仿宋_GB2312" w:hAnsi="微软雅黑" w:eastAsia="仿宋_GB2312"/>
          <w:sz w:val="32"/>
          <w:szCs w:val="32"/>
        </w:rPr>
        <w:t>张，涉及获证组织</w:t>
      </w:r>
      <w:r>
        <w:rPr>
          <w:rFonts w:hint="eastAsia" w:ascii="仿宋_GB2312" w:hAnsi="微软雅黑" w:eastAsia="仿宋_GB2312"/>
          <w:sz w:val="32"/>
          <w:szCs w:val="32"/>
          <w:lang w:val="en-US" w:eastAsia="zh-CN"/>
        </w:rPr>
        <w:t>14</w:t>
      </w:r>
      <w:r>
        <w:rPr>
          <w:rFonts w:hint="eastAsia" w:ascii="仿宋_GB2312" w:hAnsi="微软雅黑" w:eastAsia="仿宋_GB2312"/>
          <w:sz w:val="32"/>
          <w:szCs w:val="32"/>
        </w:rPr>
        <w:t>家</w:t>
      </w:r>
      <w:r>
        <w:rPr>
          <w:rFonts w:hint="eastAsia" w:ascii="仿宋_GB2312" w:hAnsi="微软雅黑" w:eastAsia="仿宋_GB231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3" w:firstLineChars="200"/>
        <w:jc w:val="both"/>
        <w:textAlignment w:val="baseline"/>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3.抓重点、净环境，市场秩序规范稳定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（1）执法工作成效明显。</w:t>
      </w:r>
      <w:r>
        <w:rPr>
          <w:rFonts w:hint="eastAsia" w:ascii="仿宋_GB2312" w:hAnsi="仿宋_GB2312" w:eastAsia="仿宋_GB2312" w:cs="仿宋_GB2312"/>
          <w:b w:val="0"/>
          <w:bCs w:val="0"/>
          <w:sz w:val="32"/>
          <w:szCs w:val="32"/>
          <w:lang w:val="en-US" w:eastAsia="zh-CN"/>
        </w:rPr>
        <w:t>按照市场监管执法职责，突出民生领域监管执法，深入开展涉疫药品和医疗用品稳价保质、民生领域净化市场环境铁拳行动，组织查处各类违法案件。2023年共结案145宗（其中跨年3宗），罚没金额58.7776万元，其中移送公安部门案件3宗。</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3"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napToGrid w:val="0"/>
          <w:color w:val="000000"/>
          <w:kern w:val="0"/>
          <w:sz w:val="32"/>
          <w:szCs w:val="32"/>
          <w:lang w:val="en-US" w:eastAsia="zh-CN"/>
        </w:rPr>
        <w:t>（2）强化价格监管。</w:t>
      </w:r>
      <w:r>
        <w:rPr>
          <w:rFonts w:hint="eastAsia" w:ascii="仿宋_GB2312" w:hAnsi="仿宋_GB2312" w:eastAsia="仿宋_GB2312" w:cs="仿宋_GB2312"/>
          <w:b w:val="0"/>
          <w:bCs w:val="0"/>
          <w:snapToGrid w:val="0"/>
          <w:color w:val="000000"/>
          <w:kern w:val="0"/>
          <w:sz w:val="32"/>
          <w:szCs w:val="32"/>
          <w:lang w:val="en-US" w:eastAsia="zh-CN"/>
        </w:rPr>
        <w:t>针对重要时间节点，以生活必需品、涉疫药品、停车场收费、春运票价等为重点对象，积极开展涉疫药品和医疗用品稳价保质、教育收费等专项检查，严格价格监管执法，净化辖区消费环境。2023年共</w:t>
      </w:r>
      <w:r>
        <w:rPr>
          <w:rFonts w:hint="eastAsia" w:ascii="仿宋_GB2312" w:hAnsi="仿宋_GB2312" w:eastAsia="仿宋_GB2312" w:cs="仿宋_GB2312"/>
          <w:b w:val="0"/>
          <w:bCs w:val="0"/>
          <w:sz w:val="32"/>
          <w:szCs w:val="32"/>
        </w:rPr>
        <w:t>检查线下药店300家</w:t>
      </w:r>
      <w:r>
        <w:rPr>
          <w:rFonts w:hint="eastAsia" w:ascii="仿宋_GB2312" w:hAnsi="仿宋_GB2312" w:eastAsia="仿宋_GB2312" w:cs="仿宋_GB2312"/>
          <w:b w:val="0"/>
          <w:bCs w:val="0"/>
          <w:sz w:val="32"/>
          <w:szCs w:val="32"/>
          <w:lang w:eastAsia="zh-CN"/>
        </w:rPr>
        <w:t>、商超112家、市场60家、网店60家、卫生服务站等基层医疗机构52家、义务教育阶段学校2间，学前教育阶段学校5间。</w:t>
      </w:r>
      <w:r>
        <w:rPr>
          <w:rFonts w:hint="eastAsia" w:ascii="仿宋_GB2312" w:hAnsi="仿宋_GB2312" w:eastAsia="仿宋_GB2312" w:cs="仿宋_GB2312"/>
          <w:b w:val="0"/>
          <w:bCs w:val="0"/>
          <w:sz w:val="32"/>
          <w:szCs w:val="32"/>
        </w:rPr>
        <w:t>累计发出价格提醒函120份、责令整改通知书3份、宣传材料544份，列入异常经营名录2家。</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3" w:firstLineChars="200"/>
        <w:jc w:val="both"/>
        <w:textAlignment w:val="baseline"/>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（3）消费维权水平进一步提升。</w:t>
      </w:r>
      <w:r>
        <w:rPr>
          <w:rFonts w:hint="eastAsia" w:ascii="仿宋_GB2312" w:hAnsi="仿宋_GB2312" w:eastAsia="仿宋_GB2312" w:cs="仿宋_GB2312"/>
          <w:b w:val="0"/>
          <w:bCs w:val="0"/>
          <w:sz w:val="32"/>
          <w:szCs w:val="32"/>
          <w:lang w:val="en-US" w:eastAsia="zh-CN"/>
        </w:rPr>
        <w:t>2023年1-10月，区12315和区消服中心共受理咨询128次，投诉7796宗，举报445宗，为消费者挽回经济损失11.158万元，处结率达到100%。指导、推动韶关市中环天地广场、</w:t>
      </w:r>
      <w:r>
        <w:rPr>
          <w:rFonts w:hint="eastAsia" w:ascii="仿宋_GB2312" w:hAnsi="仿宋_GB2312" w:eastAsia="仿宋_GB2312" w:cs="仿宋_GB2312"/>
          <w:sz w:val="32"/>
          <w:szCs w:val="32"/>
          <w:lang w:eastAsia="zh-CN"/>
        </w:rPr>
        <w:t>武江区阳山综合市场</w:t>
      </w:r>
      <w:r>
        <w:rPr>
          <w:rFonts w:hint="eastAsia" w:ascii="仿宋_GB2312" w:hAnsi="仿宋_GB2312" w:eastAsia="仿宋_GB2312" w:cs="仿宋_GB2312"/>
          <w:b w:val="0"/>
          <w:bCs w:val="0"/>
          <w:sz w:val="32"/>
          <w:szCs w:val="32"/>
          <w:lang w:val="en-US" w:eastAsia="zh-CN"/>
        </w:rPr>
        <w:t>创建成为全市“放心消费承诺街区（商圈）”，两商圈内共116家经营者申报成为“放心消费承诺单位”,22家经营者申报成为“线下无理由退货承诺店”。</w:t>
      </w:r>
    </w:p>
    <w:p>
      <w:pPr>
        <w:ind w:firstLine="643"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（4）做好防范和处置非法集资工作。</w:t>
      </w:r>
      <w:r>
        <w:rPr>
          <w:rFonts w:hint="eastAsia" w:ascii="仿宋_GB2312" w:hAnsi="仿宋_GB2312" w:eastAsia="仿宋_GB2312" w:cs="仿宋_GB2312"/>
          <w:b w:val="0"/>
          <w:bCs w:val="0"/>
          <w:sz w:val="32"/>
          <w:szCs w:val="32"/>
          <w:lang w:val="en-US" w:eastAsia="zh-CN"/>
        </w:rPr>
        <w:t>认真履行武江区防范和处置非法集资办职责，组织各成员单位开展防范非法集资常态化、长效化宣传教育工作，在全社会形成抵制非法集资的浓厚氛围，从源头上遏制非法集资发生；持续开展风险排查，主要是对辖区内非法集资案件多发行业，特别是对新出现的非法集资活动苗头、动向、特点进行了解掌握。同时对过去发生的非法集资后续处置情况进行了解核实，全面摸清风险底数，逐一处置存量风险，坚决防控增量风险，切实维护经济金融安全、维护社会稳定大局、维护人民群众合法权益。2023年</w:t>
      </w:r>
      <w:r>
        <w:rPr>
          <w:rFonts w:hint="eastAsia" w:ascii="仿宋_GB2312" w:hAnsi="仿宋_GB2312" w:eastAsia="仿宋_GB2312" w:cs="仿宋_GB2312"/>
          <w:sz w:val="32"/>
          <w:szCs w:val="32"/>
          <w:lang w:val="en-US" w:eastAsia="zh-CN"/>
        </w:rPr>
        <w:t>1-10月共检查相关企业</w:t>
      </w: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sz w:val="32"/>
          <w:szCs w:val="32"/>
          <w:lang w:val="en-US" w:eastAsia="zh-CN"/>
        </w:rPr>
        <w:t>家次。</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（5）持续强化知识产权保护工作力度。</w:t>
      </w:r>
      <w:r>
        <w:rPr>
          <w:rFonts w:hint="eastAsia" w:ascii="仿宋_GB2312" w:hAnsi="仿宋_GB2312" w:eastAsia="仿宋_GB2312" w:cs="仿宋_GB2312"/>
          <w:b w:val="0"/>
          <w:bCs w:val="0"/>
          <w:sz w:val="32"/>
          <w:szCs w:val="32"/>
          <w:lang w:val="en-US" w:eastAsia="zh-CN"/>
        </w:rPr>
        <w:t>一是开展2023年“清源”地理标志保护“护航·2023”重点市场知识产权保护等专项行动，强化知识产权监管力度。二是开展广告监管工作。2023年，自行监测互联网广告156条，检查重点监管互联网媒介主体数量43个，受理涉及知识产权广告投诉举报75宗，协助国家知识产权局撤回20件非正常申请专利。三是着力提升辖区知识产权保护工作水平。于9月26日举办了“2023年武江区党政领导干部知识产权保护工作暨知识产权行政执法人员、司法人员专题培训班”，武江区各镇街分管领导，区知识产权战略实施工作联席会议成员单位分管领导及相关单位的知识产权行政执法人员、司法人员共40人参加了培训。于8月1日在韶关摩尔城假日酒店一楼会议室成功举办了一场企业商标注册布局及维权专题培训活动，帮助企业更好地运用商标保护自身品牌，提高商标注册和管理水平，现场共50人参加培训。</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二、存在问题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局不断提升企业开办网上办事便利度，加大人力强化后台“网审”服务能力，提高网上办理效率。积极引导企业通过广东政务服务系统“一网通办”平台全程无纸化登记模式开办企业，但是无纸化登记模式对网上报送要求较高，申请人错填信息会回退处理，造成网办回退率较高，在一定程度上限制了模式的推广。</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餐饮业经济工作。通过走访调研我区限上餐饮企业了解到，目前企业遇到的问题和困难，一是受三年疫情的影响，现群众消费力不足导致客单价下降；二是餐饮行业过度竞争、内卷严重，导致企业利润下降；三是餐饮企业还面临人力成本上升、员工招聘难、门店租金高企、食材成本上升的问题；四是学校食堂经营环境及政策的变化，行业竞争加剧，如广东绿膳在食堂承包项目的萎缩，营业额及利润减少较为明显。五是受日本核废水排海的影响，群众高度关切，对主打海鲜销售的餐饮单位造成一定的负面影响。</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食品安全监管方面：一是全区食品安全“两个责任”包保督导工作常态化运行并不顺畅，各有关单位、各级包保干部对此项工作的认识存在不足之处，导致个别单位的工作推进较慢。二是食品安全宣传，特别是农村地区的食品安全宣传力度不够、甚至流于形式。三是随着乡镇街道体制改革，食品监管职权下到各镇街，弱化了食品安全监督管理工作。一方面原市场监管所人员下放归属镇街管理后，不仅要负责原市场监管部门的工作，又要兼顾镇街安排的其他工作，分配到食品安全监管的精力大大减少，弱化了食品安全监管力量。另一方面，基层执法人员下放后，隶属关系的变化和业务的增多，执法人员的积极性极大减弱，相关监管工作难以推动、落实。</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药品化妆品医疗器械监管方面：一是监管力量不足。监管部门加强企业监管的方式主要是跟踪检查和飞行检查。但受人力、物力等因素制约，这些监管方式频次不高，力度也不够大。基层监管人员“两品一械”专业知识不足，发现问题的几率不高，一些日常经营中的问题不能全部被发现，存在检查力度薄弱的问题。二是药品安全风险仍然较高。在经营环节一些药械经营者法律意识和安全意识较差，存在从药械购进到销售环节没有严格按要求进行、药学技术人员没有很好履职、处方药不凭处方销售和药品未按要求贮存等问题。在使用环节，特别是村级卫生室和个体诊所，基础薄弱，负责人法律意识差，设施设备不能保证药品在贮存期间的质量，公众用药安全很难得到保障，安全风险较大。</w:t>
      </w:r>
    </w:p>
    <w:p>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rPr>
        <w:t>三、</w:t>
      </w:r>
      <w:r>
        <w:rPr>
          <w:rFonts w:hint="eastAsia" w:ascii="黑体" w:hAnsi="黑体" w:eastAsia="黑体" w:cs="黑体"/>
          <w:sz w:val="32"/>
          <w:szCs w:val="32"/>
          <w:lang w:val="en-US" w:eastAsia="zh-CN"/>
        </w:rPr>
        <w:t>2024年工作计划</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不断深化商事制度改革，适应商事制度改革对企业登记注册工作提出的新要求，坚持依法履职，认真落实改革举措，不断增强企业的深化商事制度改革获得感。继续加大推行“一网通办、一窗通取”、“智能办照”、“全市通办”等服务模式，提升商事登记便利度，进一步优化营商环境。</w:t>
      </w:r>
    </w:p>
    <w:p>
      <w:pPr>
        <w:keepNext w:val="0"/>
        <w:keepLines w:val="0"/>
        <w:pageBreakBefore w:val="0"/>
        <w:numPr>
          <w:ilvl w:val="0"/>
          <w:numId w:val="0"/>
        </w:numPr>
        <w:kinsoku/>
        <w:wordWrap/>
        <w:overflowPunct/>
        <w:topLinePunct w:val="0"/>
        <w:autoSpaceDN/>
        <w:bidi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（二）通过全力帮助现有限上餐饮企业做大做强、挖掘培育潜在达标企业入库、强化诚信经营促消费等多种手段，全力做好经济工作。</w:t>
      </w:r>
    </w:p>
    <w:p>
      <w:pPr>
        <w:numPr>
          <w:ilvl w:val="0"/>
          <w:numId w:val="0"/>
        </w:num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（三）维护良好经济发展环境。全面推行“双随机、一公开”机制，强化市场主体事中事后监管，严厉查处不正当竞争、制假售假等危害经济发展的违法行为，引导企业诚信守法经营。</w:t>
      </w:r>
    </w:p>
    <w:p>
      <w:pPr>
        <w:pStyle w:val="5"/>
        <w:keepNext w:val="0"/>
        <w:keepLines w:val="0"/>
        <w:pageBreakBefore w:val="0"/>
        <w:kinsoku/>
        <w:wordWrap/>
        <w:overflowPunct/>
        <w:topLinePunct w:val="0"/>
        <w:autoSpaceDN/>
        <w:bidi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进一步落实党政同责“标准线”，适应新形势新任务新要求，继续把食品药品安全列入党委、政府更加重要的工作内容，不断强化齐抓共管食品药品安全的态度和决心，进一步提高思想站位，强化统筹谋划，提升食品药品安全整体水平，进一步拉高工作标杆，加快实现食品药品安全治理体系和治理能力现代化。</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（五）继续切实做好食品、药品、化妆品、医疗器械、特种设备等领域安全监管工作。</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（六）纵深推进辖区知识产权保护、质量强区工作，助力武江经济高质量发展。</w:t>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七）加强消费维权的宣传和教育，引导广大消费者理智消费、精准投诉、依法维权，倡导经营者自觉履行主休责任。进一步推进放心消费创建工作的开展，广泛宣传，不断提高放心消费承诺活动的知晓度、认可度，打造安全放心的消费环境。</w:t>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（八）加强队伍建设，通过业务培训、交流学习等途径，持续提升执法工作能力水平。</w:t>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default" w:ascii="仿宋_GB2312" w:hAnsi="仿宋_GB2312" w:eastAsia="仿宋_GB2312" w:cs="仿宋_GB2312"/>
          <w:sz w:val="32"/>
          <w:szCs w:val="32"/>
          <w:lang w:val="en-US" w:eastAsia="zh-CN"/>
        </w:rPr>
      </w:pPr>
    </w:p>
    <w:p>
      <w:pPr>
        <w:pStyle w:val="2"/>
        <w:rPr>
          <w:rFonts w:hint="default"/>
          <w:lang w:val="en-US" w:eastAsia="zh-CN"/>
        </w:rPr>
      </w:pP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韶关市武江区市场监督管理局</w:t>
      </w:r>
    </w:p>
    <w:p>
      <w:pPr>
        <w:numPr>
          <w:ilvl w:val="0"/>
          <w:numId w:val="0"/>
        </w:num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2023年11月27日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iZmZhMGU5ZDliMjAzOGEzZDFjZGZkYTcxYjRhMzIifQ=="/>
  </w:docVars>
  <w:rsids>
    <w:rsidRoot w:val="60B325FB"/>
    <w:rsid w:val="0AE61DC4"/>
    <w:rsid w:val="15E742D4"/>
    <w:rsid w:val="160114A8"/>
    <w:rsid w:val="261B4034"/>
    <w:rsid w:val="3CD63197"/>
    <w:rsid w:val="4356065A"/>
    <w:rsid w:val="57C205CD"/>
    <w:rsid w:val="60B325FB"/>
    <w:rsid w:val="7B9C5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next w:val="1"/>
    <w:unhideWhenUsed/>
    <w:qFormat/>
    <w:uiPriority w:val="99"/>
    <w:rPr>
      <w:rFonts w:ascii="宋体" w:hAnsi="Courier New"/>
    </w:rPr>
  </w:style>
  <w:style w:type="paragraph" w:styleId="3">
    <w:name w:val="Normal Indent"/>
    <w:basedOn w:val="1"/>
    <w:qFormat/>
    <w:uiPriority w:val="0"/>
    <w:pPr>
      <w:ind w:firstLine="200" w:firstLineChars="200"/>
    </w:pPr>
    <w:rPr>
      <w:rFonts w:ascii="Calibri" w:hAnsi="Calibri"/>
    </w:rPr>
  </w:style>
  <w:style w:type="paragraph" w:styleId="4">
    <w:name w:val="Body Text Indent"/>
    <w:basedOn w:val="1"/>
    <w:next w:val="3"/>
    <w:unhideWhenUsed/>
    <w:qFormat/>
    <w:uiPriority w:val="99"/>
    <w:pPr>
      <w:spacing w:after="120"/>
      <w:ind w:left="420" w:leftChars="200"/>
    </w:pPr>
  </w:style>
  <w:style w:type="paragraph" w:styleId="5">
    <w:name w:val="toc 2"/>
    <w:basedOn w:val="1"/>
    <w:next w:val="1"/>
    <w:unhideWhenUsed/>
    <w:qFormat/>
    <w:uiPriority w:val="39"/>
    <w:pPr>
      <w:ind w:left="420" w:leftChars="200"/>
    </w:pPr>
    <w:rPr>
      <w:rFonts w:ascii="Times New Roman" w:hAnsi="Times New Roman" w:eastAsia="仿宋"/>
      <w:sz w:val="30"/>
      <w:szCs w:val="32"/>
    </w:rPr>
  </w:style>
  <w:style w:type="paragraph" w:styleId="6">
    <w:name w:val="Normal (Web)"/>
    <w:basedOn w:val="1"/>
    <w:unhideWhenUsed/>
    <w:qFormat/>
    <w:uiPriority w:val="99"/>
    <w:pPr>
      <w:widowControl/>
      <w:spacing w:before="100" w:beforeLines="0" w:beforeAutospacing="1" w:after="100" w:afterLines="0" w:afterAutospacing="1"/>
      <w:jc w:val="left"/>
    </w:pPr>
    <w:rPr>
      <w:rFonts w:ascii="宋体" w:hAnsi="宋体" w:cs="宋体"/>
      <w:kern w:val="0"/>
      <w:sz w:val="24"/>
    </w:rPr>
  </w:style>
  <w:style w:type="paragraph" w:styleId="7">
    <w:name w:val="Body Text First Indent 2"/>
    <w:basedOn w:val="4"/>
    <w:next w:val="1"/>
    <w:unhideWhenUsed/>
    <w:qFormat/>
    <w:uiPriority w:val="99"/>
    <w:pPr>
      <w:spacing w:before="100" w:beforeAutospacing="1" w:after="0"/>
      <w:ind w:left="0" w:leftChars="0" w:firstLine="420" w:firstLineChars="200"/>
    </w:pPr>
    <w:rPr>
      <w:rFonts w:ascii="Times New Roman" w:hAnsi="Times New Roman" w:eastAsia="仿宋" w:cs="Times New Roman"/>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5879</Words>
  <Characters>6148</Characters>
  <Lines>0</Lines>
  <Paragraphs>0</Paragraphs>
  <TotalTime>41</TotalTime>
  <ScaleCrop>false</ScaleCrop>
  <LinksUpToDate>false</LinksUpToDate>
  <CharactersWithSpaces>6195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2023-10-09T07:23:00Z</dcterms:created>
  <dc:creator>沈婷婷</dc:creator>
  <cp:lastModifiedBy>马立峰</cp:lastModifiedBy>
  <dcterms:modified xsi:type="dcterms:W3CDTF">2023-11-29T07:04:58Z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503C7FD2C3754573BF53379F55A5AFC7_13</vt:lpwstr>
  </property>
</Properties>
</file>