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6</w:t>
      </w: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  <w:t>武</w:t>
      </w:r>
      <w:r>
        <w:rPr>
          <w:rFonts w:hint="eastAsia" w:ascii="方正小标宋简体" w:hAnsi="宋体" w:eastAsia="方正小标宋简体"/>
          <w:b/>
          <w:bCs/>
          <w:sz w:val="52"/>
          <w:szCs w:val="52"/>
          <w:lang w:eastAsia="zh-CN"/>
        </w:rPr>
        <w:t>江区</w:t>
      </w: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绩效自评报告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评价类型：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项目实施过程评价 </w:t>
      </w:r>
      <w:r>
        <w:rPr>
          <w:rFonts w:hint="eastAsia" w:ascii="仿宋_GB2312" w:hAnsi="宋体" w:eastAsia="仿宋_GB2312"/>
          <w:sz w:val="32"/>
          <w:lang w:val="en-US" w:eastAsia="zh-CN"/>
        </w:rPr>
        <w:sym w:font="Wingdings 2" w:char="00A3"/>
      </w: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 xml:space="preserve">           项目完成结果评价 </w:t>
      </w:r>
      <w:r>
        <w:rPr>
          <w:rFonts w:hint="eastAsia" w:ascii="仿宋_GB2312" w:hAnsi="宋体" w:eastAsia="仿宋_GB2312"/>
          <w:sz w:val="32"/>
          <w:lang w:val="en-US" w:eastAsia="zh-CN"/>
        </w:rPr>
        <w:sym w:font="Wingdings 2" w:char="00A3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0" w:firstLineChars="450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项目名称：人武部工作经费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val="en-US" w:eastAsia="zh-CN"/>
        </w:rPr>
        <w:t>韶关市武江区西河镇人民政府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李源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07518738613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江区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2023年度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绩效自评报告</w:t>
      </w:r>
    </w:p>
    <w:p>
      <w:pPr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hAnsi="仿宋_GB2312" w:eastAsia="仿宋_GB2312"/>
          <w:sz w:val="32"/>
          <w:szCs w:val="32"/>
        </w:rPr>
        <w:t>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基本情况、</w:t>
      </w:r>
      <w:r>
        <w:rPr>
          <w:rFonts w:hint="eastAsia" w:ascii="仿宋_GB2312" w:hAnsi="仿宋_GB2312" w:eastAsia="仿宋_GB2312"/>
          <w:sz w:val="32"/>
          <w:szCs w:val="32"/>
        </w:rPr>
        <w:t>实施主要内容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sz w:val="32"/>
          <w:szCs w:val="32"/>
        </w:rPr>
        <w:t>实施程序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项目进展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，以及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监督情况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西河镇</w:t>
      </w:r>
      <w:r>
        <w:rPr>
          <w:rFonts w:hint="eastAsia" w:ascii="仿宋_GB2312" w:eastAsia="仿宋_GB2312"/>
          <w:sz w:val="32"/>
          <w:szCs w:val="32"/>
          <w:lang w:eastAsia="zh-CN"/>
        </w:rPr>
        <w:t>人民政府</w:t>
      </w:r>
      <w:r>
        <w:rPr>
          <w:rFonts w:hint="eastAsia" w:ascii="仿宋_GB2312" w:eastAsia="仿宋_GB2312"/>
          <w:sz w:val="32"/>
          <w:szCs w:val="32"/>
        </w:rPr>
        <w:t>设立</w:t>
      </w:r>
      <w:r>
        <w:rPr>
          <w:rFonts w:hint="eastAsia" w:ascii="仿宋_GB2312" w:eastAsia="仿宋_GB2312"/>
          <w:sz w:val="32"/>
          <w:szCs w:val="32"/>
          <w:lang w:eastAsia="zh-CN"/>
        </w:rPr>
        <w:t>人民武装部</w:t>
      </w:r>
      <w:r>
        <w:rPr>
          <w:rFonts w:hint="eastAsia" w:ascii="仿宋_GB2312" w:eastAsia="仿宋_GB2312"/>
          <w:sz w:val="32"/>
          <w:szCs w:val="32"/>
        </w:rPr>
        <w:t>，目前办公室共有3名工作人员，其中公务员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2名，</w:t>
      </w:r>
      <w:r>
        <w:rPr>
          <w:rFonts w:hint="eastAsia" w:ascii="仿宋_GB2312" w:eastAsia="仿宋_GB2312"/>
          <w:sz w:val="32"/>
          <w:szCs w:val="32"/>
        </w:rPr>
        <w:t>聘用制工作人员1名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综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述项目自评等级和分数</w:t>
      </w:r>
      <w:r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  <w:t>并进行说明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人民武装部</w:t>
      </w:r>
      <w:r>
        <w:rPr>
          <w:rFonts w:hint="eastAsia" w:ascii="仿宋_GB2312" w:eastAsia="仿宋_GB2312"/>
          <w:sz w:val="32"/>
          <w:szCs w:val="32"/>
        </w:rPr>
        <w:t>工作经费</w:t>
      </w:r>
      <w:r>
        <w:rPr>
          <w:rFonts w:hint="eastAsia" w:ascii="仿宋_GB2312" w:eastAsia="仿宋_GB2312"/>
          <w:sz w:val="32"/>
          <w:szCs w:val="32"/>
          <w:lang w:eastAsia="zh-CN"/>
        </w:rPr>
        <w:t>主要内容为春秋两季征兵及宣传工作及基层武装部规范化建设工作。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实施程序：各项内容经费按照相关文件及财务报账程序实施。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人民武装部工作经费支出项目绩效自评良好，自评总分100分。做到有据可依，目标设置基本做到完整性、合理性、可衡量性；绩效目标基本完成，达到各项目标。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（一）资金使用绩效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人民武装部</w:t>
      </w:r>
      <w:r>
        <w:rPr>
          <w:rFonts w:hint="eastAsia" w:ascii="仿宋_GB2312" w:hAnsi="仿宋_GB2312" w:eastAsia="仿宋_GB2312"/>
          <w:sz w:val="32"/>
          <w:szCs w:val="32"/>
        </w:rPr>
        <w:t>工作经费项目资金实际总投入情况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人民武装部</w:t>
      </w:r>
      <w:r>
        <w:rPr>
          <w:rFonts w:hint="eastAsia" w:ascii="仿宋_GB2312" w:hAnsi="仿宋_GB2312" w:eastAsia="仿宋_GB2312"/>
          <w:sz w:val="32"/>
          <w:szCs w:val="32"/>
        </w:rPr>
        <w:t>工作经费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实际总投入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/>
          <w:sz w:val="32"/>
          <w:szCs w:val="32"/>
        </w:rPr>
        <w:t>项目资金实际支出情况，具体详细说明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人民武装部</w:t>
      </w:r>
      <w:r>
        <w:rPr>
          <w:rFonts w:hint="eastAsia" w:ascii="仿宋_GB2312" w:hAnsi="仿宋_GB2312" w:eastAsia="仿宋_GB2312"/>
          <w:sz w:val="32"/>
          <w:szCs w:val="32"/>
        </w:rPr>
        <w:t>工作经费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实际支出总额：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20000元。其中用于武装部订阅杂志报刊费用590.71元，用于购买武装应急物资费用17000元，用于2023年征兵宣传栏广告物料制作费576元，用于参军青年及民兵体检费用1080元，用于武装设备整治费用753.29元。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人民武装部</w:t>
      </w:r>
      <w:r>
        <w:rPr>
          <w:rFonts w:hint="eastAsia" w:ascii="仿宋_GB2312" w:hAnsi="仿宋_GB2312" w:eastAsia="仿宋_GB2312"/>
          <w:sz w:val="32"/>
          <w:szCs w:val="32"/>
        </w:rPr>
        <w:t>中心工作经费项目的绩效目标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sz w:val="32"/>
          <w:szCs w:val="32"/>
        </w:rPr>
        <w:t>（经济、政治和社会效益）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上述项目虽无法提供直接的经济效益，但通过对征兵的宣传以及日常武装装备的购买及维护，为社会经济发展和维护政治安全提供了稳定的社会环境。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人民武装部</w:t>
      </w:r>
      <w:r>
        <w:rPr>
          <w:rFonts w:hint="eastAsia" w:ascii="仿宋_GB2312" w:hAnsi="仿宋_GB2312" w:eastAsia="仿宋_GB2312"/>
          <w:sz w:val="32"/>
          <w:szCs w:val="32"/>
        </w:rPr>
        <w:t>工作经费项目资金使用效益，对环境、经济、社会的可持续影响。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上述项目资金投入使用并完成后，对</w:t>
      </w:r>
      <w:r>
        <w:rPr>
          <w:rFonts w:hint="eastAsia" w:ascii="仿宋_GB2312" w:hAnsi="仿宋_GB2312" w:eastAsia="仿宋_GB2312"/>
          <w:sz w:val="32"/>
          <w:szCs w:val="32"/>
        </w:rPr>
        <w:t>提高辖区青年的国防意识，积极参军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有重要的作用。并且确保了应急和战时的后勤保障，有效提升应急处置急难险重任务的能力和水平。提高基干民兵的综合作用。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存在问题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宣传工作是传达信息、服务群众、引导舆论、普及政策的一项重要的工作，但基层的宣传工作还存在工作人员专业知识不够充足的问题，应开展相应培训提高工作人员专业能力。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改进意见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加强资金管理，确保专款专用，根据上级部门项目实施方案组织实施，组织相应培训，有效提供工作人员专业能力。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2B1EA"/>
    <w:multiLevelType w:val="singleLevel"/>
    <w:tmpl w:val="AEE2B1E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105889"/>
    <w:multiLevelType w:val="singleLevel"/>
    <w:tmpl w:val="7710588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NmNkMjUxYzAxMDY4YjhjZTUxMTNjMGU2YjlkYzUifQ=="/>
  </w:docVars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5597926"/>
    <w:rsid w:val="06B84C89"/>
    <w:rsid w:val="10316818"/>
    <w:rsid w:val="1131487E"/>
    <w:rsid w:val="1A3009E9"/>
    <w:rsid w:val="1BEA0FB0"/>
    <w:rsid w:val="1D7735E2"/>
    <w:rsid w:val="275021E8"/>
    <w:rsid w:val="2815563F"/>
    <w:rsid w:val="2A0C3112"/>
    <w:rsid w:val="2CE72F35"/>
    <w:rsid w:val="3393723C"/>
    <w:rsid w:val="36B7467F"/>
    <w:rsid w:val="394C4148"/>
    <w:rsid w:val="39921607"/>
    <w:rsid w:val="468762A1"/>
    <w:rsid w:val="51B601FA"/>
    <w:rsid w:val="5375086E"/>
    <w:rsid w:val="53B65F21"/>
    <w:rsid w:val="56BF277A"/>
    <w:rsid w:val="6B8F37AB"/>
    <w:rsid w:val="7B17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788</Words>
  <Characters>804</Characters>
  <Lines>1</Lines>
  <Paragraphs>1</Paragraphs>
  <TotalTime>0</TotalTime>
  <ScaleCrop>false</ScaleCrop>
  <LinksUpToDate>false</LinksUpToDate>
  <CharactersWithSpaces>825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萃</cp:lastModifiedBy>
  <cp:lastPrinted>2018-10-25T02:57:00Z</cp:lastPrinted>
  <dcterms:modified xsi:type="dcterms:W3CDTF">2024-03-22T01:05:27Z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B06D3FC829FB4374B78CFD05D8ECB024_13</vt:lpwstr>
  </property>
</Properties>
</file>