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F95B4">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sz w:val="52"/>
        </w:rPr>
      </w:pPr>
    </w:p>
    <w:p w14:paraId="017D39EB">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olor w:val="auto"/>
          <w:sz w:val="52"/>
        </w:rPr>
      </w:pPr>
    </w:p>
    <w:p w14:paraId="68841161">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olor w:val="auto"/>
          <w:sz w:val="52"/>
        </w:rPr>
      </w:pPr>
      <w:bookmarkStart w:id="37" w:name="_GoBack"/>
      <w:bookmarkEnd w:id="37"/>
    </w:p>
    <w:p w14:paraId="1D069C9C">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olor w:val="auto"/>
          <w:sz w:val="52"/>
        </w:rPr>
      </w:pPr>
    </w:p>
    <w:p w14:paraId="7C88245D">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olor w:val="auto"/>
          <w:sz w:val="52"/>
        </w:rPr>
      </w:pPr>
    </w:p>
    <w:p w14:paraId="1183DC42">
      <w:pPr>
        <w:pStyle w:val="4"/>
        <w:spacing w:line="240" w:lineRule="auto"/>
        <w:ind w:left="1012" w:right="1269"/>
        <w:rPr>
          <w:rFonts w:hint="eastAsia" w:ascii="楷体_GB2312" w:eastAsia="楷体_GB2312"/>
          <w:color w:val="auto"/>
        </w:rPr>
      </w:pPr>
      <w:r>
        <w:rPr>
          <w:rFonts w:hint="eastAsia" w:ascii="方正小标宋简体" w:hAnsi="方正小标宋简体" w:eastAsia="方正小标宋简体"/>
          <w:color w:val="auto"/>
          <w:sz w:val="52"/>
        </w:rPr>
        <w:t>韶关市武江区人力资源和社会保障事业第十四个五年规划</w:t>
      </w:r>
      <w:bookmarkStart w:id="0" w:name="_Toc26627"/>
    </w:p>
    <w:p w14:paraId="57B569E4">
      <w:pPr>
        <w:pStyle w:val="4"/>
        <w:spacing w:line="240" w:lineRule="auto"/>
        <w:ind w:left="1012" w:right="1269"/>
        <w:rPr>
          <w:rFonts w:hint="eastAsia" w:ascii="楷体_GB2312" w:eastAsia="楷体_GB2312"/>
          <w:color w:val="auto"/>
          <w:lang w:eastAsia="zh-CN"/>
        </w:rPr>
      </w:pPr>
      <w:r>
        <w:rPr>
          <w:rFonts w:hint="eastAsia" w:ascii="楷体_GB2312" w:eastAsia="楷体_GB2312"/>
          <w:color w:val="auto"/>
          <w:lang w:eastAsia="zh-CN"/>
        </w:rPr>
        <w:t>（</w:t>
      </w:r>
      <w:r>
        <w:rPr>
          <w:rFonts w:hint="eastAsia" w:ascii="楷体_GB2312" w:eastAsia="楷体_GB2312"/>
          <w:color w:val="auto"/>
          <w:lang w:val="en-US" w:eastAsia="zh-CN"/>
        </w:rPr>
        <w:t>征求意见稿</w:t>
      </w:r>
      <w:r>
        <w:rPr>
          <w:rFonts w:hint="eastAsia" w:ascii="楷体_GB2312" w:eastAsia="楷体_GB2312"/>
          <w:color w:val="auto"/>
          <w:lang w:eastAsia="zh-CN"/>
        </w:rPr>
        <w:t>）</w:t>
      </w:r>
    </w:p>
    <w:p w14:paraId="0B39F85C">
      <w:pPr>
        <w:pStyle w:val="4"/>
        <w:spacing w:line="240" w:lineRule="auto"/>
        <w:ind w:left="1012" w:right="1269"/>
        <w:rPr>
          <w:rFonts w:hint="eastAsia" w:ascii="楷体_GB2312" w:eastAsia="楷体_GB2312"/>
          <w:color w:val="auto"/>
        </w:rPr>
      </w:pPr>
    </w:p>
    <w:p w14:paraId="5739B849">
      <w:pPr>
        <w:pStyle w:val="4"/>
        <w:spacing w:line="240" w:lineRule="auto"/>
        <w:ind w:left="1012" w:right="1269"/>
        <w:rPr>
          <w:rFonts w:hint="eastAsia" w:ascii="楷体_GB2312" w:eastAsia="楷体_GB2312"/>
          <w:color w:val="auto"/>
        </w:rPr>
      </w:pPr>
    </w:p>
    <w:p w14:paraId="48785DB5">
      <w:pPr>
        <w:pStyle w:val="4"/>
        <w:spacing w:line="240" w:lineRule="auto"/>
        <w:ind w:left="1012" w:right="1269"/>
        <w:rPr>
          <w:rFonts w:hint="eastAsia" w:ascii="楷体_GB2312" w:eastAsia="楷体_GB2312"/>
          <w:color w:val="auto"/>
        </w:rPr>
      </w:pPr>
    </w:p>
    <w:p w14:paraId="410F15EA">
      <w:pPr>
        <w:pStyle w:val="4"/>
        <w:spacing w:line="240" w:lineRule="auto"/>
        <w:ind w:left="1012" w:right="1269"/>
        <w:rPr>
          <w:rFonts w:hint="eastAsia" w:ascii="楷体_GB2312" w:eastAsia="楷体_GB2312"/>
          <w:color w:val="auto"/>
        </w:rPr>
      </w:pPr>
    </w:p>
    <w:p w14:paraId="29E0BE74">
      <w:pPr>
        <w:pStyle w:val="4"/>
        <w:spacing w:line="240" w:lineRule="auto"/>
        <w:ind w:left="1012" w:right="1269"/>
        <w:rPr>
          <w:rFonts w:hint="eastAsia" w:ascii="楷体_GB2312" w:eastAsia="楷体_GB2312"/>
          <w:color w:val="auto"/>
        </w:rPr>
      </w:pPr>
    </w:p>
    <w:p w14:paraId="1ECE1ABE">
      <w:pPr>
        <w:pStyle w:val="4"/>
        <w:spacing w:line="240" w:lineRule="auto"/>
        <w:ind w:left="1012" w:right="1269"/>
        <w:rPr>
          <w:rFonts w:hint="eastAsia" w:ascii="楷体_GB2312" w:eastAsia="楷体_GB2312"/>
          <w:color w:val="auto"/>
        </w:rPr>
      </w:pPr>
    </w:p>
    <w:p w14:paraId="76235AF9">
      <w:pPr>
        <w:pStyle w:val="4"/>
        <w:spacing w:line="240" w:lineRule="auto"/>
        <w:ind w:left="1012" w:right="1269"/>
        <w:rPr>
          <w:rFonts w:hint="eastAsia" w:ascii="楷体_GB2312" w:eastAsia="楷体_GB2312"/>
          <w:color w:val="auto"/>
        </w:rPr>
      </w:pPr>
    </w:p>
    <w:p w14:paraId="2BBF2366">
      <w:pPr>
        <w:pStyle w:val="4"/>
        <w:spacing w:line="240" w:lineRule="auto"/>
        <w:ind w:left="1012" w:right="1269"/>
        <w:rPr>
          <w:rFonts w:hint="eastAsia" w:ascii="楷体_GB2312" w:eastAsia="楷体_GB2312"/>
          <w:color w:val="auto"/>
        </w:rPr>
      </w:pPr>
    </w:p>
    <w:p w14:paraId="3050B942">
      <w:pPr>
        <w:pStyle w:val="4"/>
        <w:spacing w:line="240" w:lineRule="auto"/>
        <w:ind w:left="1012" w:right="1269"/>
        <w:rPr>
          <w:rFonts w:hint="eastAsia" w:ascii="楷体_GB2312" w:eastAsia="楷体_GB2312"/>
          <w:color w:val="auto"/>
        </w:rPr>
      </w:pPr>
    </w:p>
    <w:p w14:paraId="4339D4D3">
      <w:pPr>
        <w:pStyle w:val="4"/>
        <w:spacing w:line="240" w:lineRule="auto"/>
        <w:ind w:left="1012" w:right="1269"/>
        <w:rPr>
          <w:rFonts w:hint="eastAsia" w:ascii="楷体_GB2312" w:eastAsia="楷体_GB2312"/>
          <w:color w:val="auto"/>
        </w:rPr>
      </w:pPr>
    </w:p>
    <w:p w14:paraId="759A8D16">
      <w:pPr>
        <w:pStyle w:val="4"/>
        <w:spacing w:line="240" w:lineRule="auto"/>
        <w:ind w:left="1012" w:right="1269"/>
        <w:rPr>
          <w:rFonts w:hint="eastAsia" w:ascii="楷体_GB2312" w:eastAsia="楷体_GB2312"/>
          <w:color w:val="auto"/>
        </w:rPr>
      </w:pPr>
    </w:p>
    <w:p w14:paraId="6634ADDB">
      <w:pPr>
        <w:pStyle w:val="4"/>
        <w:spacing w:line="240" w:lineRule="auto"/>
        <w:ind w:left="1012" w:right="1269"/>
        <w:rPr>
          <w:rFonts w:hint="eastAsia" w:ascii="楷体_GB2312" w:eastAsia="楷体_GB2312"/>
          <w:color w:val="auto"/>
        </w:rPr>
      </w:pPr>
    </w:p>
    <w:p w14:paraId="1EFA6A45">
      <w:pPr>
        <w:pStyle w:val="4"/>
        <w:spacing w:line="240" w:lineRule="auto"/>
        <w:ind w:left="1012" w:right="1269"/>
        <w:rPr>
          <w:rFonts w:hint="eastAsia" w:ascii="楷体_GB2312" w:eastAsia="楷体_GB2312"/>
          <w:color w:val="auto"/>
        </w:rPr>
      </w:pPr>
    </w:p>
    <w:p w14:paraId="19F90127">
      <w:pPr>
        <w:pStyle w:val="4"/>
        <w:spacing w:line="240" w:lineRule="auto"/>
        <w:ind w:left="1012" w:right="1269"/>
        <w:rPr>
          <w:rFonts w:hint="eastAsia" w:ascii="楷体_GB2312" w:eastAsia="楷体_GB2312"/>
          <w:color w:val="auto"/>
        </w:rPr>
      </w:pPr>
    </w:p>
    <w:p w14:paraId="0A8ECED3">
      <w:pPr>
        <w:pStyle w:val="4"/>
        <w:spacing w:line="240" w:lineRule="auto"/>
        <w:ind w:left="1012" w:right="1269"/>
        <w:rPr>
          <w:rFonts w:hint="eastAsia" w:ascii="楷体_GB2312" w:eastAsia="楷体_GB2312"/>
          <w:color w:val="auto"/>
        </w:rPr>
      </w:pPr>
    </w:p>
    <w:bookmarkEnd w:id="0"/>
    <w:p w14:paraId="3ADE5676">
      <w:pPr>
        <w:pStyle w:val="2"/>
        <w:rPr>
          <w:color w:val="auto"/>
        </w:rPr>
      </w:pPr>
    </w:p>
    <w:p w14:paraId="6BB4E192">
      <w:pPr>
        <w:pStyle w:val="2"/>
        <w:rPr>
          <w:color w:val="auto"/>
        </w:rPr>
      </w:pPr>
    </w:p>
    <w:p w14:paraId="77B6D9AA">
      <w:pPr>
        <w:jc w:val="center"/>
        <w:rPr>
          <w:rFonts w:hint="eastAsia" w:ascii="楷体_GB2312" w:hAnsi="楷体_GB2312" w:eastAsia="楷体_GB2312" w:cs="楷体_GB2312"/>
          <w:color w:val="auto"/>
          <w:sz w:val="36"/>
          <w:szCs w:val="36"/>
          <w:lang w:val="en-US" w:eastAsia="zh-CN"/>
        </w:rPr>
      </w:pPr>
      <w:r>
        <w:rPr>
          <w:rFonts w:hint="eastAsia" w:ascii="楷体_GB2312" w:hAnsi="楷体_GB2312" w:eastAsia="楷体_GB2312" w:cs="楷体_GB2312"/>
          <w:color w:val="auto"/>
          <w:sz w:val="36"/>
          <w:szCs w:val="36"/>
          <w:lang w:val="en-US" w:eastAsia="zh-CN"/>
        </w:rPr>
        <w:t>2023年3月</w:t>
      </w:r>
    </w:p>
    <w:sdt>
      <w:sdtPr>
        <w:rPr>
          <w:rFonts w:ascii="宋体" w:hAnsi="宋体" w:eastAsia="宋体" w:cs="仿宋_GB2312"/>
          <w:color w:val="auto"/>
          <w:sz w:val="21"/>
          <w:szCs w:val="22"/>
          <w:lang w:val="zh-CN" w:eastAsia="zh-CN" w:bidi="zh-CN"/>
        </w:rPr>
        <w:id w:val="147451070"/>
        <w15:color w:val="DBDBDB"/>
        <w:docPartObj>
          <w:docPartGallery w:val="Table of Contents"/>
          <w:docPartUnique/>
        </w:docPartObj>
      </w:sdtPr>
      <w:sdtEndPr>
        <w:rPr>
          <w:rFonts w:hint="eastAsia" w:ascii="仿宋_GB2312" w:hAnsi="仿宋_GB2312" w:eastAsia="仿宋_GB2312" w:cs="仿宋_GB2312"/>
          <w:color w:val="auto"/>
          <w:sz w:val="32"/>
          <w:szCs w:val="32"/>
          <w:lang w:val="zh-CN" w:eastAsia="zh-CN" w:bidi="zh-CN"/>
        </w:rPr>
      </w:sdtEndPr>
      <w:sdtContent>
        <w:p w14:paraId="7888AF68">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0" w:firstLineChars="0"/>
            <w:jc w:val="center"/>
            <w:textAlignment w:val="auto"/>
            <w:rPr>
              <w:rFonts w:hint="eastAsia" w:ascii="仿宋_GB2312" w:hAnsi="仿宋_GB2312" w:eastAsia="仿宋_GB2312" w:cs="仿宋_GB2312"/>
              <w:color w:val="auto"/>
              <w:sz w:val="32"/>
              <w:szCs w:val="32"/>
            </w:rPr>
          </w:pPr>
          <w:r>
            <w:rPr>
              <w:rFonts w:hint="eastAsia" w:ascii="方正小标宋简体" w:eastAsia="方正小标宋简体"/>
              <w:color w:val="auto"/>
              <w:sz w:val="44"/>
            </w:rPr>
            <w:t>目</w:t>
          </w:r>
          <w:r>
            <w:rPr>
              <w:rFonts w:hint="eastAsia" w:ascii="方正小标宋简体" w:eastAsia="方正小标宋简体"/>
              <w:color w:val="auto"/>
              <w:sz w:val="44"/>
            </w:rPr>
            <w:tab/>
          </w:r>
          <w:r>
            <w:rPr>
              <w:rFonts w:hint="eastAsia" w:ascii="方正小标宋简体" w:eastAsia="方正小标宋简体"/>
              <w:color w:val="auto"/>
              <w:sz w:val="44"/>
            </w:rPr>
            <w:t>录</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TOC \o "1-3" \h \u </w:instrText>
          </w:r>
          <w:r>
            <w:rPr>
              <w:rFonts w:hint="eastAsia" w:ascii="仿宋_GB2312" w:hAnsi="仿宋_GB2312" w:eastAsia="仿宋_GB2312" w:cs="仿宋_GB2312"/>
              <w:color w:val="auto"/>
              <w:sz w:val="32"/>
              <w:szCs w:val="32"/>
            </w:rPr>
            <w:fldChar w:fldCharType="separate"/>
          </w:r>
        </w:p>
        <w:p w14:paraId="4CDE2526">
          <w:pPr>
            <w:pStyle w:val="7"/>
            <w:keepNext w:val="0"/>
            <w:keepLines w:val="0"/>
            <w:pageBreakBefore w:val="0"/>
            <w:widowControl w:val="0"/>
            <w:tabs>
              <w:tab w:val="right" w:pos="3200"/>
              <w:tab w:val="right" w:leader="dot" w:pos="9767"/>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_Toc12605 </w:instrText>
          </w:r>
          <w:r>
            <w:rPr>
              <w:rFonts w:hint="eastAsia" w:ascii="楷体_GB2312" w:hAnsi="楷体_GB2312" w:eastAsia="楷体_GB2312" w:cs="楷体_GB2312"/>
              <w:color w:val="auto"/>
              <w:sz w:val="32"/>
              <w:szCs w:val="32"/>
            </w:rPr>
            <w:fldChar w:fldCharType="separate"/>
          </w:r>
          <w:r>
            <w:rPr>
              <w:rFonts w:hint="eastAsia" w:ascii="黑体" w:hAnsi="黑体" w:eastAsia="黑体" w:cs="黑体"/>
              <w:color w:val="auto"/>
              <w:sz w:val="32"/>
              <w:szCs w:val="32"/>
            </w:rPr>
            <w:t>第一章</w:t>
          </w:r>
          <w:r>
            <w:rPr>
              <w:rFonts w:hint="eastAsia" w:ascii="黑体" w:hAnsi="黑体" w:eastAsia="黑体" w:cs="黑体"/>
              <w:color w:val="auto"/>
              <w:sz w:val="32"/>
              <w:szCs w:val="32"/>
            </w:rPr>
            <w:tab/>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发展基础和发展形势</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PAGEREF _Toc12605 \h </w:instrText>
          </w:r>
          <w:r>
            <w:rPr>
              <w:rFonts w:hint="eastAsia" w:ascii="楷体_GB2312" w:hAnsi="楷体_GB2312" w:eastAsia="楷体_GB2312" w:cs="楷体_GB2312"/>
              <w:color w:val="auto"/>
              <w:sz w:val="32"/>
              <w:szCs w:val="32"/>
            </w:rPr>
            <w:fldChar w:fldCharType="separate"/>
          </w:r>
          <w:r>
            <w:rPr>
              <w:rFonts w:hint="eastAsia" w:ascii="楷体_GB2312" w:hAnsi="楷体_GB2312" w:eastAsia="楷体_GB2312" w:cs="楷体_GB2312"/>
              <w:color w:val="auto"/>
              <w:sz w:val="32"/>
              <w:szCs w:val="32"/>
            </w:rPr>
            <w:t>1</w:t>
          </w:r>
          <w:r>
            <w:rPr>
              <w:rFonts w:hint="eastAsia"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rPr>
            <w:fldChar w:fldCharType="end"/>
          </w:r>
        </w:p>
        <w:p w14:paraId="5AA3C4BB">
          <w:pPr>
            <w:pStyle w:val="7"/>
            <w:keepNext w:val="0"/>
            <w:keepLines w:val="0"/>
            <w:pageBreakBefore w:val="0"/>
            <w:widowControl w:val="0"/>
            <w:tabs>
              <w:tab w:val="right" w:pos="3200"/>
              <w:tab w:val="right" w:leader="dot" w:pos="9767"/>
            </w:tabs>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_Toc12637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发展基础</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_Toc12637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2CEB9EF2">
          <w:pPr>
            <w:pStyle w:val="7"/>
            <w:keepNext w:val="0"/>
            <w:keepLines w:val="0"/>
            <w:pageBreakBefore w:val="0"/>
            <w:widowControl w:val="0"/>
            <w:tabs>
              <w:tab w:val="right" w:pos="3200"/>
              <w:tab w:val="right" w:leader="dot" w:pos="9767"/>
            </w:tabs>
            <w:kinsoku/>
            <w:wordWrap/>
            <w:overflowPunct/>
            <w:topLinePunct w:val="0"/>
            <w:autoSpaceDE w:val="0"/>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_Toc15603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发展形势</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_Toc15603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54AE895D">
          <w:pPr>
            <w:pStyle w:val="7"/>
            <w:keepNext w:val="0"/>
            <w:keepLines w:val="0"/>
            <w:pageBreakBefore w:val="0"/>
            <w:widowControl w:val="0"/>
            <w:tabs>
              <w:tab w:val="right" w:leader="dot" w:pos="9767"/>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_Toc8826 </w:instrText>
          </w:r>
          <w:r>
            <w:rPr>
              <w:rFonts w:hint="eastAsia" w:ascii="楷体_GB2312" w:hAnsi="楷体_GB2312" w:eastAsia="楷体_GB2312" w:cs="楷体_GB2312"/>
              <w:color w:val="auto"/>
              <w:sz w:val="32"/>
              <w:szCs w:val="32"/>
            </w:rPr>
            <w:fldChar w:fldCharType="separate"/>
          </w: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总体要求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PAGEREF _Toc8826 \h </w:instrText>
          </w:r>
          <w:r>
            <w:rPr>
              <w:rFonts w:hint="eastAsia" w:ascii="楷体_GB2312" w:hAnsi="楷体_GB2312" w:eastAsia="楷体_GB2312" w:cs="楷体_GB2312"/>
              <w:color w:val="auto"/>
              <w:sz w:val="32"/>
              <w:szCs w:val="32"/>
            </w:rPr>
            <w:fldChar w:fldCharType="separate"/>
          </w:r>
          <w:r>
            <w:rPr>
              <w:rFonts w:hint="eastAsia" w:ascii="楷体_GB2312" w:hAnsi="楷体_GB2312" w:eastAsia="楷体_GB2312" w:cs="楷体_GB2312"/>
              <w:color w:val="auto"/>
              <w:sz w:val="32"/>
              <w:szCs w:val="32"/>
            </w:rPr>
            <w:t>5</w:t>
          </w:r>
          <w:r>
            <w:rPr>
              <w:rFonts w:hint="eastAsia"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rPr>
            <w:fldChar w:fldCharType="end"/>
          </w:r>
        </w:p>
        <w:p w14:paraId="3E23367E">
          <w:pPr>
            <w:pStyle w:val="7"/>
            <w:keepNext w:val="0"/>
            <w:keepLines w:val="0"/>
            <w:pageBreakBefore w:val="0"/>
            <w:widowControl w:val="0"/>
            <w:tabs>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_Toc14722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指导思想</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_Toc14722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24E5DDE2">
          <w:pPr>
            <w:pStyle w:val="11"/>
            <w:keepNext w:val="0"/>
            <w:keepLines w:val="0"/>
            <w:pageBreakBefore w:val="0"/>
            <w:widowControl w:val="0"/>
            <w:tabs>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_Toc11616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基本原则</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_Toc11616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2EA42B1D">
          <w:pPr>
            <w:pStyle w:val="11"/>
            <w:keepNext w:val="0"/>
            <w:keepLines w:val="0"/>
            <w:pageBreakBefore w:val="0"/>
            <w:widowControl w:val="0"/>
            <w:tabs>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_Toc23125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第三节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主要目标</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_Toc23125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23814334">
          <w:pPr>
            <w:pStyle w:val="7"/>
            <w:keepNext w:val="0"/>
            <w:keepLines w:val="0"/>
            <w:pageBreakBefore w:val="0"/>
            <w:widowControl w:val="0"/>
            <w:tabs>
              <w:tab w:val="right" w:pos="3200"/>
              <w:tab w:val="right" w:leader="dot" w:pos="9767"/>
            </w:tabs>
            <w:kinsoku/>
            <w:wordWrap/>
            <w:overflowPunct/>
            <w:topLinePunct w:val="0"/>
            <w:autoSpaceDE w:val="0"/>
            <w:autoSpaceDN w:val="0"/>
            <w:bidi w:val="0"/>
            <w:adjustRightInd/>
            <w:snapToGrid/>
            <w:spacing w:line="560" w:lineRule="exact"/>
            <w:ind w:left="0" w:leftChars="0"/>
            <w:textAlignment w:val="auto"/>
            <w:rPr>
              <w:rFonts w:hint="eastAsia" w:ascii="仿宋_GB2312" w:hAnsi="仿宋_GB2312" w:eastAsia="楷体_GB2312" w:cs="仿宋_GB2312"/>
              <w:color w:val="auto"/>
              <w:sz w:val="32"/>
              <w:szCs w:val="32"/>
              <w:lang w:eastAsia="zh-CN"/>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_Toc24445 </w:instrText>
          </w:r>
          <w:r>
            <w:rPr>
              <w:rFonts w:hint="eastAsia" w:ascii="楷体_GB2312" w:hAnsi="楷体_GB2312" w:eastAsia="楷体_GB2312" w:cs="楷体_GB2312"/>
              <w:color w:val="auto"/>
              <w:sz w:val="32"/>
              <w:szCs w:val="32"/>
            </w:rPr>
            <w:fldChar w:fldCharType="separate"/>
          </w:r>
          <w:r>
            <w:rPr>
              <w:rFonts w:hint="eastAsia" w:ascii="黑体" w:hAnsi="黑体" w:eastAsia="黑体" w:cs="黑体"/>
              <w:color w:val="auto"/>
              <w:sz w:val="32"/>
              <w:szCs w:val="32"/>
            </w:rPr>
            <w:t>第三章</w:t>
          </w:r>
          <w:r>
            <w:rPr>
              <w:rFonts w:hint="eastAsia" w:ascii="黑体" w:hAnsi="黑体" w:eastAsia="黑体" w:cs="黑体"/>
              <w:color w:val="auto"/>
              <w:sz w:val="32"/>
              <w:szCs w:val="32"/>
            </w:rPr>
            <w:tab/>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促进区域协调发展</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lang w:val="en-US" w:eastAsia="zh-CN"/>
            </w:rPr>
            <w:t>8</w:t>
          </w:r>
        </w:p>
        <w:p w14:paraId="416AF024">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_Toc31456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推进人力资源交流合作</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8</w:t>
          </w:r>
        </w:p>
        <w:p w14:paraId="49085095">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_Toc31574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lang w:eastAsia="zh-CN"/>
            </w:rPr>
            <w:t>第二节</w:t>
          </w:r>
          <w:r>
            <w:rPr>
              <w:rFonts w:hint="eastAsia" w:ascii="楷体_GB2312" w:hAnsi="楷体_GB2312" w:eastAsia="楷体_GB2312" w:cs="楷体_GB2312"/>
              <w:color w:val="auto"/>
              <w:sz w:val="32"/>
              <w:szCs w:val="32"/>
              <w:lang w:eastAsia="zh-CN"/>
            </w:rPr>
            <w:tab/>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促进城乡融合发展</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8</w:t>
          </w:r>
        </w:p>
        <w:p w14:paraId="7BA53796">
          <w:pPr>
            <w:pStyle w:val="7"/>
            <w:keepNext w:val="0"/>
            <w:keepLines w:val="0"/>
            <w:pageBreakBefore w:val="0"/>
            <w:widowControl w:val="0"/>
            <w:tabs>
              <w:tab w:val="right" w:pos="3200"/>
              <w:tab w:val="right" w:leader="dot" w:pos="9767"/>
            </w:tabs>
            <w:kinsoku/>
            <w:wordWrap/>
            <w:overflowPunct/>
            <w:topLinePunct w:val="0"/>
            <w:autoSpaceDE w:val="0"/>
            <w:autoSpaceDN w:val="0"/>
            <w:bidi w:val="0"/>
            <w:adjustRightInd/>
            <w:snapToGrid/>
            <w:spacing w:line="560" w:lineRule="exact"/>
            <w:ind w:left="0" w:leftChars="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_Toc18568 </w:instrText>
          </w:r>
          <w:r>
            <w:rPr>
              <w:rFonts w:hint="eastAsia" w:ascii="楷体_GB2312" w:hAnsi="楷体_GB2312" w:eastAsia="楷体_GB2312" w:cs="楷体_GB2312"/>
              <w:color w:val="auto"/>
              <w:sz w:val="32"/>
              <w:szCs w:val="32"/>
            </w:rPr>
            <w:fldChar w:fldCharType="separate"/>
          </w: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ab/>
          </w:r>
          <w:r>
            <w:rPr>
              <w:rFonts w:hint="eastAsia" w:ascii="黑体" w:hAnsi="黑体" w:eastAsia="黑体" w:cs="黑体"/>
              <w:color w:val="auto"/>
              <w:sz w:val="32"/>
              <w:szCs w:val="32"/>
            </w:rPr>
            <w:t>推动实现更加充分更高质量就业</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PAGEREF _Toc18568 \h </w:instrText>
          </w:r>
          <w:r>
            <w:rPr>
              <w:rFonts w:hint="eastAsia" w:ascii="楷体_GB2312" w:hAnsi="楷体_GB2312" w:eastAsia="楷体_GB2312" w:cs="楷体_GB2312"/>
              <w:color w:val="auto"/>
              <w:sz w:val="32"/>
              <w:szCs w:val="32"/>
            </w:rPr>
            <w:fldChar w:fldCharType="separate"/>
          </w:r>
          <w:r>
            <w:rPr>
              <w:rFonts w:hint="eastAsia" w:ascii="楷体_GB2312" w:hAnsi="楷体_GB2312" w:eastAsia="楷体_GB2312" w:cs="楷体_GB2312"/>
              <w:color w:val="auto"/>
              <w:sz w:val="32"/>
              <w:szCs w:val="32"/>
            </w:rPr>
            <w:t>9</w:t>
          </w:r>
          <w:r>
            <w:rPr>
              <w:rFonts w:hint="eastAsia"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rPr>
            <w:fldChar w:fldCharType="end"/>
          </w:r>
        </w:p>
        <w:p w14:paraId="64215870">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_Toc25064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实施积极就业政策</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9</w:t>
          </w:r>
        </w:p>
        <w:p w14:paraId="3FDED194">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_Toc3286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加大重点群体就业支持力度</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_Toc3286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3347EC7D">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_Toc30989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第三节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支持创业带动就业多渠道灵活就业</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10</w:t>
          </w:r>
        </w:p>
        <w:p w14:paraId="17B0CEB0">
          <w:pPr>
            <w:pStyle w:val="11"/>
            <w:keepNext w:val="0"/>
            <w:keepLines w:val="0"/>
            <w:pageBreakBefore w:val="0"/>
            <w:widowControl w:val="0"/>
            <w:tabs>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_Toc14029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w w:val="100"/>
              <w:sz w:val="32"/>
              <w:szCs w:val="32"/>
            </w:rPr>
            <w:t>第</w:t>
          </w:r>
          <w:r>
            <w:rPr>
              <w:rFonts w:hint="eastAsia" w:ascii="楷体_GB2312" w:hAnsi="楷体_GB2312" w:eastAsia="楷体_GB2312" w:cs="楷体_GB2312"/>
              <w:color w:val="auto"/>
              <w:spacing w:val="0"/>
              <w:w w:val="100"/>
              <w:sz w:val="32"/>
              <w:szCs w:val="32"/>
            </w:rPr>
            <w:t>四</w:t>
          </w:r>
          <w:r>
            <w:rPr>
              <w:rFonts w:hint="eastAsia" w:ascii="楷体_GB2312" w:hAnsi="楷体_GB2312" w:eastAsia="楷体_GB2312" w:cs="楷体_GB2312"/>
              <w:color w:val="auto"/>
              <w:w w:val="100"/>
              <w:sz w:val="32"/>
              <w:szCs w:val="32"/>
            </w:rPr>
            <w:t>节</w:t>
          </w:r>
          <w:r>
            <w:rPr>
              <w:rFonts w:hint="eastAsia" w:ascii="楷体_GB2312" w:hAnsi="楷体_GB2312" w:eastAsia="楷体_GB2312" w:cs="楷体_GB2312"/>
              <w:color w:val="auto"/>
              <w:w w:val="100"/>
              <w:sz w:val="32"/>
              <w:szCs w:val="32"/>
              <w:lang w:val="zh-CN" w:eastAsia="zh-CN"/>
            </w:rPr>
            <w:t xml:space="preserve">  </w:t>
          </w:r>
          <w:r>
            <w:rPr>
              <w:rFonts w:hint="eastAsia" w:ascii="楷体_GB2312" w:hAnsi="楷体_GB2312" w:eastAsia="楷体_GB2312" w:cs="楷体_GB2312"/>
              <w:color w:val="auto"/>
              <w:spacing w:val="1"/>
              <w:w w:val="97"/>
              <w:kern w:val="0"/>
              <w:sz w:val="32"/>
              <w:szCs w:val="32"/>
              <w:fitText w:val="7520" w:id="1588743620"/>
            </w:rPr>
            <w:t>推进“粤菜师傅”“广东技工”“南粤家政”三项工</w:t>
          </w:r>
          <w:r>
            <w:rPr>
              <w:rFonts w:hint="eastAsia" w:ascii="楷体_GB2312" w:hAnsi="楷体_GB2312" w:eastAsia="楷体_GB2312" w:cs="楷体_GB2312"/>
              <w:color w:val="auto"/>
              <w:spacing w:val="55"/>
              <w:w w:val="97"/>
              <w:kern w:val="0"/>
              <w:sz w:val="32"/>
              <w:szCs w:val="32"/>
              <w:fitText w:val="7520" w:id="1588743620"/>
            </w:rPr>
            <w:t>程</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11</w:t>
          </w:r>
        </w:p>
        <w:p w14:paraId="771FFBF5">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_Toc23054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第五节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强化企业用工保障</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12</w:t>
          </w:r>
        </w:p>
        <w:p w14:paraId="64AE3737">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_Toc28602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第六节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推进全方位公共就业服务</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13</w:t>
          </w:r>
        </w:p>
        <w:p w14:paraId="3299A9D6">
          <w:pPr>
            <w:pStyle w:val="7"/>
            <w:keepNext w:val="0"/>
            <w:keepLines w:val="0"/>
            <w:pageBreakBefore w:val="0"/>
            <w:widowControl w:val="0"/>
            <w:tabs>
              <w:tab w:val="right" w:leader="dot" w:pos="9767"/>
            </w:tabs>
            <w:kinsoku/>
            <w:wordWrap/>
            <w:overflowPunct/>
            <w:topLinePunct w:val="0"/>
            <w:autoSpaceDE w:val="0"/>
            <w:autoSpaceDN w:val="0"/>
            <w:bidi w:val="0"/>
            <w:adjustRightInd/>
            <w:snapToGrid/>
            <w:spacing w:line="560" w:lineRule="exact"/>
            <w:ind w:left="0" w:leftChars="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_Toc12700 </w:instrText>
          </w:r>
          <w:r>
            <w:rPr>
              <w:rFonts w:hint="eastAsia" w:ascii="楷体_GB2312" w:hAnsi="楷体_GB2312" w:eastAsia="楷体_GB2312" w:cs="楷体_GB2312"/>
              <w:color w:val="auto"/>
              <w:sz w:val="32"/>
              <w:szCs w:val="32"/>
            </w:rPr>
            <w:fldChar w:fldCharType="separate"/>
          </w:r>
          <w:r>
            <w:rPr>
              <w:rFonts w:hint="eastAsia" w:ascii="黑体" w:hAnsi="黑体" w:eastAsia="黑体" w:cs="黑体"/>
              <w:color w:val="auto"/>
              <w:sz w:val="32"/>
              <w:szCs w:val="32"/>
            </w:rPr>
            <w:t>第五章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建设全覆盖可持续的多层次社会保障体系</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lang w:val="en-US" w:eastAsia="zh-CN"/>
            </w:rPr>
            <w:t>13</w:t>
          </w:r>
        </w:p>
        <w:p w14:paraId="5107E717">
          <w:pPr>
            <w:pStyle w:val="11"/>
            <w:keepNext w:val="0"/>
            <w:keepLines w:val="0"/>
            <w:pageBreakBefore w:val="0"/>
            <w:widowControl w:val="0"/>
            <w:tabs>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_Toc8120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推进全民参保计划全面实施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13</w:t>
          </w:r>
        </w:p>
        <w:p w14:paraId="4BE8F68E">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_Toc17612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完善社会保障制度体系</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14</w:t>
          </w:r>
        </w:p>
        <w:p w14:paraId="035E0D9B">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_Toc10059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第三节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完善社会保障待遇调整机制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14</w:t>
          </w:r>
        </w:p>
        <w:p w14:paraId="2CBE3CFE">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_Toc27342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第四节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确保基金安全可持续运行</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14</w:t>
          </w:r>
        </w:p>
        <w:p w14:paraId="75B88040">
          <w:pPr>
            <w:pStyle w:val="11"/>
            <w:keepNext w:val="0"/>
            <w:keepLines w:val="0"/>
            <w:pageBreakBefore w:val="0"/>
            <w:widowControl w:val="0"/>
            <w:tabs>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_Toc32433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pacing w:val="0"/>
              <w:w w:val="100"/>
              <w:sz w:val="32"/>
              <w:szCs w:val="32"/>
            </w:rPr>
            <w:t>第五节</w:t>
          </w:r>
          <w:r>
            <w:rPr>
              <w:rFonts w:hint="eastAsia" w:ascii="楷体_GB2312" w:hAnsi="楷体_GB2312" w:eastAsia="楷体_GB2312" w:cs="楷体_GB2312"/>
              <w:color w:val="auto"/>
              <w:spacing w:val="0"/>
              <w:w w:val="100"/>
              <w:sz w:val="32"/>
              <w:szCs w:val="32"/>
              <w:lang w:val="zh-CN" w:eastAsia="zh-CN"/>
            </w:rPr>
            <w:t xml:space="preserve">  </w:t>
          </w:r>
          <w:r>
            <w:rPr>
              <w:rFonts w:hint="eastAsia" w:ascii="楷体_GB2312" w:hAnsi="楷体_GB2312" w:eastAsia="楷体_GB2312" w:cs="楷体_GB2312"/>
              <w:color w:val="auto"/>
              <w:spacing w:val="0"/>
              <w:w w:val="100"/>
              <w:sz w:val="32"/>
              <w:szCs w:val="32"/>
            </w:rPr>
            <w:t>加强社会保险经办服务体系建设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14</w:t>
          </w:r>
        </w:p>
        <w:p w14:paraId="5F27DD1E">
          <w:pPr>
            <w:pStyle w:val="7"/>
            <w:keepNext w:val="0"/>
            <w:keepLines w:val="0"/>
            <w:pageBreakBefore w:val="0"/>
            <w:widowControl w:val="0"/>
            <w:tabs>
              <w:tab w:val="right" w:pos="3200"/>
              <w:tab w:val="right" w:leader="dot" w:pos="9767"/>
            </w:tabs>
            <w:kinsoku/>
            <w:wordWrap/>
            <w:overflowPunct/>
            <w:topLinePunct w:val="0"/>
            <w:autoSpaceDE w:val="0"/>
            <w:autoSpaceDN w:val="0"/>
            <w:bidi w:val="0"/>
            <w:adjustRightInd/>
            <w:snapToGrid/>
            <w:spacing w:line="560" w:lineRule="exact"/>
            <w:ind w:left="0" w:leftChars="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_Toc2420 </w:instrText>
          </w:r>
          <w:r>
            <w:rPr>
              <w:rFonts w:hint="eastAsia" w:ascii="楷体_GB2312" w:hAnsi="楷体_GB2312" w:eastAsia="楷体_GB2312" w:cs="楷体_GB2312"/>
              <w:color w:val="auto"/>
              <w:sz w:val="32"/>
              <w:szCs w:val="32"/>
            </w:rPr>
            <w:fldChar w:fldCharType="separate"/>
          </w:r>
          <w:r>
            <w:rPr>
              <w:rFonts w:hint="eastAsia" w:ascii="黑体" w:hAnsi="黑体" w:eastAsia="黑体" w:cs="黑体"/>
              <w:color w:val="auto"/>
              <w:sz w:val="32"/>
              <w:szCs w:val="32"/>
            </w:rPr>
            <w:t>第六章</w:t>
          </w:r>
          <w:r>
            <w:rPr>
              <w:rFonts w:hint="eastAsia" w:ascii="黑体" w:hAnsi="黑体" w:eastAsia="黑体" w:cs="黑体"/>
              <w:color w:val="auto"/>
              <w:sz w:val="32"/>
              <w:szCs w:val="32"/>
            </w:rPr>
            <w:tab/>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积极打造服务经济高质量发展的人才队伍</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lang w:val="en-US" w:eastAsia="zh-CN"/>
            </w:rPr>
            <w:t>15</w:t>
          </w:r>
        </w:p>
        <w:p w14:paraId="01BE9C74">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_Toc12508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加快建设高层次专业技术人才队伍</w:t>
          </w:r>
          <w:r>
            <w:rPr>
              <w:rFonts w:hint="eastAsia" w:cs="楷体_GB2312"/>
              <w:color w:val="auto"/>
              <w:sz w:val="32"/>
              <w:szCs w:val="32"/>
              <w:lang w:val="en-US" w:eastAsia="zh-CN"/>
            </w:rPr>
            <w:t>.</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_Toc12508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CE4F541">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_Toc21181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扩大高水平技能人才有效供给</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16</w:t>
          </w:r>
        </w:p>
        <w:p w14:paraId="63B0BD72">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_Toc5948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第三节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推动技工教育高质量发展</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17</w:t>
          </w:r>
        </w:p>
        <w:p w14:paraId="7488C508">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_Toc13322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第四节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推动技能人才服务经济发展</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18</w:t>
          </w:r>
        </w:p>
        <w:p w14:paraId="7A6D102B">
          <w:pPr>
            <w:pStyle w:val="11"/>
            <w:keepNext w:val="0"/>
            <w:keepLines w:val="0"/>
            <w:pageBreakBefore w:val="0"/>
            <w:widowControl w:val="0"/>
            <w:tabs>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_Toc9397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第五节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推进人力资源服务业高质量发展</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_Toc9397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18</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AA5E23E">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_Toc11171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第六节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完善人才公共服务体系</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19</w:t>
          </w:r>
        </w:p>
        <w:p w14:paraId="424DA343">
          <w:pPr>
            <w:pStyle w:val="7"/>
            <w:keepNext w:val="0"/>
            <w:keepLines w:val="0"/>
            <w:pageBreakBefore w:val="0"/>
            <w:widowControl w:val="0"/>
            <w:tabs>
              <w:tab w:val="right" w:leader="dot" w:pos="9767"/>
            </w:tabs>
            <w:kinsoku/>
            <w:wordWrap/>
            <w:overflowPunct/>
            <w:topLinePunct w:val="0"/>
            <w:autoSpaceDE w:val="0"/>
            <w:autoSpaceDN w:val="0"/>
            <w:bidi w:val="0"/>
            <w:adjustRightInd/>
            <w:snapToGrid/>
            <w:spacing w:line="560" w:lineRule="exact"/>
            <w:ind w:left="0" w:leftChars="0"/>
            <w:textAlignment w:val="auto"/>
            <w:rPr>
              <w:rFonts w:hint="default" w:ascii="仿宋_GB2312" w:hAnsi="仿宋_GB2312" w:eastAsia="楷体_GB2312" w:cs="仿宋_GB2312"/>
              <w:color w:val="auto"/>
              <w:sz w:val="32"/>
              <w:szCs w:val="32"/>
              <w:lang w:val="en-US" w:eastAsia="zh-CN"/>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_Toc16765 </w:instrText>
          </w:r>
          <w:r>
            <w:rPr>
              <w:rFonts w:hint="eastAsia" w:ascii="楷体_GB2312" w:hAnsi="楷体_GB2312" w:eastAsia="楷体_GB2312" w:cs="楷体_GB2312"/>
              <w:color w:val="auto"/>
              <w:sz w:val="32"/>
              <w:szCs w:val="32"/>
            </w:rPr>
            <w:fldChar w:fldCharType="separate"/>
          </w:r>
          <w:r>
            <w:rPr>
              <w:rFonts w:hint="eastAsia" w:ascii="黑体" w:hAnsi="黑体" w:eastAsia="黑体" w:cs="黑体"/>
              <w:color w:val="auto"/>
              <w:sz w:val="32"/>
              <w:szCs w:val="32"/>
            </w:rPr>
            <w:t xml:space="preserve">第七章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深化事业单位人事管理体制机制改革</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lang w:val="en-US" w:eastAsia="zh-CN"/>
            </w:rPr>
            <w:t>19</w:t>
          </w:r>
        </w:p>
        <w:p w14:paraId="6C185038">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_Toc8115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全面完善事业单位人事管理政策体系</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20</w:t>
          </w:r>
        </w:p>
        <w:p w14:paraId="3D36A789">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_Toc1718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全面强化事业单位人事管理服务监督</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20</w:t>
          </w:r>
        </w:p>
        <w:p w14:paraId="0463AEBF">
          <w:pPr>
            <w:pStyle w:val="7"/>
            <w:keepNext w:val="0"/>
            <w:keepLines w:val="0"/>
            <w:pageBreakBefore w:val="0"/>
            <w:widowControl w:val="0"/>
            <w:tabs>
              <w:tab w:val="right" w:pos="3200"/>
              <w:tab w:val="right" w:leader="dot" w:pos="9767"/>
            </w:tabs>
            <w:kinsoku/>
            <w:wordWrap/>
            <w:overflowPunct/>
            <w:topLinePunct w:val="0"/>
            <w:autoSpaceDE w:val="0"/>
            <w:autoSpaceDN w:val="0"/>
            <w:bidi w:val="0"/>
            <w:adjustRightInd/>
            <w:snapToGrid/>
            <w:spacing w:line="560" w:lineRule="exact"/>
            <w:ind w:left="0" w:leftChars="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_Toc27116 </w:instrText>
          </w:r>
          <w:r>
            <w:rPr>
              <w:rFonts w:hint="eastAsia" w:ascii="楷体_GB2312" w:hAnsi="楷体_GB2312" w:eastAsia="楷体_GB2312" w:cs="楷体_GB2312"/>
              <w:color w:val="auto"/>
              <w:sz w:val="32"/>
              <w:szCs w:val="32"/>
            </w:rPr>
            <w:fldChar w:fldCharType="separate"/>
          </w:r>
          <w:r>
            <w:rPr>
              <w:rFonts w:hint="eastAsia" w:ascii="黑体" w:hAnsi="黑体" w:eastAsia="黑体" w:cs="黑体"/>
              <w:color w:val="auto"/>
              <w:sz w:val="32"/>
              <w:szCs w:val="32"/>
            </w:rPr>
            <w:t>第八章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ab/>
          </w:r>
          <w:r>
            <w:rPr>
              <w:rFonts w:hint="eastAsia" w:ascii="黑体" w:hAnsi="黑体" w:eastAsia="黑体" w:cs="黑体"/>
              <w:color w:val="auto"/>
              <w:sz w:val="32"/>
              <w:szCs w:val="32"/>
            </w:rPr>
            <w:t>构建新型和谐劳动关系</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lang w:val="en-US" w:eastAsia="zh-CN"/>
            </w:rPr>
            <w:t>20</w:t>
          </w:r>
        </w:p>
        <w:p w14:paraId="47E548A8">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_Toc24571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健全劳动关系协调机制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21</w:t>
          </w:r>
        </w:p>
        <w:p w14:paraId="07046231">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_Toc9578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深化企业工资收入分配制度改革</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21</w:t>
          </w:r>
        </w:p>
        <w:p w14:paraId="1D21C398">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_Toc2621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pacing w:val="0"/>
              <w:sz w:val="32"/>
              <w:szCs w:val="32"/>
              <w:lang w:eastAsia="zh-CN"/>
            </w:rPr>
            <w:t>第三节</w:t>
          </w:r>
          <w:r>
            <w:rPr>
              <w:rFonts w:hint="eastAsia" w:ascii="楷体_GB2312" w:hAnsi="楷体_GB2312" w:eastAsia="楷体_GB2312" w:cs="楷体_GB2312"/>
              <w:color w:val="auto"/>
              <w:spacing w:val="0"/>
              <w:sz w:val="32"/>
              <w:szCs w:val="32"/>
              <w:lang w:eastAsia="zh-CN"/>
            </w:rPr>
            <w:tab/>
          </w:r>
          <w:r>
            <w:rPr>
              <w:rFonts w:hint="eastAsia" w:ascii="楷体_GB2312" w:hAnsi="楷体_GB2312" w:eastAsia="楷体_GB2312" w:cs="楷体_GB2312"/>
              <w:color w:val="auto"/>
              <w:spacing w:val="0"/>
              <w:sz w:val="32"/>
              <w:szCs w:val="32"/>
              <w:lang w:val="zh-CN" w:eastAsia="zh-CN"/>
            </w:rPr>
            <w:t xml:space="preserve">  </w:t>
          </w:r>
          <w:r>
            <w:rPr>
              <w:rFonts w:hint="eastAsia" w:ascii="楷体_GB2312" w:hAnsi="楷体_GB2312" w:eastAsia="楷体_GB2312" w:cs="楷体_GB2312"/>
              <w:color w:val="auto"/>
              <w:spacing w:val="0"/>
              <w:sz w:val="32"/>
              <w:szCs w:val="32"/>
              <w:lang w:eastAsia="zh-CN"/>
            </w:rPr>
            <w:t>完善劳动人事争议调解仲裁体制机制</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22</w:t>
          </w:r>
        </w:p>
        <w:p w14:paraId="6FBBE48D">
          <w:pPr>
            <w:pStyle w:val="11"/>
            <w:keepNext w:val="0"/>
            <w:keepLines w:val="0"/>
            <w:pageBreakBefore w:val="0"/>
            <w:widowControl w:val="0"/>
            <w:tabs>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_Toc30864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第四节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提高劳动保障监察治理效能</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22</w:t>
          </w:r>
        </w:p>
        <w:p w14:paraId="2B0DFB54">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_Toc25252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第五节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加强异地务工人员服务保障</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23</w:t>
          </w:r>
        </w:p>
        <w:p w14:paraId="10149EEB">
          <w:pPr>
            <w:pStyle w:val="10"/>
            <w:keepNext w:val="0"/>
            <w:keepLines w:val="0"/>
            <w:pageBreakBefore w:val="0"/>
            <w:widowControl w:val="0"/>
            <w:tabs>
              <w:tab w:val="right" w:leader="dot" w:pos="9767"/>
            </w:tabs>
            <w:kinsoku/>
            <w:wordWrap/>
            <w:overflowPunct/>
            <w:topLinePunct w:val="0"/>
            <w:autoSpaceDE w:val="0"/>
            <w:autoSpaceDN w:val="0"/>
            <w:bidi w:val="0"/>
            <w:adjustRightInd/>
            <w:snapToGrid/>
            <w:spacing w:before="0" w:line="560" w:lineRule="exact"/>
            <w:ind w:left="0" w:leftChars="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_Toc8949 </w:instrText>
          </w:r>
          <w:r>
            <w:rPr>
              <w:rFonts w:hint="eastAsia" w:ascii="楷体_GB2312" w:hAnsi="楷体_GB2312" w:eastAsia="楷体_GB2312" w:cs="楷体_GB2312"/>
              <w:color w:val="auto"/>
              <w:sz w:val="32"/>
              <w:szCs w:val="32"/>
            </w:rPr>
            <w:fldChar w:fldCharType="separate"/>
          </w:r>
          <w:r>
            <w:rPr>
              <w:rFonts w:hint="eastAsia" w:ascii="黑体" w:hAnsi="黑体" w:eastAsia="黑体" w:cs="黑体"/>
              <w:color w:val="auto"/>
              <w:sz w:val="32"/>
              <w:szCs w:val="32"/>
            </w:rPr>
            <w:t>第九章</w:t>
          </w:r>
          <w:r>
            <w:rPr>
              <w:rFonts w:hint="eastAsia" w:ascii="黑体" w:hAnsi="黑体" w:eastAsia="黑体" w:cs="黑体"/>
              <w:color w:val="auto"/>
              <w:sz w:val="32"/>
              <w:szCs w:val="32"/>
              <w:lang w:val="zh-CN" w:eastAsia="zh-CN"/>
            </w:rPr>
            <w:t xml:space="preserve">  </w:t>
          </w:r>
          <w:r>
            <w:rPr>
              <w:rFonts w:hint="eastAsia" w:ascii="黑体" w:hAnsi="黑体" w:eastAsia="黑体" w:cs="黑体"/>
              <w:color w:val="auto"/>
              <w:sz w:val="32"/>
              <w:szCs w:val="32"/>
            </w:rPr>
            <w:t>全方位提升公共服务能力和质量</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lang w:val="en-US" w:eastAsia="zh-CN"/>
            </w:rPr>
            <w:t>24</w:t>
          </w:r>
        </w:p>
        <w:p w14:paraId="0812FC2A">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_Toc19786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推进基本公共服务标准化信息化建设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24</w:t>
          </w:r>
        </w:p>
        <w:p w14:paraId="3EEC6529">
          <w:pPr>
            <w:pStyle w:val="11"/>
            <w:keepNext w:val="0"/>
            <w:keepLines w:val="0"/>
            <w:pageBreakBefore w:val="0"/>
            <w:widowControl w:val="0"/>
            <w:tabs>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_Toc6047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 xml:space="preserve">第二节 </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厚植优质服务作风</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24</w:t>
          </w:r>
        </w:p>
        <w:p w14:paraId="6C9C9581">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_Toc31505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第三节</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加强人社公共服务队伍建设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25</w:t>
          </w:r>
        </w:p>
        <w:p w14:paraId="7D5C0FD6">
          <w:pPr>
            <w:pStyle w:val="7"/>
            <w:keepNext w:val="0"/>
            <w:keepLines w:val="0"/>
            <w:pageBreakBefore w:val="0"/>
            <w:widowControl w:val="0"/>
            <w:tabs>
              <w:tab w:val="right" w:pos="3200"/>
              <w:tab w:val="right" w:leader="dot" w:pos="9767"/>
            </w:tabs>
            <w:kinsoku/>
            <w:wordWrap/>
            <w:overflowPunct/>
            <w:topLinePunct w:val="0"/>
            <w:autoSpaceDE w:val="0"/>
            <w:autoSpaceDN w:val="0"/>
            <w:bidi w:val="0"/>
            <w:adjustRightInd/>
            <w:snapToGrid/>
            <w:spacing w:line="560" w:lineRule="exact"/>
            <w:ind w:left="0" w:leftChars="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fldChar w:fldCharType="begin"/>
          </w:r>
          <w:r>
            <w:rPr>
              <w:rFonts w:hint="eastAsia" w:ascii="楷体_GB2312" w:hAnsi="楷体_GB2312" w:eastAsia="楷体_GB2312" w:cs="楷体_GB2312"/>
              <w:color w:val="auto"/>
              <w:sz w:val="32"/>
              <w:szCs w:val="32"/>
            </w:rPr>
            <w:instrText xml:space="preserve"> HYPERLINK \l _Toc28183 </w:instrText>
          </w:r>
          <w:r>
            <w:rPr>
              <w:rFonts w:hint="eastAsia" w:ascii="楷体_GB2312" w:hAnsi="楷体_GB2312" w:eastAsia="楷体_GB2312" w:cs="楷体_GB2312"/>
              <w:color w:val="auto"/>
              <w:sz w:val="32"/>
              <w:szCs w:val="32"/>
            </w:rPr>
            <w:fldChar w:fldCharType="separate"/>
          </w:r>
          <w:r>
            <w:rPr>
              <w:rFonts w:hint="eastAsia" w:ascii="黑体" w:hAnsi="黑体" w:eastAsia="黑体" w:cs="黑体"/>
              <w:color w:val="auto"/>
              <w:sz w:val="32"/>
              <w:szCs w:val="32"/>
            </w:rPr>
            <w:t>第十章</w:t>
          </w:r>
          <w:r>
            <w:rPr>
              <w:rFonts w:hint="eastAsia" w:ascii="黑体" w:hAnsi="黑体" w:eastAsia="黑体" w:cs="黑体"/>
              <w:color w:val="auto"/>
              <w:sz w:val="32"/>
              <w:szCs w:val="32"/>
            </w:rPr>
            <w:tab/>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推动规划有效落实</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fldChar w:fldCharType="end"/>
          </w:r>
          <w:r>
            <w:rPr>
              <w:rFonts w:hint="eastAsia" w:ascii="楷体_GB2312" w:hAnsi="楷体_GB2312" w:eastAsia="楷体_GB2312" w:cs="楷体_GB2312"/>
              <w:color w:val="auto"/>
              <w:sz w:val="32"/>
              <w:szCs w:val="32"/>
              <w:lang w:val="en-US" w:eastAsia="zh-CN"/>
            </w:rPr>
            <w:t>25</w:t>
          </w:r>
        </w:p>
        <w:p w14:paraId="7CD7C45F">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_Toc20193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ab/>
          </w:r>
          <w:r>
            <w:rPr>
              <w:rFonts w:hint="eastAsia" w:ascii="楷体_GB2312" w:hAnsi="楷体_GB2312" w:eastAsia="楷体_GB2312" w:cs="楷体_GB2312"/>
              <w:color w:val="auto"/>
              <w:sz w:val="32"/>
              <w:szCs w:val="32"/>
            </w:rPr>
            <w:t>坚持党的全面领导</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25</w:t>
          </w:r>
        </w:p>
        <w:p w14:paraId="3FD0ADE1">
          <w:pPr>
            <w:pStyle w:val="11"/>
            <w:keepNext w:val="0"/>
            <w:keepLines w:val="0"/>
            <w:pageBreakBefore w:val="0"/>
            <w:widowControl w:val="0"/>
            <w:tabs>
              <w:tab w:val="right" w:pos="4000"/>
              <w:tab w:val="right" w:leader="dot" w:pos="9767"/>
            </w:tabs>
            <w:kinsoku/>
            <w:wordWrap/>
            <w:overflowPunct/>
            <w:topLinePunct w:val="0"/>
            <w:autoSpaceDE w:val="0"/>
            <w:autoSpaceDN w:val="0"/>
            <w:bidi w:val="0"/>
            <w:adjustRightInd/>
            <w:snapToGrid/>
            <w:spacing w:before="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_Toc2334 </w:instrText>
          </w:r>
          <w:r>
            <w:rPr>
              <w:rFonts w:hint="eastAsia" w:ascii="仿宋_GB2312" w:hAnsi="仿宋_GB2312" w:eastAsia="仿宋_GB2312" w:cs="仿宋_GB2312"/>
              <w:color w:val="auto"/>
              <w:sz w:val="32"/>
              <w:szCs w:val="32"/>
            </w:rPr>
            <w:fldChar w:fldCharType="separate"/>
          </w:r>
          <w:r>
            <w:rPr>
              <w:rFonts w:hint="eastAsia" w:ascii="楷体_GB2312" w:hAnsi="楷体_GB2312" w:eastAsia="楷体_GB2312" w:cs="楷体_GB2312"/>
              <w:color w:val="auto"/>
              <w:sz w:val="32"/>
              <w:szCs w:val="32"/>
            </w:rPr>
            <w:t>第二节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强化法治建设</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26</w:t>
          </w:r>
        </w:p>
        <w:p w14:paraId="5C931AEB">
          <w:pPr>
            <w:keepNext w:val="0"/>
            <w:keepLines w:val="0"/>
            <w:pageBreakBefore w:val="0"/>
            <w:widowControl w:val="0"/>
            <w:kinsoku/>
            <w:wordWrap/>
            <w:overflowPunct/>
            <w:topLinePunct w:val="0"/>
            <w:autoSpaceDE w:val="0"/>
            <w:autoSpaceDN w:val="0"/>
            <w:bidi w:val="0"/>
            <w:adjustRightInd/>
            <w:snapToGrid/>
            <w:spacing w:after="0" w:line="560" w:lineRule="exact"/>
            <w:ind w:left="0" w:leftChars="0"/>
            <w:textAlignment w:val="auto"/>
            <w:rPr>
              <w:rFonts w:hint="eastAsia"/>
              <w:color w:val="auto"/>
              <w:lang w:val="zh-CN" w:eastAsia="zh-CN"/>
            </w:rPr>
            <w:sectPr>
              <w:footerReference r:id="rId6" w:type="default"/>
              <w:headerReference r:id="rId5" w:type="even"/>
              <w:footerReference r:id="rId7" w:type="even"/>
              <w:type w:val="continuous"/>
              <w:pgSz w:w="11910" w:h="16840"/>
              <w:pgMar w:top="1582" w:right="941" w:bottom="1400" w:left="1202" w:header="720" w:footer="720" w:gutter="0"/>
              <w:pgNumType w:fmt="decimal"/>
              <w:cols w:space="0" w:num="1"/>
              <w:rtlGutter w:val="0"/>
              <w:docGrid w:linePitch="0" w:charSpace="0"/>
            </w:sectPr>
          </w:pPr>
          <w:r>
            <w:rPr>
              <w:rFonts w:hint="eastAsia" w:ascii="仿宋_GB2312" w:hAnsi="仿宋_GB2312" w:eastAsia="仿宋_GB2312" w:cs="仿宋_GB2312"/>
              <w:color w:val="auto"/>
              <w:sz w:val="32"/>
              <w:szCs w:val="32"/>
            </w:rPr>
            <w:fldChar w:fldCharType="end"/>
          </w:r>
        </w:p>
      </w:sdtContent>
    </w:sdt>
    <w:p w14:paraId="416FB1DB">
      <w:pPr>
        <w:pStyle w:val="4"/>
        <w:spacing w:line="240" w:lineRule="auto"/>
        <w:ind w:left="1012" w:right="1269"/>
        <w:rPr>
          <w:rFonts w:hint="eastAsia" w:ascii="楷体_GB2312" w:eastAsia="楷体_GB2312"/>
          <w:color w:val="auto"/>
          <w:sz w:val="44"/>
          <w:szCs w:val="44"/>
        </w:rPr>
      </w:pPr>
      <w:bookmarkStart w:id="1" w:name="_Toc16973"/>
      <w:r>
        <w:rPr>
          <w:rFonts w:hint="eastAsia" w:ascii="方正小标宋简体" w:hAnsi="方正小标宋简体" w:eastAsia="方正小标宋简体"/>
          <w:color w:val="auto"/>
          <w:sz w:val="44"/>
          <w:szCs w:val="44"/>
        </w:rPr>
        <w:t>韶关市武江区人力资源和社会保障事业第十四个五年规划</w:t>
      </w:r>
    </w:p>
    <w:bookmarkEnd w:id="1"/>
    <w:p w14:paraId="395D8D43">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color w:val="auto"/>
        </w:rPr>
      </w:pPr>
      <w:r>
        <w:rPr>
          <w:color w:val="auto"/>
        </w:rPr>
        <w:t>根据《广东省人力资源和社会保障事业发展“十四五”规划》</w:t>
      </w:r>
      <w:r>
        <w:rPr>
          <w:rFonts w:hint="eastAsia"/>
          <w:color w:val="auto"/>
          <w:spacing w:val="-17"/>
          <w:w w:val="95"/>
          <w:lang w:eastAsia="zh-CN"/>
        </w:rPr>
        <w:t>《韶关市人力资源和社会保障事业发展“十四五”规划》</w:t>
      </w:r>
      <w:r>
        <w:rPr>
          <w:color w:val="auto"/>
          <w:spacing w:val="6"/>
        </w:rPr>
        <w:t>《韶关市</w:t>
      </w:r>
      <w:r>
        <w:rPr>
          <w:rFonts w:hint="eastAsia"/>
          <w:color w:val="auto"/>
          <w:spacing w:val="6"/>
          <w:lang w:eastAsia="zh-CN"/>
        </w:rPr>
        <w:t>武江区</w:t>
      </w:r>
      <w:r>
        <w:rPr>
          <w:color w:val="auto"/>
          <w:spacing w:val="6"/>
        </w:rPr>
        <w:t>国民经济和社会发展第十四个五年规划和二○三五年</w:t>
      </w:r>
      <w:r>
        <w:rPr>
          <w:color w:val="auto"/>
          <w:spacing w:val="-17"/>
          <w:w w:val="95"/>
        </w:rPr>
        <w:t>远景目标纲要》，为推进全</w:t>
      </w:r>
      <w:r>
        <w:rPr>
          <w:rFonts w:hint="eastAsia"/>
          <w:color w:val="auto"/>
          <w:spacing w:val="-17"/>
          <w:w w:val="95"/>
          <w:lang w:eastAsia="zh-CN"/>
        </w:rPr>
        <w:t>区</w:t>
      </w:r>
      <w:r>
        <w:rPr>
          <w:color w:val="auto"/>
          <w:spacing w:val="-17"/>
          <w:w w:val="95"/>
        </w:rPr>
        <w:t>人力资源社会保障事业高质量发展，</w:t>
      </w:r>
      <w:r>
        <w:rPr>
          <w:color w:val="auto"/>
          <w:spacing w:val="-23"/>
        </w:rPr>
        <w:t>制定本规划。规划期限</w:t>
      </w:r>
      <w:r>
        <w:rPr>
          <w:color w:val="auto"/>
          <w:spacing w:val="-40"/>
        </w:rPr>
        <w:t>至</w:t>
      </w:r>
      <w:r>
        <w:rPr>
          <w:color w:val="auto"/>
        </w:rPr>
        <w:t>2025</w:t>
      </w:r>
      <w:r>
        <w:rPr>
          <w:color w:val="auto"/>
          <w:spacing w:val="-28"/>
        </w:rPr>
        <w:t>年。</w:t>
      </w:r>
    </w:p>
    <w:p w14:paraId="5D1A5A25">
      <w:pPr>
        <w:pStyle w:val="4"/>
        <w:keepNext w:val="0"/>
        <w:keepLines w:val="0"/>
        <w:pageBreakBefore w:val="0"/>
        <w:widowControl w:val="0"/>
        <w:tabs>
          <w:tab w:val="left" w:pos="1439"/>
        </w:tabs>
        <w:kinsoku/>
        <w:wordWrap/>
        <w:overflowPunct/>
        <w:topLinePunct w:val="0"/>
        <w:autoSpaceDE w:val="0"/>
        <w:autoSpaceDN w:val="0"/>
        <w:bidi w:val="0"/>
        <w:adjustRightInd/>
        <w:snapToGrid/>
        <w:spacing w:before="0" w:line="560" w:lineRule="exact"/>
        <w:ind w:left="0" w:leftChars="0" w:right="0"/>
        <w:jc w:val="center"/>
        <w:textAlignment w:val="auto"/>
        <w:outlineLvl w:val="0"/>
        <w:rPr>
          <w:rFonts w:hint="eastAsia" w:ascii="黑体" w:hAnsi="黑体" w:eastAsia="黑体" w:cs="黑体"/>
          <w:color w:val="auto"/>
        </w:rPr>
      </w:pPr>
      <w:bookmarkStart w:id="2" w:name="_Toc12605"/>
      <w:r>
        <w:rPr>
          <w:rFonts w:hint="eastAsia" w:ascii="黑体" w:hAnsi="黑体" w:eastAsia="黑体" w:cs="黑体"/>
          <w:color w:val="auto"/>
        </w:rPr>
        <w:t>第一章</w:t>
      </w:r>
      <w:r>
        <w:rPr>
          <w:rFonts w:hint="eastAsia" w:ascii="黑体" w:hAnsi="黑体" w:eastAsia="黑体" w:cs="黑体"/>
          <w:color w:val="auto"/>
        </w:rPr>
        <w:tab/>
      </w:r>
      <w:r>
        <w:rPr>
          <w:rFonts w:hint="eastAsia" w:ascii="黑体" w:hAnsi="黑体" w:eastAsia="黑体" w:cs="黑体"/>
          <w:color w:val="auto"/>
        </w:rPr>
        <w:t>发展基础和发展形势</w:t>
      </w:r>
      <w:bookmarkEnd w:id="2"/>
    </w:p>
    <w:p w14:paraId="3E10B85A">
      <w:pPr>
        <w:pStyle w:val="6"/>
        <w:keepNext w:val="0"/>
        <w:keepLines w:val="0"/>
        <w:pageBreakBefore w:val="0"/>
        <w:widowControl w:val="0"/>
        <w:tabs>
          <w:tab w:val="left" w:pos="1281"/>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bookmarkStart w:id="3" w:name="_Toc12637"/>
      <w:r>
        <w:rPr>
          <w:rFonts w:hint="eastAsia" w:ascii="楷体_GB2312" w:hAnsi="楷体_GB2312" w:eastAsia="楷体_GB2312" w:cs="楷体_GB2312"/>
          <w:color w:val="auto"/>
        </w:rPr>
        <w:t>第一节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发展基础</w:t>
      </w:r>
      <w:bookmarkEnd w:id="3"/>
    </w:p>
    <w:p w14:paraId="227B3AA2">
      <w:pPr>
        <w:pStyle w:val="6"/>
        <w:keepNext w:val="0"/>
        <w:keepLines w:val="0"/>
        <w:pageBreakBefore w:val="0"/>
        <w:widowControl w:val="0"/>
        <w:kinsoku/>
        <w:wordWrap/>
        <w:overflowPunct/>
        <w:topLinePunct w:val="0"/>
        <w:autoSpaceDE w:val="0"/>
        <w:autoSpaceDN w:val="0"/>
        <w:bidi w:val="0"/>
        <w:adjustRightInd/>
        <w:snapToGrid/>
        <w:spacing w:before="0" w:line="560" w:lineRule="exact"/>
        <w:ind w:right="0" w:firstLine="664" w:firstLineChars="200"/>
        <w:jc w:val="both"/>
        <w:textAlignment w:val="auto"/>
        <w:rPr>
          <w:color w:val="auto"/>
        </w:rPr>
      </w:pPr>
      <w:r>
        <w:rPr>
          <w:color w:val="auto"/>
          <w:spacing w:val="6"/>
        </w:rPr>
        <w:t>“十三五”时期是我</w:t>
      </w:r>
      <w:r>
        <w:rPr>
          <w:rFonts w:hint="eastAsia"/>
          <w:color w:val="auto"/>
          <w:spacing w:val="6"/>
          <w:lang w:eastAsia="zh-CN"/>
        </w:rPr>
        <w:t>区</w:t>
      </w:r>
      <w:r>
        <w:rPr>
          <w:color w:val="auto"/>
          <w:spacing w:val="6"/>
        </w:rPr>
        <w:t>人力资源和社会保障事业改革发展</w:t>
      </w:r>
      <w:r>
        <w:rPr>
          <w:color w:val="auto"/>
          <w:spacing w:val="-5"/>
        </w:rPr>
        <w:t>取得重大进展、质量得到大幅提升的五年。五年来，面对国内外</w:t>
      </w:r>
      <w:r>
        <w:rPr>
          <w:color w:val="auto"/>
          <w:spacing w:val="-11"/>
        </w:rPr>
        <w:t>形势的复杂变化和艰巨繁重的改革发展任务，全</w:t>
      </w:r>
      <w:r>
        <w:rPr>
          <w:rFonts w:hint="eastAsia"/>
          <w:color w:val="auto"/>
          <w:spacing w:val="-11"/>
          <w:lang w:eastAsia="zh-CN"/>
        </w:rPr>
        <w:t>区</w:t>
      </w:r>
      <w:r>
        <w:rPr>
          <w:color w:val="auto"/>
          <w:spacing w:val="-11"/>
        </w:rPr>
        <w:t>人力资源社会</w:t>
      </w:r>
      <w:r>
        <w:rPr>
          <w:color w:val="auto"/>
          <w:spacing w:val="-22"/>
          <w:w w:val="95"/>
        </w:rPr>
        <w:t>保障系统坚决贯彻落实</w:t>
      </w:r>
      <w:r>
        <w:rPr>
          <w:rFonts w:hint="eastAsia"/>
          <w:color w:val="auto"/>
          <w:spacing w:val="-22"/>
          <w:w w:val="95"/>
          <w:lang w:eastAsia="zh-CN"/>
        </w:rPr>
        <w:t>市人社局、区</w:t>
      </w:r>
      <w:r>
        <w:rPr>
          <w:color w:val="auto"/>
          <w:spacing w:val="-22"/>
          <w:w w:val="95"/>
        </w:rPr>
        <w:t>委、</w:t>
      </w:r>
      <w:r>
        <w:rPr>
          <w:rFonts w:hint="eastAsia"/>
          <w:color w:val="auto"/>
          <w:spacing w:val="-22"/>
          <w:w w:val="95"/>
          <w:lang w:eastAsia="zh-CN"/>
        </w:rPr>
        <w:t>区</w:t>
      </w:r>
      <w:r>
        <w:rPr>
          <w:color w:val="auto"/>
          <w:spacing w:val="-22"/>
          <w:w w:val="95"/>
        </w:rPr>
        <w:t>政府的决策部署，坚持稳中求进，</w:t>
      </w:r>
      <w:r>
        <w:rPr>
          <w:color w:val="auto"/>
          <w:spacing w:val="-26"/>
        </w:rPr>
        <w:t>凝心聚力、攻坚克难、善于创新、勇于实践，全面完成“十三五”</w:t>
      </w:r>
      <w:r>
        <w:rPr>
          <w:color w:val="auto"/>
          <w:spacing w:val="-19"/>
        </w:rPr>
        <w:t>时期主要目标任务，为保障改善民生、实施创新驱动战略，加快</w:t>
      </w:r>
      <w:r>
        <w:rPr>
          <w:color w:val="auto"/>
          <w:spacing w:val="-23"/>
        </w:rPr>
        <w:t>转变经济发展方式和维护社会和谐稳定作出重要贡献，为“十四五”时期发展奠定了坚实基础。</w:t>
      </w:r>
    </w:p>
    <w:p w14:paraId="71E2D782">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00" w:firstLineChars="200"/>
        <w:jc w:val="both"/>
        <w:textAlignment w:val="auto"/>
        <w:rPr>
          <w:color w:val="auto"/>
        </w:rPr>
      </w:pPr>
      <w:r>
        <w:rPr>
          <w:color w:val="auto"/>
          <w:spacing w:val="-10"/>
        </w:rPr>
        <w:t>——稳岗扩就业成效显著。就业政策与经济社会发展联动更加紧密，重点群体就业支持体系更加完善，就业规模持续扩大。妥善应</w:t>
      </w:r>
      <w:r>
        <w:rPr>
          <w:color w:val="auto"/>
          <w:spacing w:val="-15"/>
        </w:rPr>
        <w:t>对中美经贸摩擦、新冠肺炎疫情等多重影响，积极减负稳岗扩就</w:t>
      </w:r>
      <w:r>
        <w:rPr>
          <w:color w:val="auto"/>
          <w:spacing w:val="-13"/>
          <w:w w:val="95"/>
        </w:rPr>
        <w:t>业，就业局势总体保持稳定。“十三五”期间，</w:t>
      </w:r>
      <w:r>
        <w:rPr>
          <w:rFonts w:hint="eastAsia"/>
          <w:color w:val="auto"/>
          <w:spacing w:val="-13"/>
          <w:w w:val="95"/>
          <w:lang w:eastAsia="zh-CN"/>
        </w:rPr>
        <w:t>全区</w:t>
      </w:r>
      <w:r>
        <w:rPr>
          <w:color w:val="auto"/>
          <w:spacing w:val="-13"/>
          <w:w w:val="95"/>
        </w:rPr>
        <w:t>城镇新增就</w:t>
      </w:r>
      <w:r>
        <w:rPr>
          <w:color w:val="auto"/>
          <w:spacing w:val="-13"/>
        </w:rPr>
        <w:t>业</w:t>
      </w:r>
      <w:r>
        <w:rPr>
          <w:rFonts w:hint="eastAsia"/>
          <w:strike w:val="0"/>
          <w:dstrike w:val="0"/>
          <w:color w:val="auto"/>
          <w:lang w:val="en-US" w:eastAsia="zh-CN"/>
        </w:rPr>
        <w:t>12807</w:t>
      </w:r>
      <w:r>
        <w:rPr>
          <w:color w:val="auto"/>
        </w:rPr>
        <w:t>人，城镇登记失业率控制在</w:t>
      </w:r>
      <w:r>
        <w:rPr>
          <w:rFonts w:hint="eastAsia"/>
          <w:color w:val="auto"/>
          <w:spacing w:val="3"/>
          <w:lang w:val="en-US" w:eastAsia="zh-CN"/>
        </w:rPr>
        <w:t>2.78%</w:t>
      </w:r>
      <w:r>
        <w:rPr>
          <w:color w:val="auto"/>
        </w:rPr>
        <w:t>以内。</w:t>
      </w:r>
    </w:p>
    <w:p w14:paraId="1B4295D6">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8"/>
        </w:rPr>
        <w:sectPr>
          <w:footerReference r:id="rId8" w:type="default"/>
          <w:footerReference r:id="rId9" w:type="even"/>
          <w:pgSz w:w="11910" w:h="16840"/>
          <w:pgMar w:top="1582" w:right="941" w:bottom="1400" w:left="1202" w:header="0" w:footer="963" w:gutter="0"/>
          <w:pgNumType w:fmt="decimal" w:start="1"/>
          <w:cols w:space="0" w:num="1"/>
          <w:rtlGutter w:val="0"/>
          <w:docGrid w:linePitch="0" w:charSpace="0"/>
        </w:sectPr>
      </w:pPr>
      <w:r>
        <w:rPr>
          <w:color w:val="auto"/>
          <w:spacing w:val="-8"/>
        </w:rPr>
        <w:t>——社会保障水平稳步提高。扩面征缴持续推进。实现企业</w:t>
      </w:r>
      <w:r>
        <w:rPr>
          <w:color w:val="auto"/>
          <w:spacing w:val="-14"/>
        </w:rPr>
        <w:t>职工基本养老保险</w:t>
      </w:r>
      <w:r>
        <w:rPr>
          <w:rFonts w:hint="eastAsia"/>
          <w:color w:val="auto"/>
          <w:spacing w:val="-14"/>
          <w:lang w:val="en-US" w:eastAsia="zh-CN"/>
        </w:rPr>
        <w:t>和</w:t>
      </w:r>
      <w:r>
        <w:rPr>
          <w:color w:val="auto"/>
          <w:spacing w:val="-14"/>
        </w:rPr>
        <w:t>工伤保险基金省级统筹，实行城乡居民养老</w:t>
      </w:r>
      <w:r>
        <w:rPr>
          <w:color w:val="auto"/>
          <w:spacing w:val="-17"/>
        </w:rPr>
        <w:t>保险基金市级管理，失业保险基金省级统筹</w:t>
      </w:r>
      <w:r>
        <w:rPr>
          <w:rFonts w:hint="eastAsia"/>
          <w:color w:val="auto"/>
          <w:spacing w:val="-17"/>
          <w:lang w:eastAsia="zh-CN"/>
        </w:rPr>
        <w:t>，</w:t>
      </w:r>
      <w:r>
        <w:rPr>
          <w:color w:val="auto"/>
          <w:spacing w:val="-17"/>
        </w:rPr>
        <w:t>机关事业单位养老</w:t>
      </w:r>
      <w:r>
        <w:rPr>
          <w:color w:val="auto"/>
          <w:spacing w:val="-18"/>
        </w:rPr>
        <w:t>保险制度改革稳妥推进。</w:t>
      </w:r>
    </w:p>
    <w:p w14:paraId="0640C4F3">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18"/>
          <w:highlight w:val="none"/>
        </w:rPr>
        <w:t>社会保险基金总体安全完整。截至“十</w:t>
      </w:r>
      <w:r>
        <w:rPr>
          <w:color w:val="auto"/>
          <w:spacing w:val="-21"/>
          <w:highlight w:val="none"/>
        </w:rPr>
        <w:t>三五”期末，</w:t>
      </w:r>
      <w:r>
        <w:rPr>
          <w:rFonts w:hint="eastAsia"/>
          <w:color w:val="auto"/>
          <w:spacing w:val="-21"/>
          <w:highlight w:val="none"/>
          <w:lang w:eastAsia="zh-CN"/>
        </w:rPr>
        <w:t>全区</w:t>
      </w:r>
      <w:r>
        <w:rPr>
          <w:color w:val="auto"/>
          <w:spacing w:val="-21"/>
          <w:highlight w:val="none"/>
        </w:rPr>
        <w:t>参加城镇职工</w:t>
      </w:r>
      <w:r>
        <w:rPr>
          <w:rFonts w:hint="eastAsia"/>
          <w:color w:val="auto"/>
          <w:spacing w:val="-21"/>
          <w:highlight w:val="none"/>
          <w:lang w:eastAsia="zh-CN"/>
        </w:rPr>
        <w:t>（</w:t>
      </w:r>
      <w:r>
        <w:rPr>
          <w:rFonts w:hint="eastAsia"/>
          <w:color w:val="auto"/>
          <w:spacing w:val="-21"/>
          <w:highlight w:val="none"/>
          <w:lang w:val="en-US" w:eastAsia="zh-CN"/>
        </w:rPr>
        <w:t>不含离退休）</w:t>
      </w:r>
      <w:r>
        <w:rPr>
          <w:color w:val="auto"/>
          <w:spacing w:val="-21"/>
          <w:highlight w:val="none"/>
        </w:rPr>
        <w:t>基本养老保险</w:t>
      </w:r>
      <w:r>
        <w:rPr>
          <w:rFonts w:hint="eastAsia"/>
          <w:color w:val="auto"/>
          <w:spacing w:val="-21"/>
          <w:highlight w:val="none"/>
          <w:lang w:val="en-US" w:eastAsia="zh-CN"/>
        </w:rPr>
        <w:t>人数为8</w:t>
      </w:r>
      <w:r>
        <w:rPr>
          <w:color w:val="auto"/>
          <w:highlight w:val="none"/>
        </w:rPr>
        <w:t>.</w:t>
      </w:r>
      <w:r>
        <w:rPr>
          <w:rFonts w:hint="eastAsia"/>
          <w:color w:val="auto"/>
          <w:highlight w:val="none"/>
          <w:lang w:val="en-US" w:eastAsia="zh-CN"/>
        </w:rPr>
        <w:t>85</w:t>
      </w:r>
      <w:r>
        <w:rPr>
          <w:color w:val="auto"/>
          <w:spacing w:val="-22"/>
          <w:highlight w:val="none"/>
        </w:rPr>
        <w:t>万人、</w:t>
      </w:r>
      <w:r>
        <w:rPr>
          <w:rFonts w:hint="eastAsia"/>
          <w:color w:val="auto"/>
          <w:spacing w:val="-22"/>
          <w:highlight w:val="none"/>
          <w:lang w:val="en-US" w:eastAsia="zh-CN"/>
        </w:rPr>
        <w:t>城乡居民基本养老保险人数为3.65万人、</w:t>
      </w:r>
      <w:r>
        <w:rPr>
          <w:color w:val="auto"/>
          <w:spacing w:val="-27"/>
          <w:highlight w:val="none"/>
        </w:rPr>
        <w:t>工伤保险</w:t>
      </w:r>
      <w:r>
        <w:rPr>
          <w:rFonts w:hint="eastAsia"/>
          <w:color w:val="auto"/>
          <w:spacing w:val="-27"/>
          <w:highlight w:val="none"/>
          <w:lang w:val="en-US" w:eastAsia="zh-CN"/>
        </w:rPr>
        <w:t>人数为10.</w:t>
      </w:r>
      <w:r>
        <w:rPr>
          <w:rFonts w:hint="eastAsia"/>
          <w:color w:val="auto"/>
          <w:highlight w:val="none"/>
          <w:lang w:val="en-US" w:eastAsia="zh-CN"/>
        </w:rPr>
        <w:t>22</w:t>
      </w:r>
      <w:r>
        <w:rPr>
          <w:color w:val="auto"/>
          <w:spacing w:val="-15"/>
          <w:highlight w:val="none"/>
        </w:rPr>
        <w:t>万人；企</w:t>
      </w:r>
      <w:r>
        <w:rPr>
          <w:color w:val="auto"/>
          <w:spacing w:val="-15"/>
        </w:rPr>
        <w:t>业退休人员基本</w:t>
      </w:r>
      <w:r>
        <w:rPr>
          <w:color w:val="auto"/>
          <w:spacing w:val="5"/>
        </w:rPr>
        <w:t>养</w:t>
      </w:r>
      <w:r>
        <w:rPr>
          <w:color w:val="auto"/>
          <w:spacing w:val="7"/>
        </w:rPr>
        <w:t>老</w:t>
      </w:r>
      <w:r>
        <w:rPr>
          <w:color w:val="auto"/>
          <w:spacing w:val="5"/>
        </w:rPr>
        <w:t>金年</w:t>
      </w:r>
      <w:r>
        <w:rPr>
          <w:color w:val="auto"/>
          <w:spacing w:val="7"/>
        </w:rPr>
        <w:t>均</w:t>
      </w:r>
      <w:r>
        <w:rPr>
          <w:color w:val="auto"/>
          <w:spacing w:val="5"/>
        </w:rPr>
        <w:t>增</w:t>
      </w:r>
      <w:r>
        <w:rPr>
          <w:color w:val="auto"/>
        </w:rPr>
        <w:t>长</w:t>
      </w:r>
      <w:r>
        <w:rPr>
          <w:color w:val="auto"/>
          <w:spacing w:val="11"/>
        </w:rPr>
        <w:t>5</w:t>
      </w:r>
      <w:r>
        <w:rPr>
          <w:color w:val="auto"/>
          <w:spacing w:val="11"/>
          <w:w w:val="99"/>
        </w:rPr>
        <w:drawing>
          <wp:inline distT="0" distB="0" distL="0" distR="0">
            <wp:extent cx="85090" cy="154940"/>
            <wp:effectExtent l="0" t="0" r="10160" b="1651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a:picLocks noChangeAspect="1"/>
                    </pic:cNvPicPr>
                  </pic:nvPicPr>
                  <pic:blipFill>
                    <a:blip r:embed="rId15" cstate="print"/>
                    <a:stretch>
                      <a:fillRect/>
                    </a:stretch>
                  </pic:blipFill>
                  <pic:spPr>
                    <a:xfrm>
                      <a:off x="0" y="0"/>
                      <a:ext cx="85724" cy="155574"/>
                    </a:xfrm>
                    <a:prstGeom prst="rect">
                      <a:avLst/>
                    </a:prstGeom>
                  </pic:spPr>
                </pic:pic>
              </a:graphicData>
            </a:graphic>
          </wp:inline>
        </w:drawing>
      </w:r>
      <w:r>
        <w:rPr>
          <w:color w:val="auto"/>
          <w:spacing w:val="5"/>
          <w:w w:val="95"/>
        </w:rPr>
        <w:t>；</w:t>
      </w:r>
      <w:r>
        <w:rPr>
          <w:color w:val="auto"/>
          <w:spacing w:val="7"/>
          <w:w w:val="95"/>
        </w:rPr>
        <w:t>城</w:t>
      </w:r>
      <w:r>
        <w:rPr>
          <w:color w:val="auto"/>
          <w:spacing w:val="5"/>
          <w:w w:val="95"/>
        </w:rPr>
        <w:t>乡居</w:t>
      </w:r>
      <w:r>
        <w:rPr>
          <w:color w:val="auto"/>
          <w:spacing w:val="7"/>
          <w:w w:val="95"/>
        </w:rPr>
        <w:t>保</w:t>
      </w:r>
      <w:r>
        <w:rPr>
          <w:color w:val="auto"/>
          <w:spacing w:val="5"/>
          <w:w w:val="95"/>
        </w:rPr>
        <w:t>基础</w:t>
      </w:r>
      <w:r>
        <w:rPr>
          <w:color w:val="auto"/>
          <w:spacing w:val="7"/>
          <w:w w:val="95"/>
        </w:rPr>
        <w:t>养</w:t>
      </w:r>
      <w:r>
        <w:rPr>
          <w:color w:val="auto"/>
          <w:spacing w:val="5"/>
          <w:w w:val="95"/>
        </w:rPr>
        <w:t>老金</w:t>
      </w:r>
      <w:r>
        <w:rPr>
          <w:color w:val="auto"/>
          <w:spacing w:val="7"/>
          <w:w w:val="95"/>
        </w:rPr>
        <w:t>最</w:t>
      </w:r>
      <w:r>
        <w:rPr>
          <w:color w:val="auto"/>
          <w:spacing w:val="5"/>
          <w:w w:val="95"/>
        </w:rPr>
        <w:t>低标</w:t>
      </w:r>
      <w:r>
        <w:rPr>
          <w:color w:val="auto"/>
          <w:spacing w:val="7"/>
          <w:w w:val="95"/>
        </w:rPr>
        <w:t>准</w:t>
      </w:r>
      <w:r>
        <w:rPr>
          <w:color w:val="auto"/>
          <w:spacing w:val="5"/>
          <w:w w:val="95"/>
        </w:rPr>
        <w:t>提高</w:t>
      </w:r>
      <w:r>
        <w:rPr>
          <w:color w:val="auto"/>
          <w:spacing w:val="7"/>
          <w:w w:val="95"/>
        </w:rPr>
        <w:t>至</w:t>
      </w:r>
      <w:r>
        <w:rPr>
          <w:color w:val="auto"/>
          <w:spacing w:val="5"/>
          <w:w w:val="95"/>
        </w:rPr>
        <w:t>每</w:t>
      </w:r>
      <w:r>
        <w:rPr>
          <w:color w:val="auto"/>
          <w:w w:val="95"/>
        </w:rPr>
        <w:t>人</w:t>
      </w:r>
      <w:r>
        <w:rPr>
          <w:color w:val="auto"/>
        </w:rPr>
        <w:t>每月180元</w:t>
      </w:r>
      <w:r>
        <w:rPr>
          <w:color w:val="auto"/>
          <w:spacing w:val="-17"/>
        </w:rPr>
        <w:t>，</w:t>
      </w:r>
      <w:r>
        <w:rPr>
          <w:color w:val="auto"/>
        </w:rPr>
        <w:t>相比“十二五”期末增长</w:t>
      </w:r>
      <w:r>
        <w:rPr>
          <w:color w:val="auto"/>
          <w:spacing w:val="6"/>
        </w:rPr>
        <w:t>80</w:t>
      </w:r>
      <w:r>
        <w:rPr>
          <w:color w:val="auto"/>
          <w:spacing w:val="11"/>
          <w:w w:val="99"/>
        </w:rPr>
        <w:drawing>
          <wp:inline distT="0" distB="0" distL="0" distR="0">
            <wp:extent cx="85090" cy="154940"/>
            <wp:effectExtent l="0" t="0" r="10160" b="1651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a:picLocks noChangeAspect="1"/>
                    </pic:cNvPicPr>
                  </pic:nvPicPr>
                  <pic:blipFill>
                    <a:blip r:embed="rId15" cstate="print"/>
                    <a:stretch>
                      <a:fillRect/>
                    </a:stretch>
                  </pic:blipFill>
                  <pic:spPr>
                    <a:xfrm>
                      <a:off x="0" y="0"/>
                      <a:ext cx="85724" cy="155574"/>
                    </a:xfrm>
                    <a:prstGeom prst="rect">
                      <a:avLst/>
                    </a:prstGeom>
                  </pic:spPr>
                </pic:pic>
              </a:graphicData>
            </a:graphic>
          </wp:inline>
        </w:drawing>
      </w:r>
      <w:r>
        <w:rPr>
          <w:color w:val="auto"/>
        </w:rPr>
        <w:t>。</w:t>
      </w:r>
    </w:p>
    <w:p w14:paraId="137676C2">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6"/>
          <w:highlight w:val="none"/>
        </w:rPr>
      </w:pPr>
      <w:r>
        <w:rPr>
          <w:color w:val="auto"/>
          <w:spacing w:val="-9"/>
        </w:rPr>
        <w:t>——高层次人才队伍持续壮大。</w:t>
      </w:r>
      <w:r>
        <w:rPr>
          <w:rFonts w:hint="eastAsia"/>
          <w:color w:val="auto"/>
          <w:spacing w:val="-9"/>
          <w:lang w:val="en-US" w:eastAsia="zh-CN"/>
        </w:rPr>
        <w:t>贯彻落实</w:t>
      </w:r>
      <w:r>
        <w:rPr>
          <w:color w:val="auto"/>
          <w:spacing w:val="-9"/>
        </w:rPr>
        <w:t>扶持高校毕业生在</w:t>
      </w:r>
      <w:r>
        <w:rPr>
          <w:color w:val="auto"/>
          <w:spacing w:val="-13"/>
        </w:rPr>
        <w:t>韶就业、技工院校毕业生在韶</w:t>
      </w:r>
      <w:r>
        <w:rPr>
          <w:color w:val="auto"/>
          <w:spacing w:val="-13"/>
          <w:highlight w:val="none"/>
        </w:rPr>
        <w:t>发展等人才政策，新时代专业技术</w:t>
      </w:r>
      <w:r>
        <w:rPr>
          <w:color w:val="auto"/>
          <w:spacing w:val="6"/>
          <w:highlight w:val="none"/>
        </w:rPr>
        <w:t>人才与技能人才队伍提升行动深入推进，人才发展环境不断改</w:t>
      </w:r>
      <w:r>
        <w:rPr>
          <w:color w:val="auto"/>
          <w:spacing w:val="-11"/>
          <w:highlight w:val="none"/>
        </w:rPr>
        <w:t>善，人才规模持续扩大，人才结构进一步优化。按照导向目录要</w:t>
      </w:r>
      <w:r>
        <w:rPr>
          <w:color w:val="auto"/>
          <w:spacing w:val="-16"/>
          <w:highlight w:val="none"/>
        </w:rPr>
        <w:t>求引进公共服务领域紧缺适用人才</w:t>
      </w:r>
      <w:r>
        <w:rPr>
          <w:color w:val="auto"/>
          <w:highlight w:val="none"/>
        </w:rPr>
        <w:t>105</w:t>
      </w:r>
      <w:r>
        <w:rPr>
          <w:color w:val="auto"/>
          <w:spacing w:val="-10"/>
          <w:highlight w:val="none"/>
        </w:rPr>
        <w:t>人。深化职称制度改革，</w:t>
      </w:r>
      <w:r>
        <w:rPr>
          <w:rFonts w:hint="eastAsia"/>
          <w:color w:val="auto"/>
          <w:spacing w:val="-10"/>
          <w:highlight w:val="none"/>
          <w:lang w:eastAsia="zh-CN"/>
        </w:rPr>
        <w:t>不断优化职称评审管理服务，</w:t>
      </w:r>
      <w:r>
        <w:rPr>
          <w:color w:val="auto"/>
          <w:spacing w:val="6"/>
          <w:highlight w:val="none"/>
        </w:rPr>
        <w:t>建立事业单位岗位管理和人员聘用制度，公开招聘工作有序推进。深化</w:t>
      </w:r>
      <w:r>
        <w:rPr>
          <w:color w:val="auto"/>
          <w:spacing w:val="6"/>
        </w:rPr>
        <w:t>机关事业单位收入分配制度改革。事业单位岗位管理和人员聘用制度基本建立，公开</w:t>
      </w:r>
      <w:r>
        <w:rPr>
          <w:color w:val="auto"/>
          <w:spacing w:val="6"/>
          <w:highlight w:val="none"/>
        </w:rPr>
        <w:t>招聘扎实推进，人员流动更加便捷。事业单位绩效</w:t>
      </w:r>
      <w:r>
        <w:rPr>
          <w:rFonts w:hint="eastAsia"/>
          <w:color w:val="auto"/>
          <w:spacing w:val="6"/>
          <w:highlight w:val="none"/>
          <w:lang w:eastAsia="zh-CN"/>
        </w:rPr>
        <w:t>工资</w:t>
      </w:r>
      <w:r>
        <w:rPr>
          <w:color w:val="auto"/>
          <w:spacing w:val="6"/>
          <w:highlight w:val="none"/>
        </w:rPr>
        <w:t>分配激励机制更加完善，事业单位基本工资标准有序调整。</w:t>
      </w:r>
    </w:p>
    <w:p w14:paraId="161F48A8">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7"/>
          <w:highlight w:val="none"/>
        </w:rPr>
      </w:pPr>
      <w:r>
        <w:rPr>
          <w:color w:val="auto"/>
          <w:spacing w:val="-8"/>
          <w:highlight w:val="none"/>
        </w:rPr>
        <w:t>——技能人才队伍建设明显加快。基本建立普惠制劳动力职</w:t>
      </w:r>
      <w:r>
        <w:rPr>
          <w:color w:val="auto"/>
          <w:spacing w:val="-14"/>
          <w:highlight w:val="none"/>
        </w:rPr>
        <w:t>业技能培训制度，启动实施“粤菜师傅”“广东技工”“南</w:t>
      </w:r>
      <w:r>
        <w:rPr>
          <w:color w:val="auto"/>
          <w:spacing w:val="-22"/>
          <w:w w:val="95"/>
          <w:highlight w:val="none"/>
        </w:rPr>
        <w:t>粤家政”三项工程，</w:t>
      </w:r>
      <w:r>
        <w:rPr>
          <w:color w:val="auto"/>
          <w:spacing w:val="-17"/>
          <w:highlight w:val="none"/>
        </w:rPr>
        <w:t>加强“竞赛型”技能人才队伍建设，重点做好母婴、居家、养老和医护服务4大重点培训项目，打造“韶关保姆”“丹霞月嫂”品牌。</w:t>
      </w:r>
    </w:p>
    <w:p w14:paraId="5101DAE2">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7"/>
        </w:rPr>
      </w:pPr>
      <w:r>
        <w:rPr>
          <w:color w:val="auto"/>
          <w:spacing w:val="-17"/>
          <w:highlight w:val="none"/>
        </w:rPr>
        <w:t>——劳动关系总体和谐稳定。劳动合同制度全面落实，和谐劳动关系体制机制不断健全，劳动人事争议多元处理工作体系更加</w:t>
      </w:r>
      <w:r>
        <w:rPr>
          <w:color w:val="auto"/>
          <w:spacing w:val="-17"/>
        </w:rPr>
        <w:t>完善，劳动人事争议调解仲裁、劳动监察执法效能不断提升。用工实名制、工资保证金、分账管理基本实现全覆盖，不敢欠不能欠不想欠的根治欠薪制度体系逐步健全，规范有序、公正合理、互利共赢、和谐稳定的新型劳动关系逐步形成。企业薪酬调查、人工成本监测和信息发布制度进一步完善，企业职工最低工资标准稳步提高。“十</w:t>
      </w:r>
      <w:r>
        <w:rPr>
          <w:rFonts w:hint="eastAsia"/>
          <w:color w:val="auto"/>
          <w:spacing w:val="-17"/>
          <w:lang w:eastAsia="zh-CN"/>
        </w:rPr>
        <w:t>三五</w:t>
      </w:r>
      <w:r>
        <w:rPr>
          <w:color w:val="auto"/>
          <w:spacing w:val="-17"/>
        </w:rPr>
        <w:t>”期末，</w:t>
      </w:r>
      <w:r>
        <w:rPr>
          <w:rFonts w:hint="eastAsia"/>
          <w:color w:val="auto"/>
          <w:spacing w:val="-17"/>
          <w:lang w:eastAsia="zh-CN"/>
        </w:rPr>
        <w:t>全区</w:t>
      </w:r>
      <w:r>
        <w:rPr>
          <w:color w:val="auto"/>
          <w:spacing w:val="-17"/>
        </w:rPr>
        <w:t>劳动合同签订率98.5</w:t>
      </w:r>
      <w:r>
        <w:rPr>
          <w:color w:val="auto"/>
          <w:spacing w:val="-17"/>
        </w:rPr>
        <w:drawing>
          <wp:inline distT="0" distB="0" distL="0" distR="0">
            <wp:extent cx="85090" cy="154940"/>
            <wp:effectExtent l="0" t="0" r="10160" b="1651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png"/>
                    <pic:cNvPicPr>
                      <a:picLocks noChangeAspect="1"/>
                    </pic:cNvPicPr>
                  </pic:nvPicPr>
                  <pic:blipFill>
                    <a:blip r:embed="rId15" cstate="print"/>
                    <a:stretch>
                      <a:fillRect/>
                    </a:stretch>
                  </pic:blipFill>
                  <pic:spPr>
                    <a:xfrm>
                      <a:off x="0" y="0"/>
                      <a:ext cx="85724" cy="155574"/>
                    </a:xfrm>
                    <a:prstGeom prst="rect">
                      <a:avLst/>
                    </a:prstGeom>
                  </pic:spPr>
                </pic:pic>
              </a:graphicData>
            </a:graphic>
          </wp:inline>
        </w:drawing>
      </w:r>
      <w:r>
        <w:rPr>
          <w:color w:val="auto"/>
          <w:spacing w:val="-17"/>
        </w:rPr>
        <w:t>，劳动人事争议仲裁结案率保持</w:t>
      </w:r>
      <w:r>
        <w:rPr>
          <w:rFonts w:hint="eastAsia"/>
          <w:color w:val="auto"/>
          <w:spacing w:val="-17"/>
          <w:lang w:val="en-US" w:eastAsia="zh-CN"/>
        </w:rPr>
        <w:t>95</w:t>
      </w:r>
      <w:r>
        <w:rPr>
          <w:color w:val="auto"/>
          <w:spacing w:val="-17"/>
        </w:rPr>
        <w:drawing>
          <wp:inline distT="0" distB="0" distL="0" distR="0">
            <wp:extent cx="85090" cy="154940"/>
            <wp:effectExtent l="0" t="0" r="10160" b="1651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png"/>
                    <pic:cNvPicPr>
                      <a:picLocks noChangeAspect="1"/>
                    </pic:cNvPicPr>
                  </pic:nvPicPr>
                  <pic:blipFill>
                    <a:blip r:embed="rId15" cstate="print"/>
                    <a:stretch>
                      <a:fillRect/>
                    </a:stretch>
                  </pic:blipFill>
                  <pic:spPr>
                    <a:xfrm>
                      <a:off x="0" y="0"/>
                      <a:ext cx="85724" cy="155574"/>
                    </a:xfrm>
                    <a:prstGeom prst="rect">
                      <a:avLst/>
                    </a:prstGeom>
                  </pic:spPr>
                </pic:pic>
              </a:graphicData>
            </a:graphic>
          </wp:inline>
        </w:drawing>
      </w:r>
      <w:r>
        <w:rPr>
          <w:color w:val="auto"/>
          <w:spacing w:val="-17"/>
        </w:rPr>
        <w:t>以上、劳动保障监察举报投诉案件结案率保持96</w:t>
      </w:r>
      <w:r>
        <w:rPr>
          <w:color w:val="auto"/>
          <w:spacing w:val="-17"/>
        </w:rPr>
        <w:drawing>
          <wp:inline distT="0" distB="0" distL="0" distR="0">
            <wp:extent cx="85090" cy="154940"/>
            <wp:effectExtent l="0" t="0" r="10160" b="1651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png"/>
                    <pic:cNvPicPr>
                      <a:picLocks noChangeAspect="1"/>
                    </pic:cNvPicPr>
                  </pic:nvPicPr>
                  <pic:blipFill>
                    <a:blip r:embed="rId15" cstate="print"/>
                    <a:stretch>
                      <a:fillRect/>
                    </a:stretch>
                  </pic:blipFill>
                  <pic:spPr>
                    <a:xfrm>
                      <a:off x="0" y="0"/>
                      <a:ext cx="85724" cy="155574"/>
                    </a:xfrm>
                    <a:prstGeom prst="rect">
                      <a:avLst/>
                    </a:prstGeom>
                  </pic:spPr>
                </pic:pic>
              </a:graphicData>
            </a:graphic>
          </wp:inline>
        </w:drawing>
      </w:r>
      <w:r>
        <w:rPr>
          <w:color w:val="auto"/>
          <w:spacing w:val="-17"/>
        </w:rPr>
        <w:t>以上。</w:t>
      </w:r>
    </w:p>
    <w:p w14:paraId="48E56F7F">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jc w:val="both"/>
        <w:textAlignment w:val="auto"/>
        <w:rPr>
          <w:color w:val="auto"/>
        </w:rPr>
      </w:pPr>
      <w:r>
        <w:rPr>
          <w:color w:val="auto"/>
          <w:spacing w:val="-17"/>
        </w:rPr>
        <w:t>——兜底保障能力不断增强。大力推进就业技能社保精准扶贫工作，就业扶贫分类帮扶、技能扶贫特色帮扶、社保扶贫兜底帮扶取得扎实成效。</w:t>
      </w:r>
      <w:r>
        <w:rPr>
          <w:color w:val="auto"/>
          <w:spacing w:val="-20"/>
        </w:rPr>
        <w:t>“十三五”期间，共为</w:t>
      </w:r>
      <w:r>
        <w:rPr>
          <w:rFonts w:hint="eastAsia"/>
          <w:strike w:val="0"/>
          <w:dstrike w:val="0"/>
          <w:color w:val="auto"/>
          <w:spacing w:val="-15"/>
          <w:lang w:val="en-US" w:eastAsia="zh-CN"/>
        </w:rPr>
        <w:t>全区543</w:t>
      </w:r>
      <w:r>
        <w:rPr>
          <w:color w:val="auto"/>
          <w:spacing w:val="-15"/>
        </w:rPr>
        <w:t>名建档立</w:t>
      </w:r>
      <w:r>
        <w:rPr>
          <w:color w:val="auto"/>
          <w:spacing w:val="-12"/>
        </w:rPr>
        <w:t>卡贫困劳动力提供就业帮扶服务，组织贫困劳动力培训</w:t>
      </w:r>
      <w:r>
        <w:rPr>
          <w:color w:val="auto"/>
        </w:rPr>
        <w:t>9.2</w:t>
      </w:r>
      <w:r>
        <w:rPr>
          <w:color w:val="auto"/>
          <w:spacing w:val="-29"/>
        </w:rPr>
        <w:t>万人</w:t>
      </w:r>
      <w:r>
        <w:rPr>
          <w:color w:val="auto"/>
        </w:rPr>
        <w:t>次，累计创建</w:t>
      </w:r>
      <w:r>
        <w:rPr>
          <w:rFonts w:hint="eastAsia"/>
          <w:strike w:val="0"/>
          <w:dstrike w:val="0"/>
          <w:color w:val="auto"/>
          <w:lang w:val="en-US" w:eastAsia="zh-CN"/>
        </w:rPr>
        <w:t>7</w:t>
      </w:r>
      <w:r>
        <w:rPr>
          <w:color w:val="auto"/>
        </w:rPr>
        <w:t>个就业扶贫安置点吸纳</w:t>
      </w:r>
      <w:r>
        <w:rPr>
          <w:rFonts w:hint="eastAsia"/>
          <w:strike w:val="0"/>
          <w:dstrike w:val="0"/>
          <w:color w:val="auto"/>
          <w:lang w:val="en-US" w:eastAsia="zh-CN"/>
        </w:rPr>
        <w:t>136</w:t>
      </w:r>
      <w:r>
        <w:rPr>
          <w:color w:val="auto"/>
        </w:rPr>
        <w:t>名贫困劳动力就业，</w:t>
      </w:r>
      <w:r>
        <w:rPr>
          <w:color w:val="auto"/>
          <w:spacing w:val="-15"/>
        </w:rPr>
        <w:t>累计开发</w:t>
      </w:r>
      <w:r>
        <w:rPr>
          <w:rFonts w:hint="eastAsia"/>
          <w:strike w:val="0"/>
          <w:dstrike w:val="0"/>
          <w:color w:val="auto"/>
          <w:spacing w:val="-17"/>
          <w:lang w:val="en-US" w:eastAsia="zh-CN"/>
        </w:rPr>
        <w:t>39</w:t>
      </w:r>
      <w:r>
        <w:rPr>
          <w:color w:val="auto"/>
          <w:spacing w:val="-17"/>
        </w:rPr>
        <w:t>个公益性岗位安置</w:t>
      </w:r>
      <w:r>
        <w:rPr>
          <w:rFonts w:hint="eastAsia"/>
          <w:color w:val="auto"/>
          <w:spacing w:val="-9"/>
          <w:lang w:val="en-US" w:eastAsia="zh-CN"/>
        </w:rPr>
        <w:t>62</w:t>
      </w:r>
      <w:r>
        <w:rPr>
          <w:color w:val="auto"/>
          <w:spacing w:val="-9"/>
        </w:rPr>
        <w:t>人次贫困劳动力就业，推</w:t>
      </w:r>
      <w:r>
        <w:rPr>
          <w:color w:val="auto"/>
          <w:spacing w:val="19"/>
        </w:rPr>
        <w:t>动就读技工院校贫困家庭学生生活费补</w:t>
      </w:r>
      <w:r>
        <w:rPr>
          <w:color w:val="auto"/>
        </w:rPr>
        <w:t>助</w:t>
      </w:r>
      <w:r>
        <w:rPr>
          <w:color w:val="auto"/>
          <w:spacing w:val="3"/>
        </w:rPr>
        <w:t>100</w:t>
      </w:r>
      <w:r>
        <w:rPr>
          <w:color w:val="auto"/>
          <w:spacing w:val="8"/>
          <w:w w:val="99"/>
        </w:rPr>
        <w:drawing>
          <wp:inline distT="0" distB="0" distL="0" distR="0">
            <wp:extent cx="85090" cy="154940"/>
            <wp:effectExtent l="0" t="0" r="10160" b="1651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4.png"/>
                    <pic:cNvPicPr>
                      <a:picLocks noChangeAspect="1"/>
                    </pic:cNvPicPr>
                  </pic:nvPicPr>
                  <pic:blipFill>
                    <a:blip r:embed="rId15" cstate="print"/>
                    <a:stretch>
                      <a:fillRect/>
                    </a:stretch>
                  </pic:blipFill>
                  <pic:spPr>
                    <a:xfrm>
                      <a:off x="0" y="0"/>
                      <a:ext cx="85724" cy="155574"/>
                    </a:xfrm>
                    <a:prstGeom prst="rect">
                      <a:avLst/>
                    </a:prstGeom>
                  </pic:spPr>
                </pic:pic>
              </a:graphicData>
            </a:graphic>
          </wp:inline>
        </w:drawing>
      </w:r>
      <w:r>
        <w:rPr>
          <w:color w:val="auto"/>
          <w:spacing w:val="19"/>
          <w:w w:val="95"/>
        </w:rPr>
        <w:t>发放到位</w:t>
      </w:r>
      <w:r>
        <w:rPr>
          <w:rFonts w:hint="eastAsia"/>
          <w:color w:val="auto"/>
          <w:spacing w:val="19"/>
          <w:w w:val="95"/>
          <w:lang w:eastAsia="zh-CN"/>
        </w:rPr>
        <w:t>。为</w:t>
      </w:r>
      <w:r>
        <w:rPr>
          <w:color w:val="auto"/>
          <w:spacing w:val="-12"/>
        </w:rPr>
        <w:t>符合条件的建档立卡贫困人员</w:t>
      </w:r>
      <w:r>
        <w:rPr>
          <w:rFonts w:hint="eastAsia"/>
          <w:color w:val="auto"/>
          <w:spacing w:val="-12"/>
          <w:lang w:val="en-US" w:eastAsia="zh-CN"/>
        </w:rPr>
        <w:t>100%</w:t>
      </w:r>
      <w:r>
        <w:rPr>
          <w:color w:val="auto"/>
          <w:spacing w:val="-12"/>
        </w:rPr>
        <w:t>由政府全额资助代缴城乡居民养老保险费。</w:t>
      </w:r>
    </w:p>
    <w:p w14:paraId="7FD8DD73">
      <w:pPr>
        <w:pStyle w:val="6"/>
        <w:keepNext w:val="0"/>
        <w:keepLines w:val="0"/>
        <w:pageBreakBefore w:val="0"/>
        <w:widowControl w:val="0"/>
        <w:tabs>
          <w:tab w:val="left" w:pos="1281"/>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bookmarkStart w:id="4" w:name="_Toc15603"/>
      <w:r>
        <w:rPr>
          <w:rFonts w:hint="eastAsia" w:ascii="楷体_GB2312" w:hAnsi="楷体_GB2312" w:eastAsia="楷体_GB2312" w:cs="楷体_GB2312"/>
          <w:color w:val="auto"/>
        </w:rPr>
        <w:t>第二节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发展形势</w:t>
      </w:r>
      <w:bookmarkEnd w:id="4"/>
    </w:p>
    <w:p w14:paraId="27E5ABE3">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rPr>
        <w:t>“十四五”时期，韶关市</w:t>
      </w:r>
      <w:r>
        <w:rPr>
          <w:rFonts w:hint="eastAsia"/>
          <w:color w:val="auto"/>
          <w:lang w:val="en-US" w:eastAsia="zh-CN"/>
        </w:rPr>
        <w:t>武江区</w:t>
      </w:r>
      <w:r>
        <w:rPr>
          <w:color w:val="auto"/>
        </w:rPr>
        <w:t>将在全面建成小康社会的基础上，开启全面建设社会主义现代化</w:t>
      </w:r>
      <w:r>
        <w:rPr>
          <w:rFonts w:hint="eastAsia"/>
          <w:color w:val="auto"/>
          <w:lang w:eastAsia="zh-CN"/>
        </w:rPr>
        <w:t>国家</w:t>
      </w:r>
      <w:r>
        <w:rPr>
          <w:color w:val="auto"/>
        </w:rPr>
        <w:t>新征程，人力资源社会保障事业发展环境也发生深刻变化，既面临世界百年未有之大变局的新机遇、新挑战，又面临新时期主要矛盾变化的新任务、新要求。</w:t>
      </w:r>
    </w:p>
    <w:p w14:paraId="739FC20F">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0"/>
        <w:jc w:val="both"/>
        <w:textAlignment w:val="auto"/>
        <w:outlineLvl w:val="9"/>
        <w:rPr>
          <w:rFonts w:hint="default" w:ascii="仿宋_GB2312" w:eastAsia="仿宋_GB2312"/>
          <w:b/>
          <w:bCs/>
          <w:color w:val="auto"/>
          <w:spacing w:val="-19"/>
        </w:rPr>
      </w:pPr>
      <w:bookmarkStart w:id="5" w:name="_Toc23419"/>
      <w:r>
        <w:rPr>
          <w:rFonts w:hint="default" w:ascii="仿宋_GB2312" w:eastAsia="仿宋_GB2312"/>
          <w:b/>
          <w:bCs/>
          <w:color w:val="auto"/>
          <w:spacing w:val="-19"/>
        </w:rPr>
        <w:t>（一）重要机遇</w:t>
      </w:r>
      <w:bookmarkEnd w:id="5"/>
    </w:p>
    <w:p w14:paraId="38319267">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11"/>
        </w:rPr>
        <w:t>——党中央、省委</w:t>
      </w:r>
      <w:r>
        <w:rPr>
          <w:rFonts w:hint="eastAsia"/>
          <w:color w:val="auto"/>
          <w:spacing w:val="-11"/>
          <w:lang w:eastAsia="zh-CN"/>
        </w:rPr>
        <w:t>、</w:t>
      </w:r>
      <w:r>
        <w:rPr>
          <w:color w:val="auto"/>
          <w:spacing w:val="-11"/>
        </w:rPr>
        <w:t>市委</w:t>
      </w:r>
      <w:r>
        <w:rPr>
          <w:rFonts w:hint="eastAsia"/>
          <w:color w:val="auto"/>
          <w:spacing w:val="-11"/>
          <w:lang w:val="en-US" w:eastAsia="zh-CN"/>
        </w:rPr>
        <w:t>和区委区政府</w:t>
      </w:r>
      <w:r>
        <w:rPr>
          <w:color w:val="auto"/>
          <w:spacing w:val="-11"/>
        </w:rPr>
        <w:t>的坚强领导，为事业发展创</w:t>
      </w:r>
      <w:r>
        <w:rPr>
          <w:color w:val="auto"/>
          <w:spacing w:val="-14"/>
        </w:rPr>
        <w:t>造了良好契机。中央高度重视民生保障和人才工作，从改革发展</w:t>
      </w:r>
      <w:r>
        <w:rPr>
          <w:color w:val="auto"/>
          <w:spacing w:val="-19"/>
        </w:rPr>
        <w:t>稳定大局和现代化建设战略安排出发高站位谋划部署，始终不渝</w:t>
      </w:r>
      <w:r>
        <w:rPr>
          <w:color w:val="auto"/>
          <w:spacing w:val="-21"/>
        </w:rPr>
        <w:t>把人民对美好生活的向往作为奋斗目标，坚持在发展中保障和改</w:t>
      </w:r>
      <w:r>
        <w:rPr>
          <w:color w:val="auto"/>
          <w:spacing w:val="-15"/>
        </w:rPr>
        <w:t>善民生，深入实施人才强国战略、创新驱动发展战略，把就业作</w:t>
      </w:r>
      <w:r>
        <w:rPr>
          <w:color w:val="auto"/>
          <w:spacing w:val="-17"/>
        </w:rPr>
        <w:t>为“六稳”“六保”之首，将人才作为“第一资源”，作出“十</w:t>
      </w:r>
      <w:r>
        <w:rPr>
          <w:color w:val="auto"/>
          <w:spacing w:val="-20"/>
        </w:rPr>
        <w:t>四五”时期的战略部署和</w:t>
      </w:r>
      <w:r>
        <w:rPr>
          <w:color w:val="auto"/>
        </w:rPr>
        <w:t>2035</w:t>
      </w:r>
      <w:r>
        <w:rPr>
          <w:color w:val="auto"/>
          <w:spacing w:val="-9"/>
        </w:rPr>
        <w:t>年的远景展望，赋予了人力资源</w:t>
      </w:r>
      <w:r>
        <w:rPr>
          <w:color w:val="auto"/>
          <w:spacing w:val="-16"/>
        </w:rPr>
        <w:t>社会保障工作新的时代内涵、使命任务。</w:t>
      </w:r>
      <w:r>
        <w:rPr>
          <w:rFonts w:hint="eastAsia"/>
          <w:color w:val="auto"/>
          <w:spacing w:val="-16"/>
          <w:lang w:eastAsia="zh-CN"/>
        </w:rPr>
        <w:t>区</w:t>
      </w:r>
      <w:r>
        <w:rPr>
          <w:color w:val="auto"/>
          <w:spacing w:val="-16"/>
        </w:rPr>
        <w:t>委始终践行以人民为</w:t>
      </w:r>
      <w:r>
        <w:rPr>
          <w:color w:val="auto"/>
          <w:spacing w:val="-6"/>
        </w:rPr>
        <w:t>中心的发展思想，将民生保障和人才工作深度融入“</w:t>
      </w:r>
      <w:r>
        <w:rPr>
          <w:color w:val="auto"/>
        </w:rPr>
        <w:t>1+1+9”部</w:t>
      </w:r>
      <w:r>
        <w:rPr>
          <w:color w:val="auto"/>
          <w:spacing w:val="-11"/>
        </w:rPr>
        <w:t>署中，用心用情用力保障改善民生。</w:t>
      </w:r>
    </w:p>
    <w:p w14:paraId="5A203AAF">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color w:val="auto"/>
        </w:rPr>
      </w:pPr>
      <w:r>
        <w:rPr>
          <w:color w:val="auto"/>
        </w:rPr>
        <w:t>——经济发展质量效益持续提升，为事业发展孕育新的潜</w:t>
      </w:r>
      <w:r>
        <w:rPr>
          <w:color w:val="auto"/>
          <w:spacing w:val="-12"/>
        </w:rPr>
        <w:t>力。“十三五”时期，</w:t>
      </w:r>
      <w:r>
        <w:rPr>
          <w:rFonts w:hint="eastAsia"/>
          <w:color w:val="auto"/>
          <w:spacing w:val="-12"/>
          <w:lang w:eastAsia="zh-CN"/>
        </w:rPr>
        <w:t>我区</w:t>
      </w:r>
      <w:r>
        <w:rPr>
          <w:color w:val="auto"/>
          <w:spacing w:val="-12"/>
        </w:rPr>
        <w:t>经济社会保持平稳增长，为就业资金</w:t>
      </w:r>
      <w:r>
        <w:rPr>
          <w:color w:val="auto"/>
          <w:spacing w:val="-15"/>
        </w:rPr>
        <w:t>稳定投入、社保待遇稳步提高、收入分配改革、基础能力建设等</w:t>
      </w:r>
      <w:r>
        <w:rPr>
          <w:color w:val="auto"/>
          <w:spacing w:val="-17"/>
        </w:rPr>
        <w:t>奠定坚实物质基础。总的来看，正转向工业信息化、新型城镇化的高质量发展阶段，产业转型升级、新动能加速发展，经济预期长期向好，对人力资源社会保障事业发展的保障将更加有力。</w:t>
      </w:r>
    </w:p>
    <w:p w14:paraId="106B7F27">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9"/>
        </w:rPr>
        <w:t>——全面深化改革纵深推进，为事业发展提供内生发展动</w:t>
      </w:r>
      <w:r>
        <w:rPr>
          <w:color w:val="auto"/>
          <w:spacing w:val="-13"/>
        </w:rPr>
        <w:t>力。党的十八届三中全会以来，人力资源社会保障领域改革全面铺开，特别是</w:t>
      </w:r>
      <w:r>
        <w:rPr>
          <w:rFonts w:hint="eastAsia"/>
          <w:color w:val="auto"/>
          <w:spacing w:val="-13"/>
          <w:lang w:eastAsia="zh-CN"/>
        </w:rPr>
        <w:t>区</w:t>
      </w:r>
      <w:r>
        <w:rPr>
          <w:color w:val="auto"/>
          <w:spacing w:val="-13"/>
        </w:rPr>
        <w:t>委</w:t>
      </w:r>
      <w:r>
        <w:rPr>
          <w:rFonts w:hint="eastAsia"/>
          <w:color w:val="auto"/>
          <w:spacing w:val="-13"/>
          <w:lang w:eastAsia="zh-CN"/>
        </w:rPr>
        <w:t>区</w:t>
      </w:r>
      <w:r>
        <w:rPr>
          <w:color w:val="auto"/>
          <w:spacing w:val="-13"/>
        </w:rPr>
        <w:t>政府推进全面深化改革工作，</w:t>
      </w:r>
      <w:r>
        <w:rPr>
          <w:color w:val="auto"/>
          <w:spacing w:val="-16"/>
        </w:rPr>
        <w:t>有序推进规</w:t>
      </w:r>
      <w:r>
        <w:rPr>
          <w:color w:val="auto"/>
          <w:spacing w:val="-13"/>
        </w:rPr>
        <w:t>则衔接、机制对接，更充分更高质量就业体制机制加快建立，社</w:t>
      </w:r>
      <w:r>
        <w:rPr>
          <w:color w:val="auto"/>
          <w:spacing w:val="-17"/>
        </w:rPr>
        <w:t>会保险统筹层次不断提升，高层次和高技能人才发展体制机制改</w:t>
      </w:r>
      <w:r>
        <w:rPr>
          <w:color w:val="auto"/>
          <w:spacing w:val="-15"/>
          <w:w w:val="95"/>
        </w:rPr>
        <w:t>革进一步深化，新型和谐劳动关系逐步形成，重点改革和“小切</w:t>
      </w:r>
      <w:r>
        <w:rPr>
          <w:color w:val="auto"/>
          <w:spacing w:val="-13"/>
        </w:rPr>
        <w:t>口”民生改革齐头并进，有效释放了制度红利，增添事业发展的新活力。</w:t>
      </w:r>
    </w:p>
    <w:p w14:paraId="08BC947F">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0"/>
        <w:jc w:val="both"/>
        <w:textAlignment w:val="auto"/>
        <w:outlineLvl w:val="9"/>
        <w:rPr>
          <w:rFonts w:hint="default" w:ascii="仿宋_GB2312" w:eastAsia="仿宋_GB2312"/>
          <w:b/>
          <w:bCs/>
          <w:color w:val="auto"/>
          <w:spacing w:val="-19"/>
        </w:rPr>
      </w:pPr>
      <w:bookmarkStart w:id="6" w:name="_Toc19574"/>
      <w:r>
        <w:rPr>
          <w:rFonts w:hint="default" w:ascii="仿宋_GB2312" w:eastAsia="仿宋_GB2312"/>
          <w:b/>
          <w:bCs/>
          <w:color w:val="auto"/>
          <w:spacing w:val="-19"/>
        </w:rPr>
        <w:t>（二）主要挑战</w:t>
      </w:r>
      <w:bookmarkEnd w:id="6"/>
    </w:p>
    <w:p w14:paraId="3EDDED46">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8"/>
        </w:rPr>
        <w:t>——</w:t>
      </w:r>
      <w:r>
        <w:rPr>
          <w:rFonts w:hint="eastAsia"/>
          <w:color w:val="auto"/>
          <w:spacing w:val="-8"/>
          <w:lang w:eastAsia="zh-CN"/>
        </w:rPr>
        <w:t>受新冠疫情影响</w:t>
      </w:r>
      <w:r>
        <w:rPr>
          <w:color w:val="auto"/>
          <w:spacing w:val="-20"/>
        </w:rPr>
        <w:t>，</w:t>
      </w:r>
      <w:r>
        <w:rPr>
          <w:rFonts w:hint="eastAsia"/>
          <w:color w:val="auto"/>
          <w:spacing w:val="-20"/>
          <w:lang w:eastAsia="zh-CN"/>
        </w:rPr>
        <w:t>经济下行压力较大，</w:t>
      </w:r>
      <w:r>
        <w:rPr>
          <w:color w:val="auto"/>
          <w:spacing w:val="-20"/>
        </w:rPr>
        <w:t>我</w:t>
      </w:r>
      <w:r>
        <w:rPr>
          <w:rFonts w:hint="eastAsia"/>
          <w:color w:val="auto"/>
          <w:spacing w:val="-20"/>
          <w:lang w:eastAsia="zh-CN"/>
        </w:rPr>
        <w:t>区</w:t>
      </w:r>
      <w:r>
        <w:rPr>
          <w:color w:val="auto"/>
          <w:spacing w:val="-20"/>
        </w:rPr>
        <w:t>整体就业压力</w:t>
      </w:r>
      <w:r>
        <w:rPr>
          <w:color w:val="auto"/>
          <w:spacing w:val="-15"/>
        </w:rPr>
        <w:t>将更加严峻，社保扩面征缴空间压缩，人才、资金、数据的自由</w:t>
      </w:r>
      <w:r>
        <w:rPr>
          <w:color w:val="auto"/>
          <w:spacing w:val="-17"/>
        </w:rPr>
        <w:t>流动也将面临许多障碍。人力资源社会保障事业发展亟需适应新</w:t>
      </w:r>
      <w:r>
        <w:rPr>
          <w:color w:val="auto"/>
          <w:spacing w:val="-15"/>
        </w:rPr>
        <w:t>形势新变化，在培育新的就业增长点、提高人才队伍层次、补齐</w:t>
      </w:r>
      <w:r>
        <w:rPr>
          <w:color w:val="auto"/>
        </w:rPr>
        <w:t>民生福祉短板等方面创造条件抢抓机遇，创造新一轮发展优势。</w:t>
      </w:r>
    </w:p>
    <w:p w14:paraId="57D7BAB0">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9"/>
        </w:rPr>
        <w:t>——社会结构变动和转型加速，自身治理能力提升需求更加</w:t>
      </w:r>
      <w:r>
        <w:rPr>
          <w:color w:val="auto"/>
          <w:spacing w:val="-12"/>
        </w:rPr>
        <w:t>迫切。</w:t>
      </w:r>
      <w:r>
        <w:rPr>
          <w:rFonts w:hint="eastAsia"/>
          <w:color w:val="auto"/>
          <w:spacing w:val="-12"/>
          <w:lang w:eastAsia="zh-CN"/>
        </w:rPr>
        <w:t>我区</w:t>
      </w:r>
      <w:r>
        <w:rPr>
          <w:color w:val="auto"/>
          <w:spacing w:val="-12"/>
        </w:rPr>
        <w:t>人力资源社会保障事业发展质量不高、结构不优、城</w:t>
      </w:r>
      <w:r>
        <w:rPr>
          <w:color w:val="auto"/>
          <w:spacing w:val="-17"/>
        </w:rPr>
        <w:t>乡区域发展不平衡等问题仍然存在，人社领域制度和治理体系尚</w:t>
      </w:r>
      <w:r>
        <w:rPr>
          <w:color w:val="auto"/>
          <w:spacing w:val="-14"/>
        </w:rPr>
        <w:t>不够完善，就业结构性矛盾依然是就业领域的主要矛盾，人才培</w:t>
      </w:r>
      <w:r>
        <w:rPr>
          <w:color w:val="auto"/>
          <w:spacing w:val="-12"/>
        </w:rPr>
        <w:t>养、使用、评价、激励机制有待进一步优化，社保制度的公平性依然不足、可持续性面临重大挑战，劳资纠纷风险依然较突出，</w:t>
      </w:r>
      <w:r>
        <w:rPr>
          <w:color w:val="auto"/>
          <w:spacing w:val="-18"/>
        </w:rPr>
        <w:t>公共服务需求与供给不足的矛盾愈加突出，与人民群众日益增长</w:t>
      </w:r>
      <w:r>
        <w:rPr>
          <w:color w:val="auto"/>
          <w:spacing w:val="-19"/>
        </w:rPr>
        <w:t>的美好生活需要还有较大差距，需要进一步深化改革，形成更高</w:t>
      </w:r>
      <w:r>
        <w:rPr>
          <w:color w:val="auto"/>
          <w:spacing w:val="-17"/>
        </w:rPr>
        <w:t>质量人社制度供给，稳步推进社会民生治理体系和治理能力现代化。</w:t>
      </w:r>
    </w:p>
    <w:p w14:paraId="31A9FF51">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3"/>
        </w:rPr>
      </w:pPr>
      <w:r>
        <w:rPr>
          <w:color w:val="auto"/>
        </w:rPr>
        <w:t>综合研判，尽管外部环境和自身条件都发生明显深刻变化，</w:t>
      </w:r>
      <w:r>
        <w:rPr>
          <w:color w:val="auto"/>
          <w:spacing w:val="-8"/>
        </w:rPr>
        <w:t>但事业发展的基础依然坚实，应对风险挑战能力显著提升，机遇</w:t>
      </w:r>
      <w:r>
        <w:rPr>
          <w:color w:val="auto"/>
          <w:spacing w:val="-15"/>
        </w:rPr>
        <w:t>与挑战并存但机遇大于挑战，特别是在习近平新时代中国特色社</w:t>
      </w:r>
      <w:r>
        <w:rPr>
          <w:color w:val="auto"/>
          <w:spacing w:val="-17"/>
        </w:rPr>
        <w:t>会主义思想的科学指引下，在中央、省委</w:t>
      </w:r>
      <w:r>
        <w:rPr>
          <w:rFonts w:hint="eastAsia"/>
          <w:color w:val="auto"/>
          <w:spacing w:val="-17"/>
          <w:lang w:eastAsia="zh-CN"/>
        </w:rPr>
        <w:t>、</w:t>
      </w:r>
      <w:r>
        <w:rPr>
          <w:color w:val="auto"/>
          <w:spacing w:val="-17"/>
        </w:rPr>
        <w:t>市委</w:t>
      </w:r>
      <w:r>
        <w:rPr>
          <w:rFonts w:hint="eastAsia"/>
          <w:color w:val="auto"/>
          <w:spacing w:val="-17"/>
          <w:lang w:val="en-US" w:eastAsia="zh-CN"/>
        </w:rPr>
        <w:t>和区委区政府</w:t>
      </w:r>
      <w:r>
        <w:rPr>
          <w:color w:val="auto"/>
          <w:spacing w:val="-17"/>
        </w:rPr>
        <w:t>的坚强领</w:t>
      </w:r>
      <w:r>
        <w:rPr>
          <w:color w:val="auto"/>
          <w:spacing w:val="-13"/>
        </w:rPr>
        <w:t>导下，</w:t>
      </w:r>
      <w:r>
        <w:rPr>
          <w:rFonts w:hint="eastAsia"/>
          <w:color w:val="auto"/>
          <w:spacing w:val="-13"/>
          <w:lang w:eastAsia="zh-CN"/>
        </w:rPr>
        <w:t>全区</w:t>
      </w:r>
      <w:r>
        <w:rPr>
          <w:color w:val="auto"/>
          <w:spacing w:val="-13"/>
        </w:rPr>
        <w:t>人力资源社会保障系统坚定战胜困难挑战信心，准确识变、科学应变、主动求变，必将在新征程中应变局、开新局。</w:t>
      </w:r>
    </w:p>
    <w:p w14:paraId="32323D10">
      <w:pPr>
        <w:pStyle w:val="4"/>
        <w:keepNext w:val="0"/>
        <w:keepLines w:val="0"/>
        <w:pageBreakBefore w:val="0"/>
        <w:widowControl w:val="0"/>
        <w:tabs>
          <w:tab w:val="left" w:pos="1439"/>
        </w:tabs>
        <w:kinsoku/>
        <w:wordWrap/>
        <w:overflowPunct/>
        <w:topLinePunct w:val="0"/>
        <w:autoSpaceDE w:val="0"/>
        <w:autoSpaceDN w:val="0"/>
        <w:bidi w:val="0"/>
        <w:adjustRightInd/>
        <w:snapToGrid/>
        <w:spacing w:before="0" w:line="560" w:lineRule="exact"/>
        <w:ind w:left="0" w:leftChars="0" w:right="0"/>
        <w:jc w:val="center"/>
        <w:textAlignment w:val="auto"/>
        <w:outlineLvl w:val="0"/>
        <w:rPr>
          <w:rFonts w:hint="eastAsia" w:ascii="黑体" w:hAnsi="黑体" w:eastAsia="黑体" w:cs="黑体"/>
          <w:color w:val="auto"/>
        </w:rPr>
      </w:pPr>
      <w:bookmarkStart w:id="7" w:name="_Toc8826"/>
      <w:r>
        <w:rPr>
          <w:rFonts w:hint="eastAsia" w:ascii="黑体" w:hAnsi="黑体" w:eastAsia="黑体" w:cs="黑体"/>
          <w:color w:val="auto"/>
        </w:rPr>
        <w:t>第二章</w:t>
      </w:r>
      <w:r>
        <w:rPr>
          <w:rFonts w:hint="eastAsia" w:ascii="黑体" w:hAnsi="黑体" w:eastAsia="黑体" w:cs="黑体"/>
          <w:color w:val="auto"/>
          <w:lang w:val="en-US" w:eastAsia="zh-CN"/>
        </w:rPr>
        <w:t xml:space="preserve">  </w:t>
      </w:r>
      <w:r>
        <w:rPr>
          <w:rFonts w:hint="eastAsia" w:ascii="黑体" w:hAnsi="黑体" w:eastAsia="黑体" w:cs="黑体"/>
          <w:color w:val="auto"/>
        </w:rPr>
        <w:t>总体要求</w:t>
      </w:r>
      <w:bookmarkEnd w:id="7"/>
    </w:p>
    <w:p w14:paraId="2C0BD066">
      <w:pPr>
        <w:pStyle w:val="4"/>
        <w:keepNext w:val="0"/>
        <w:keepLines w:val="0"/>
        <w:pageBreakBefore w:val="0"/>
        <w:widowControl w:val="0"/>
        <w:tabs>
          <w:tab w:val="left" w:pos="143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黑体" w:hAnsi="黑体" w:eastAsia="黑体" w:cs="黑体"/>
          <w:color w:val="auto"/>
          <w:sz w:val="32"/>
          <w:szCs w:val="32"/>
        </w:rPr>
      </w:pPr>
      <w:bookmarkStart w:id="8" w:name="_Toc14722"/>
      <w:r>
        <w:rPr>
          <w:rFonts w:hint="eastAsia" w:ascii="楷体_GB2312" w:hAnsi="楷体_GB2312" w:eastAsia="楷体_GB2312" w:cs="楷体_GB2312"/>
          <w:color w:val="auto"/>
          <w:sz w:val="32"/>
          <w:szCs w:val="32"/>
        </w:rPr>
        <w:t>第一节</w:t>
      </w:r>
      <w:r>
        <w:rPr>
          <w:rFonts w:hint="eastAsia" w:ascii="楷体_GB2312" w:hAnsi="楷体_GB2312" w:eastAsia="楷体_GB2312" w:cs="楷体_GB2312"/>
          <w:color w:val="auto"/>
          <w:sz w:val="32"/>
          <w:szCs w:val="32"/>
          <w:lang w:val="zh-CN" w:eastAsia="zh-CN"/>
        </w:rPr>
        <w:t xml:space="preserve">  </w:t>
      </w:r>
      <w:r>
        <w:rPr>
          <w:rFonts w:hint="eastAsia" w:ascii="楷体_GB2312" w:hAnsi="楷体_GB2312" w:eastAsia="楷体_GB2312" w:cs="楷体_GB2312"/>
          <w:color w:val="auto"/>
          <w:sz w:val="32"/>
          <w:szCs w:val="32"/>
        </w:rPr>
        <w:t>指导思想</w:t>
      </w:r>
      <w:bookmarkEnd w:id="8"/>
    </w:p>
    <w:p w14:paraId="1594A8D7">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6"/>
        </w:rPr>
        <w:t>以习近平新时代中国特色社会主义思想为指导，全面贯彻党</w:t>
      </w:r>
      <w:r>
        <w:rPr>
          <w:color w:val="auto"/>
          <w:spacing w:val="-14"/>
        </w:rPr>
        <w:t>的</w:t>
      </w:r>
      <w:r>
        <w:rPr>
          <w:rFonts w:hint="eastAsia"/>
          <w:color w:val="auto"/>
          <w:spacing w:val="-14"/>
          <w:lang w:val="en-US" w:eastAsia="zh-CN"/>
        </w:rPr>
        <w:t>二十大</w:t>
      </w:r>
      <w:r>
        <w:rPr>
          <w:color w:val="auto"/>
          <w:spacing w:val="-14"/>
        </w:rPr>
        <w:t>精神，深入贯彻习近平总书记对广东</w:t>
      </w:r>
      <w:r>
        <w:rPr>
          <w:color w:val="auto"/>
          <w:spacing w:val="-18"/>
        </w:rPr>
        <w:t>重要讲话和重要指示批示精神，立足新发展阶段，完整准确全面</w:t>
      </w:r>
      <w:r>
        <w:rPr>
          <w:color w:val="auto"/>
          <w:spacing w:val="-16"/>
        </w:rPr>
        <w:t>贯彻新发展理念，构建新发展格局。坚持以人民为中心的发展思</w:t>
      </w:r>
      <w:r>
        <w:rPr>
          <w:color w:val="auto"/>
          <w:spacing w:val="-13"/>
        </w:rPr>
        <w:t>想，坚持稳中求进工作总基调，以推动高质量发展为主题，以深</w:t>
      </w:r>
      <w:r>
        <w:rPr>
          <w:color w:val="auto"/>
          <w:spacing w:val="-17"/>
        </w:rPr>
        <w:t>化供给侧结构性改革为主线，以改革创新为根本动力，以满足人</w:t>
      </w:r>
      <w:r>
        <w:rPr>
          <w:color w:val="auto"/>
          <w:spacing w:val="-20"/>
        </w:rPr>
        <w:t>民日益增长的美好生活需要为根本目的，以生态为特色优势高质</w:t>
      </w:r>
      <w:r>
        <w:rPr>
          <w:color w:val="auto"/>
          <w:spacing w:val="-18"/>
        </w:rPr>
        <w:t>量融入“双区”建设，以人才为第一资源、民生为第一追求，统</w:t>
      </w:r>
      <w:r>
        <w:rPr>
          <w:color w:val="auto"/>
          <w:spacing w:val="-17"/>
        </w:rPr>
        <w:t>筹发展和安全，抓重点、补短板、强弱项、防风险、稳预期、促</w:t>
      </w:r>
      <w:r>
        <w:rPr>
          <w:color w:val="auto"/>
          <w:spacing w:val="-11"/>
        </w:rPr>
        <w:t>提升，着力促进就业创业，深化社保制度改革，加强人事人才工</w:t>
      </w:r>
      <w:r>
        <w:rPr>
          <w:color w:val="auto"/>
          <w:spacing w:val="-13"/>
        </w:rPr>
        <w:t>作，构建和谐劳动关系，提升公共服务能力，推进</w:t>
      </w:r>
      <w:r>
        <w:rPr>
          <w:rFonts w:hint="eastAsia"/>
          <w:color w:val="auto"/>
          <w:spacing w:val="-13"/>
          <w:lang w:eastAsia="zh-CN"/>
        </w:rPr>
        <w:t>全区</w:t>
      </w:r>
      <w:r>
        <w:rPr>
          <w:color w:val="auto"/>
          <w:spacing w:val="-13"/>
        </w:rPr>
        <w:t>人力资源</w:t>
      </w:r>
      <w:r>
        <w:rPr>
          <w:color w:val="auto"/>
          <w:spacing w:val="-16"/>
        </w:rPr>
        <w:t>社会保障事业高质量发展，</w:t>
      </w:r>
      <w:r>
        <w:rPr>
          <w:rFonts w:hint="eastAsia"/>
          <w:color w:val="auto"/>
          <w:spacing w:val="-15"/>
          <w:lang w:eastAsia="zh-CN"/>
        </w:rPr>
        <w:t>为</w:t>
      </w:r>
      <w:r>
        <w:rPr>
          <w:rFonts w:hint="eastAsia"/>
          <w:color w:val="auto"/>
          <w:spacing w:val="-15"/>
          <w:lang w:val="en-US" w:eastAsia="zh-CN"/>
        </w:rPr>
        <w:t>武江区加快建设韶关“双化双融”先行示范区和高质量发展率先突破区</w:t>
      </w:r>
      <w:r>
        <w:rPr>
          <w:color w:val="auto"/>
          <w:spacing w:val="-15"/>
        </w:rPr>
        <w:t>提供人才支撑和民生保障。</w:t>
      </w:r>
    </w:p>
    <w:p w14:paraId="7EB9DA95">
      <w:pPr>
        <w:pStyle w:val="6"/>
        <w:keepNext w:val="0"/>
        <w:keepLines w:val="0"/>
        <w:pageBreakBefore w:val="0"/>
        <w:widowControl w:val="0"/>
        <w:tabs>
          <w:tab w:val="left" w:pos="1770"/>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bookmarkStart w:id="9" w:name="_Toc11616"/>
      <w:r>
        <w:rPr>
          <w:rFonts w:hint="eastAsia" w:ascii="楷体_GB2312" w:hAnsi="楷体_GB2312" w:eastAsia="楷体_GB2312" w:cs="楷体_GB2312"/>
          <w:color w:val="auto"/>
        </w:rPr>
        <w:t>第二节</w:t>
      </w:r>
      <w:r>
        <w:rPr>
          <w:rFonts w:hint="eastAsia" w:ascii="楷体_GB2312" w:hAnsi="楷体_GB2312" w:eastAsia="楷体_GB2312" w:cs="楷体_GB2312"/>
          <w:color w:val="auto"/>
          <w:lang w:val="zh-CN" w:eastAsia="zh-CN"/>
        </w:rPr>
        <w:t xml:space="preserve">  </w:t>
      </w:r>
      <w:r>
        <w:rPr>
          <w:rFonts w:hint="eastAsia" w:ascii="楷体_GB2312" w:hAnsi="楷体_GB2312" w:eastAsia="楷体_GB2312" w:cs="楷体_GB2312"/>
          <w:color w:val="auto"/>
        </w:rPr>
        <w:t>基本原则</w:t>
      </w:r>
      <w:bookmarkEnd w:id="9"/>
    </w:p>
    <w:p w14:paraId="5BFD5827">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11"/>
        </w:rPr>
        <w:t>——坚持党的全面领导。坚决维护习近平总书记党中央的核</w:t>
      </w:r>
      <w:r>
        <w:rPr>
          <w:color w:val="auto"/>
          <w:spacing w:val="-12"/>
        </w:rPr>
        <w:t>心、全党的核心地位，维护党中央权威和集中统一领导，不断提</w:t>
      </w:r>
      <w:r>
        <w:rPr>
          <w:color w:val="auto"/>
          <w:spacing w:val="-15"/>
        </w:rPr>
        <w:t>高贯彻新发展理念、构建新发展格局的能力和水平，为人力资源社会保障事业高质量发展提供根本保证。</w:t>
      </w:r>
    </w:p>
    <w:p w14:paraId="21834DE3">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9"/>
        </w:rPr>
        <w:t>——坚持以人民为中心。坚持人民主体地位，坚持共同富裕方向，把人民对美好生活的向往作为奋斗目标，增进民生福祉，</w:t>
      </w:r>
      <w:r>
        <w:rPr>
          <w:color w:val="auto"/>
          <w:spacing w:val="-14"/>
        </w:rPr>
        <w:t>补齐民生短板，尽力而为、量力而行，促进改革发展成果更多更</w:t>
      </w:r>
      <w:r>
        <w:rPr>
          <w:color w:val="auto"/>
          <w:spacing w:val="-16"/>
        </w:rPr>
        <w:t>公平惠及全体人民，在高质量发展中促进共同富裕，不断增强人民群众的获得感、幸福感、安全感。</w:t>
      </w:r>
    </w:p>
    <w:p w14:paraId="7363C00D">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11"/>
        </w:rPr>
        <w:t>——坚持新发展理念。把新发展理念贯穿于人力资源社会保</w:t>
      </w:r>
      <w:r>
        <w:rPr>
          <w:color w:val="auto"/>
          <w:spacing w:val="-15"/>
        </w:rPr>
        <w:t>障事业发展全过程，在构建新发展格局中积极担当作为，强化人</w:t>
      </w:r>
      <w:r>
        <w:rPr>
          <w:color w:val="auto"/>
          <w:spacing w:val="-7"/>
          <w:w w:val="99"/>
        </w:rPr>
        <w:t>才和民生在高质量发展中的“前轮驱动”“后轮保障”功能，推</w:t>
      </w:r>
      <w:r>
        <w:rPr>
          <w:color w:val="auto"/>
          <w:spacing w:val="-13"/>
        </w:rPr>
        <w:t>动人力资源社会保障事业更高质量、更有效率、更加公平、更可持续、更为安全发展。</w:t>
      </w:r>
    </w:p>
    <w:p w14:paraId="19791D7F">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color w:val="auto"/>
        </w:rPr>
      </w:pPr>
      <w:r>
        <w:rPr>
          <w:color w:val="auto"/>
        </w:rPr>
        <w:t>——坚持系统观念。加强前瞻性思考、全局性谋划、战略性</w:t>
      </w:r>
      <w:r>
        <w:rPr>
          <w:color w:val="auto"/>
          <w:spacing w:val="-19"/>
          <w:w w:val="99"/>
        </w:rPr>
        <w:t>布局、整体性推进，坚持</w:t>
      </w:r>
      <w:r>
        <w:rPr>
          <w:rFonts w:hint="eastAsia"/>
          <w:color w:val="auto"/>
          <w:spacing w:val="-19"/>
          <w:w w:val="99"/>
          <w:lang w:eastAsia="zh-CN"/>
        </w:rPr>
        <w:t>全区</w:t>
      </w:r>
      <w:r>
        <w:rPr>
          <w:color w:val="auto"/>
          <w:spacing w:val="-19"/>
          <w:w w:val="99"/>
        </w:rPr>
        <w:t>“一盘棋”，着力固根基、扬优势、</w:t>
      </w:r>
      <w:r>
        <w:rPr>
          <w:color w:val="auto"/>
          <w:spacing w:val="-19"/>
        </w:rPr>
        <w:t>补短板、强弱项，注重防范化解重大风险挑战，实现发展质量、结构、规模、效益、安全相统一。</w:t>
      </w:r>
    </w:p>
    <w:p w14:paraId="570EE2C7">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10"/>
        </w:rPr>
        <w:t>——坚持依法行政。贯彻全面依法治国基本方略，深入推进</w:t>
      </w:r>
      <w:r>
        <w:rPr>
          <w:color w:val="auto"/>
          <w:spacing w:val="-13"/>
        </w:rPr>
        <w:t>依法行政，推动人力资源社会保障工作全面纳入法治轨道。合理调节各方面利益，促进社会公平公正、稳定和谐。</w:t>
      </w:r>
    </w:p>
    <w:p w14:paraId="22DEF973">
      <w:pPr>
        <w:pStyle w:val="6"/>
        <w:keepNext w:val="0"/>
        <w:keepLines w:val="0"/>
        <w:pageBreakBefore w:val="0"/>
        <w:widowControl w:val="0"/>
        <w:tabs>
          <w:tab w:val="left" w:pos="1281"/>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黑体" w:eastAsia="黑体"/>
          <w:color w:val="auto"/>
        </w:rPr>
        <w:sectPr>
          <w:footerReference r:id="rId10" w:type="default"/>
          <w:footerReference r:id="rId11" w:type="even"/>
          <w:pgSz w:w="11910" w:h="16840"/>
          <w:pgMar w:top="1582" w:right="941" w:bottom="1400" w:left="1202" w:header="0" w:footer="963" w:gutter="0"/>
          <w:pgNumType w:fmt="decimal"/>
          <w:cols w:space="0" w:num="1"/>
          <w:rtlGutter w:val="0"/>
          <w:docGrid w:linePitch="0" w:charSpace="0"/>
        </w:sectPr>
      </w:pPr>
      <w:bookmarkStart w:id="10" w:name="_Toc23125"/>
    </w:p>
    <w:p w14:paraId="7EA52F7E">
      <w:pPr>
        <w:pStyle w:val="6"/>
        <w:keepNext w:val="0"/>
        <w:keepLines w:val="0"/>
        <w:pageBreakBefore w:val="0"/>
        <w:widowControl w:val="0"/>
        <w:tabs>
          <w:tab w:val="left" w:pos="1770"/>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r>
        <w:rPr>
          <w:rFonts w:hint="eastAsia" w:ascii="楷体_GB2312" w:hAnsi="楷体_GB2312" w:eastAsia="楷体_GB2312" w:cs="楷体_GB2312"/>
          <w:color w:val="auto"/>
        </w:rPr>
        <w:t>第三节</w:t>
      </w:r>
      <w:r>
        <w:rPr>
          <w:rFonts w:hint="eastAsia" w:ascii="楷体_GB2312" w:hAnsi="楷体_GB2312" w:eastAsia="楷体_GB2312" w:cs="楷体_GB2312"/>
          <w:color w:val="auto"/>
          <w:lang w:val="en-US" w:eastAsia="zh-CN"/>
        </w:rPr>
        <w:t xml:space="preserve">  </w:t>
      </w:r>
      <w:r>
        <w:rPr>
          <w:rFonts w:hint="eastAsia" w:ascii="楷体_GB2312" w:hAnsi="楷体_GB2312" w:eastAsia="楷体_GB2312" w:cs="楷体_GB2312"/>
          <w:color w:val="auto"/>
        </w:rPr>
        <w:t>主要目标</w:t>
      </w:r>
      <w:bookmarkEnd w:id="10"/>
    </w:p>
    <w:p w14:paraId="1C499BD5">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38"/>
        </w:rPr>
        <w:t>到</w:t>
      </w:r>
      <w:r>
        <w:rPr>
          <w:color w:val="auto"/>
        </w:rPr>
        <w:t>2025</w:t>
      </w:r>
      <w:r>
        <w:rPr>
          <w:color w:val="auto"/>
          <w:spacing w:val="-8"/>
        </w:rPr>
        <w:t>年，推动高质量发展的人力资源社会保障制度体系</w:t>
      </w:r>
      <w:r>
        <w:rPr>
          <w:color w:val="auto"/>
          <w:spacing w:val="-13"/>
          <w:w w:val="95"/>
        </w:rPr>
        <w:t>更加成熟完善，实现“劳有乐业、才有优用、技有专长、老有颐</w:t>
      </w:r>
      <w:r>
        <w:rPr>
          <w:color w:val="auto"/>
          <w:spacing w:val="2"/>
          <w:w w:val="99"/>
        </w:rPr>
        <w:t>养</w:t>
      </w:r>
      <w:r>
        <w:rPr>
          <w:color w:val="auto"/>
          <w:spacing w:val="-13"/>
          <w:w w:val="99"/>
        </w:rPr>
        <w:t>”，民生保障新高地和人才集聚新高地全面建成。</w:t>
      </w:r>
    </w:p>
    <w:p w14:paraId="42C65145">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7"/>
        </w:rPr>
        <w:t>——实现更充分更高质量就业。就业优先政策全面强化，就</w:t>
      </w:r>
      <w:r>
        <w:rPr>
          <w:color w:val="auto"/>
          <w:spacing w:val="-13"/>
        </w:rPr>
        <w:t>业更加充分，就业结构不断优化，就业质量明显提升。多渠道就</w:t>
      </w:r>
      <w:r>
        <w:rPr>
          <w:color w:val="auto"/>
          <w:spacing w:val="-16"/>
          <w:w w:val="95"/>
        </w:rPr>
        <w:t>业促进机制更加健全，就业创业环境不断优化，统一开放、竞争</w:t>
      </w:r>
      <w:r>
        <w:rPr>
          <w:color w:val="auto"/>
          <w:spacing w:val="-19"/>
        </w:rPr>
        <w:t>有序的人力资源市场体系更加健全，全方位公共就业创业服务体</w:t>
      </w:r>
      <w:r>
        <w:rPr>
          <w:color w:val="auto"/>
          <w:spacing w:val="-14"/>
        </w:rPr>
        <w:t>系全面建成。“十四五”期间实现城镇新增就业</w:t>
      </w:r>
      <w:r>
        <w:rPr>
          <w:rFonts w:hint="eastAsia"/>
          <w:color w:val="auto"/>
          <w:spacing w:val="-13"/>
          <w:lang w:val="en-US" w:eastAsia="zh-CN"/>
        </w:rPr>
        <w:t>1.2</w:t>
      </w:r>
      <w:r>
        <w:rPr>
          <w:color w:val="auto"/>
          <w:spacing w:val="-13"/>
        </w:rPr>
        <w:t>万人以上</w:t>
      </w:r>
      <w:r>
        <w:rPr>
          <w:color w:val="auto"/>
        </w:rPr>
        <w:t>。</w:t>
      </w:r>
    </w:p>
    <w:p w14:paraId="00D65A7B">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7"/>
        </w:rPr>
        <w:t>——多层次社会保障体系基本形成。推动实现基本养老、失</w:t>
      </w:r>
      <w:r>
        <w:rPr>
          <w:color w:val="auto"/>
          <w:spacing w:val="-12"/>
        </w:rPr>
        <w:t>业、工伤保险法定人群全覆盖，参保缴费质量显著提高。社会保</w:t>
      </w:r>
      <w:r>
        <w:rPr>
          <w:color w:val="auto"/>
          <w:spacing w:val="-16"/>
        </w:rPr>
        <w:t>险制度改革全面推进，统筹层次不断提高，全覆盖、可持续的多</w:t>
      </w:r>
      <w:r>
        <w:rPr>
          <w:color w:val="auto"/>
          <w:spacing w:val="-18"/>
        </w:rPr>
        <w:t>层次社会保障体系不断健全。与经济社会发展水平相适应的社保</w:t>
      </w:r>
      <w:r>
        <w:rPr>
          <w:color w:val="auto"/>
          <w:spacing w:val="-26"/>
        </w:rPr>
        <w:t>待遇确定和调整机制更加健全，待遇水平稳步提高，城乡、区域、</w:t>
      </w:r>
      <w:r>
        <w:rPr>
          <w:color w:val="auto"/>
          <w:spacing w:val="-22"/>
        </w:rPr>
        <w:t>群体间保障水平合理衔接，基金运行安全可持续。</w:t>
      </w:r>
    </w:p>
    <w:p w14:paraId="24EAC661">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76" w:firstLineChars="200"/>
        <w:jc w:val="both"/>
        <w:textAlignment w:val="auto"/>
        <w:rPr>
          <w:color w:val="auto"/>
        </w:rPr>
      </w:pPr>
      <w:r>
        <w:rPr>
          <w:color w:val="auto"/>
          <w:spacing w:val="-8"/>
          <w:w w:val="95"/>
        </w:rPr>
        <w:t>——高水平人才集聚能力显著提升。适应新时代经济社会发</w:t>
      </w:r>
      <w:r>
        <w:rPr>
          <w:color w:val="auto"/>
          <w:spacing w:val="-11"/>
        </w:rPr>
        <w:t>展，做大做强专业技术人才队伍和技能人才队伍，实现劳动力和</w:t>
      </w:r>
      <w:r>
        <w:rPr>
          <w:color w:val="auto"/>
          <w:spacing w:val="-16"/>
          <w:w w:val="95"/>
        </w:rPr>
        <w:t>人才社会性流动渠道更加畅通，人才梯队结构更加优良，人才发</w:t>
      </w:r>
      <w:r>
        <w:rPr>
          <w:color w:val="auto"/>
          <w:spacing w:val="-11"/>
        </w:rPr>
        <w:t>展环境持续优化，人才公共服务体系进一步完善。</w:t>
      </w:r>
    </w:p>
    <w:p w14:paraId="5037AEA3">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7"/>
        </w:rPr>
        <w:t>——事业单位人事管理更加规范有序。突出加强党的全面领</w:t>
      </w:r>
      <w:r>
        <w:rPr>
          <w:color w:val="auto"/>
          <w:spacing w:val="-12"/>
        </w:rPr>
        <w:t>导、强化公益属性，加快建立政事分开、事企分开、管办分离的</w:t>
      </w:r>
      <w:r>
        <w:rPr>
          <w:color w:val="auto"/>
          <w:spacing w:val="-16"/>
        </w:rPr>
        <w:t>事业单位人事管理体制机制，用人机制更加灵活高效，激励机制</w:t>
      </w:r>
      <w:r>
        <w:rPr>
          <w:color w:val="auto"/>
          <w:spacing w:val="-15"/>
          <w:w w:val="95"/>
        </w:rPr>
        <w:t>更加科学有效，人才流动更加合理有序，促进形成</w:t>
      </w:r>
      <w:r>
        <w:rPr>
          <w:color w:val="auto"/>
          <w:spacing w:val="-15"/>
          <w:w w:val="95"/>
          <w:highlight w:val="none"/>
        </w:rPr>
        <w:t>广纳英才、人</w:t>
      </w:r>
      <w:r>
        <w:rPr>
          <w:color w:val="auto"/>
          <w:spacing w:val="-15"/>
          <w:highlight w:val="none"/>
        </w:rPr>
        <w:t>尽其才、才尽其用、充满活力的事业单位人事管理制度。</w:t>
      </w:r>
    </w:p>
    <w:p w14:paraId="15A33EE3">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9"/>
          <w:highlight w:val="none"/>
        </w:rPr>
        <w:t>——劳动关系更加和谐稳定。劳动关系协调机制和矛盾调处</w:t>
      </w:r>
      <w:r>
        <w:rPr>
          <w:color w:val="auto"/>
          <w:spacing w:val="-13"/>
          <w:highlight w:val="none"/>
        </w:rPr>
        <w:t>机制更加健全，工资收入分配格局更加合理有序，劳动人事争议</w:t>
      </w:r>
      <w:r>
        <w:rPr>
          <w:color w:val="auto"/>
          <w:spacing w:val="-16"/>
          <w:highlight w:val="none"/>
        </w:rPr>
        <w:t>调解仲裁机制更加完善，劳动保障监察治理效能不断提升，劳资</w:t>
      </w:r>
      <w:r>
        <w:rPr>
          <w:color w:val="auto"/>
          <w:spacing w:val="-18"/>
          <w:highlight w:val="none"/>
        </w:rPr>
        <w:t>纠纷风险得到有效控制，形成劳动者体面劳动、全面发展良好局面</w:t>
      </w:r>
      <w:r>
        <w:rPr>
          <w:color w:val="auto"/>
          <w:spacing w:val="-12"/>
          <w:highlight w:val="none"/>
        </w:rPr>
        <w:t>。</w:t>
      </w:r>
      <w:r>
        <w:rPr>
          <w:color w:val="auto"/>
          <w:highlight w:val="none"/>
        </w:rPr>
        <w:t>“十四五”期末</w:t>
      </w:r>
      <w:r>
        <w:rPr>
          <w:color w:val="auto"/>
          <w:spacing w:val="-10"/>
          <w:highlight w:val="none"/>
        </w:rPr>
        <w:t>，</w:t>
      </w:r>
      <w:r>
        <w:rPr>
          <w:color w:val="auto"/>
          <w:highlight w:val="none"/>
        </w:rPr>
        <w:t>劳动人事争议调解成功率达</w:t>
      </w:r>
      <w:r>
        <w:rPr>
          <w:rFonts w:hint="eastAsia"/>
          <w:color w:val="auto"/>
          <w:spacing w:val="6"/>
          <w:highlight w:val="none"/>
          <w:lang w:val="en-US" w:eastAsia="zh-CN"/>
        </w:rPr>
        <w:t>75</w:t>
      </w:r>
      <w:r>
        <w:rPr>
          <w:color w:val="auto"/>
          <w:spacing w:val="11"/>
          <w:w w:val="99"/>
          <w:highlight w:val="none"/>
        </w:rPr>
        <w:drawing>
          <wp:inline distT="0" distB="0" distL="0" distR="0">
            <wp:extent cx="85090" cy="154940"/>
            <wp:effectExtent l="0" t="0" r="0" b="0"/>
            <wp:docPr id="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png"/>
                    <pic:cNvPicPr>
                      <a:picLocks noChangeAspect="1"/>
                    </pic:cNvPicPr>
                  </pic:nvPicPr>
                  <pic:blipFill>
                    <a:blip r:embed="rId15" cstate="print"/>
                    <a:stretch>
                      <a:fillRect/>
                    </a:stretch>
                  </pic:blipFill>
                  <pic:spPr>
                    <a:xfrm>
                      <a:off x="0" y="0"/>
                      <a:ext cx="85724" cy="155574"/>
                    </a:xfrm>
                    <a:prstGeom prst="rect">
                      <a:avLst/>
                    </a:prstGeom>
                  </pic:spPr>
                </pic:pic>
              </a:graphicData>
            </a:graphic>
          </wp:inline>
        </w:drawing>
      </w:r>
      <w:r>
        <w:rPr>
          <w:color w:val="auto"/>
          <w:w w:val="95"/>
          <w:highlight w:val="none"/>
        </w:rPr>
        <w:t>以上</w:t>
      </w:r>
      <w:r>
        <w:rPr>
          <w:color w:val="auto"/>
          <w:spacing w:val="-10"/>
          <w:w w:val="95"/>
          <w:highlight w:val="none"/>
        </w:rPr>
        <w:t>，</w:t>
      </w:r>
      <w:r>
        <w:rPr>
          <w:color w:val="auto"/>
          <w:w w:val="95"/>
          <w:highlight w:val="none"/>
        </w:rPr>
        <w:t>劳</w:t>
      </w:r>
      <w:r>
        <w:rPr>
          <w:color w:val="auto"/>
          <w:highlight w:val="none"/>
        </w:rPr>
        <w:t>动人事争议仲裁结案率达</w:t>
      </w:r>
      <w:r>
        <w:rPr>
          <w:rFonts w:hint="eastAsia"/>
          <w:color w:val="auto"/>
          <w:spacing w:val="6"/>
          <w:highlight w:val="none"/>
          <w:lang w:val="en-US" w:eastAsia="zh-CN"/>
        </w:rPr>
        <w:t>95</w:t>
      </w:r>
      <w:r>
        <w:rPr>
          <w:color w:val="auto"/>
          <w:spacing w:val="11"/>
          <w:w w:val="99"/>
          <w:highlight w:val="none"/>
        </w:rPr>
        <w:drawing>
          <wp:inline distT="0" distB="0" distL="0" distR="0">
            <wp:extent cx="85090" cy="154940"/>
            <wp:effectExtent l="0" t="0" r="0" b="0"/>
            <wp:docPr id="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png"/>
                    <pic:cNvPicPr>
                      <a:picLocks noChangeAspect="1"/>
                    </pic:cNvPicPr>
                  </pic:nvPicPr>
                  <pic:blipFill>
                    <a:blip r:embed="rId15" cstate="print"/>
                    <a:stretch>
                      <a:fillRect/>
                    </a:stretch>
                  </pic:blipFill>
                  <pic:spPr>
                    <a:xfrm>
                      <a:off x="0" y="0"/>
                      <a:ext cx="85724" cy="155574"/>
                    </a:xfrm>
                    <a:prstGeom prst="rect">
                      <a:avLst/>
                    </a:prstGeom>
                  </pic:spPr>
                </pic:pic>
              </a:graphicData>
            </a:graphic>
          </wp:inline>
        </w:drawing>
      </w:r>
      <w:r>
        <w:rPr>
          <w:color w:val="auto"/>
          <w:w w:val="95"/>
          <w:highlight w:val="none"/>
        </w:rPr>
        <w:t>以上</w:t>
      </w:r>
      <w:r>
        <w:rPr>
          <w:color w:val="auto"/>
          <w:spacing w:val="-34"/>
          <w:w w:val="95"/>
          <w:highlight w:val="none"/>
        </w:rPr>
        <w:t>，</w:t>
      </w:r>
      <w:r>
        <w:rPr>
          <w:color w:val="auto"/>
          <w:w w:val="95"/>
          <w:highlight w:val="none"/>
        </w:rPr>
        <w:t>劳动保障监察举报投诉案件</w:t>
      </w:r>
      <w:r>
        <w:rPr>
          <w:color w:val="auto"/>
          <w:position w:val="1"/>
          <w:highlight w:val="none"/>
        </w:rPr>
        <w:t>结案率达</w:t>
      </w:r>
      <w:r>
        <w:rPr>
          <w:color w:val="auto"/>
          <w:spacing w:val="6"/>
          <w:position w:val="1"/>
          <w:highlight w:val="none"/>
        </w:rPr>
        <w:t>96</w:t>
      </w:r>
      <w:r>
        <w:rPr>
          <w:color w:val="auto"/>
          <w:spacing w:val="11"/>
          <w:w w:val="99"/>
          <w:highlight w:val="none"/>
        </w:rPr>
        <w:drawing>
          <wp:inline distT="0" distB="0" distL="0" distR="0">
            <wp:extent cx="85090" cy="154940"/>
            <wp:effectExtent l="0" t="0" r="0" b="0"/>
            <wp:docPr id="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png"/>
                    <pic:cNvPicPr>
                      <a:picLocks noChangeAspect="1"/>
                    </pic:cNvPicPr>
                  </pic:nvPicPr>
                  <pic:blipFill>
                    <a:blip r:embed="rId15" cstate="print"/>
                    <a:stretch>
                      <a:fillRect/>
                    </a:stretch>
                  </pic:blipFill>
                  <pic:spPr>
                    <a:xfrm>
                      <a:off x="0" y="0"/>
                      <a:ext cx="85724" cy="155574"/>
                    </a:xfrm>
                    <a:prstGeom prst="rect">
                      <a:avLst/>
                    </a:prstGeom>
                  </pic:spPr>
                </pic:pic>
              </a:graphicData>
            </a:graphic>
          </wp:inline>
        </w:drawing>
      </w:r>
      <w:r>
        <w:rPr>
          <w:color w:val="auto"/>
          <w:position w:val="1"/>
          <w:highlight w:val="none"/>
        </w:rPr>
        <w:t>以上。</w:t>
      </w:r>
    </w:p>
    <w:p w14:paraId="313DB021">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9"/>
          <w:highlight w:val="none"/>
        </w:rPr>
        <w:t>——公共服务能力持续增强。人力资源社会保障基本公共服</w:t>
      </w:r>
      <w:r>
        <w:rPr>
          <w:color w:val="auto"/>
          <w:spacing w:val="-16"/>
          <w:highlight w:val="none"/>
        </w:rPr>
        <w:t>务制度体系和标准体系全面建立，互联互通、业务协同的人力资</w:t>
      </w:r>
      <w:r>
        <w:rPr>
          <w:color w:val="auto"/>
          <w:spacing w:val="-20"/>
          <w:highlight w:val="none"/>
        </w:rPr>
        <w:t>源社会保障信息网络服务体系全面建成，信息化建设对事业高质量发展的支撑能力显著增强，基本公共服务均等化基本实现，社会保障卡“一卡通”广泛应用，群众满意度保持较高水平。</w:t>
      </w:r>
    </w:p>
    <w:p w14:paraId="77B6210D">
      <w:pPr>
        <w:pStyle w:val="4"/>
        <w:keepNext w:val="0"/>
        <w:keepLines w:val="0"/>
        <w:pageBreakBefore w:val="0"/>
        <w:widowControl w:val="0"/>
        <w:tabs>
          <w:tab w:val="left" w:pos="1439"/>
        </w:tabs>
        <w:kinsoku/>
        <w:wordWrap/>
        <w:overflowPunct/>
        <w:topLinePunct w:val="0"/>
        <w:autoSpaceDE w:val="0"/>
        <w:autoSpaceDN w:val="0"/>
        <w:bidi w:val="0"/>
        <w:adjustRightInd/>
        <w:snapToGrid/>
        <w:spacing w:before="0" w:line="560" w:lineRule="exact"/>
        <w:ind w:left="0" w:leftChars="0" w:right="0"/>
        <w:jc w:val="center"/>
        <w:textAlignment w:val="auto"/>
        <w:outlineLvl w:val="0"/>
        <w:rPr>
          <w:rFonts w:hint="eastAsia" w:ascii="黑体" w:hAnsi="黑体" w:eastAsia="黑体" w:cs="黑体"/>
          <w:color w:val="auto"/>
          <w:highlight w:val="none"/>
        </w:rPr>
      </w:pPr>
      <w:bookmarkStart w:id="11" w:name="_Toc24445"/>
      <w:r>
        <w:rPr>
          <w:rFonts w:hint="eastAsia" w:ascii="黑体" w:hAnsi="黑体" w:eastAsia="黑体" w:cs="黑体"/>
          <w:color w:val="auto"/>
          <w:highlight w:val="none"/>
        </w:rPr>
        <w:t>第三章</w:t>
      </w:r>
      <w:r>
        <w:rPr>
          <w:rFonts w:hint="eastAsia" w:ascii="黑体" w:hAnsi="黑体" w:eastAsia="黑体" w:cs="黑体"/>
          <w:color w:val="auto"/>
          <w:highlight w:val="none"/>
        </w:rPr>
        <w:tab/>
      </w:r>
      <w:r>
        <w:rPr>
          <w:rFonts w:hint="eastAsia" w:ascii="黑体" w:hAnsi="黑体" w:eastAsia="黑体" w:cs="黑体"/>
          <w:color w:val="auto"/>
          <w:highlight w:val="none"/>
        </w:rPr>
        <w:t>促进区域协调发展</w:t>
      </w:r>
      <w:bookmarkEnd w:id="11"/>
    </w:p>
    <w:p w14:paraId="75D29218">
      <w:pPr>
        <w:pStyle w:val="6"/>
        <w:keepNext w:val="0"/>
        <w:keepLines w:val="0"/>
        <w:pageBreakBefore w:val="0"/>
        <w:widowControl w:val="0"/>
        <w:tabs>
          <w:tab w:val="left" w:pos="1770"/>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highlight w:val="none"/>
        </w:rPr>
      </w:pPr>
      <w:bookmarkStart w:id="12" w:name="_Toc31456"/>
      <w:r>
        <w:rPr>
          <w:rFonts w:hint="eastAsia" w:ascii="楷体_GB2312" w:hAnsi="楷体_GB2312" w:eastAsia="楷体_GB2312" w:cs="楷体_GB2312"/>
          <w:color w:val="auto"/>
          <w:highlight w:val="none"/>
        </w:rPr>
        <w:t>第一节</w:t>
      </w:r>
      <w:r>
        <w:rPr>
          <w:rFonts w:hint="eastAsia" w:ascii="楷体_GB2312" w:hAnsi="楷体_GB2312" w:eastAsia="楷体_GB2312" w:cs="楷体_GB2312"/>
          <w:color w:val="auto"/>
          <w:lang w:val="en-US" w:eastAsia="zh-CN"/>
        </w:rPr>
        <w:t xml:space="preserve">  </w:t>
      </w:r>
      <w:r>
        <w:rPr>
          <w:rFonts w:hint="eastAsia" w:ascii="楷体_GB2312" w:hAnsi="楷体_GB2312" w:eastAsia="楷体_GB2312" w:cs="楷体_GB2312"/>
          <w:color w:val="auto"/>
          <w:highlight w:val="none"/>
        </w:rPr>
        <w:t>推进人力资源交流合作</w:t>
      </w:r>
      <w:bookmarkEnd w:id="12"/>
    </w:p>
    <w:p w14:paraId="418290C3">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eastAsia"/>
          <w:color w:val="auto"/>
          <w:spacing w:val="-16"/>
          <w:highlight w:val="none"/>
          <w:lang w:eastAsia="zh-CN"/>
        </w:rPr>
      </w:pPr>
      <w:r>
        <w:rPr>
          <w:rFonts w:hint="eastAsia"/>
          <w:color w:val="auto"/>
          <w:spacing w:val="-11"/>
          <w:highlight w:val="none"/>
          <w:lang w:eastAsia="zh-CN"/>
        </w:rPr>
        <w:t>按照省、市要求，</w:t>
      </w:r>
      <w:r>
        <w:rPr>
          <w:color w:val="auto"/>
          <w:spacing w:val="-11"/>
          <w:highlight w:val="none"/>
        </w:rPr>
        <w:t>主动融入珠三角，充分发挥粤港澳大湾区建设和深圳中国特</w:t>
      </w:r>
      <w:r>
        <w:rPr>
          <w:color w:val="auto"/>
          <w:spacing w:val="-16"/>
          <w:highlight w:val="none"/>
        </w:rPr>
        <w:t>色社会主义先行示范区建设的“双区”驱动，服务横琴、前海两</w:t>
      </w:r>
      <w:r>
        <w:rPr>
          <w:color w:val="auto"/>
          <w:spacing w:val="-15"/>
          <w:highlight w:val="none"/>
        </w:rPr>
        <w:t>个合作区建设，加强与东莞等珠三角地市人力资源交流合作，建</w:t>
      </w:r>
      <w:r>
        <w:rPr>
          <w:color w:val="auto"/>
          <w:spacing w:val="-23"/>
          <w:highlight w:val="none"/>
        </w:rPr>
        <w:t>立健全同珠三角地市优势互补、协同发展机制，探索在就业创业、</w:t>
      </w:r>
      <w:r>
        <w:rPr>
          <w:color w:val="auto"/>
          <w:spacing w:val="-16"/>
          <w:highlight w:val="none"/>
        </w:rPr>
        <w:t>社会保险、人才政策、劳动关系等领域的交流合作，提供优质高效的服务</w:t>
      </w:r>
      <w:r>
        <w:rPr>
          <w:rFonts w:hint="eastAsia"/>
          <w:color w:val="auto"/>
          <w:spacing w:val="-16"/>
          <w:highlight w:val="none"/>
          <w:lang w:eastAsia="zh-CN"/>
        </w:rPr>
        <w:t>。</w:t>
      </w:r>
    </w:p>
    <w:p w14:paraId="0A26BB42">
      <w:pPr>
        <w:pStyle w:val="6"/>
        <w:keepNext w:val="0"/>
        <w:keepLines w:val="0"/>
        <w:pageBreakBefore w:val="0"/>
        <w:widowControl w:val="0"/>
        <w:tabs>
          <w:tab w:val="left" w:pos="1770"/>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spacing w:val="0"/>
          <w:highlight w:val="none"/>
        </w:rPr>
      </w:pPr>
      <w:bookmarkStart w:id="13" w:name="_Toc31574"/>
      <w:r>
        <w:rPr>
          <w:rFonts w:hint="eastAsia" w:ascii="楷体_GB2312" w:hAnsi="楷体_GB2312" w:eastAsia="楷体_GB2312" w:cs="楷体_GB2312"/>
          <w:color w:val="auto"/>
          <w:highlight w:val="none"/>
          <w:lang w:eastAsia="zh-CN"/>
        </w:rPr>
        <w:t>第二节</w:t>
      </w:r>
      <w:r>
        <w:rPr>
          <w:rFonts w:hint="eastAsia" w:ascii="楷体_GB2312" w:hAnsi="楷体_GB2312" w:eastAsia="楷体_GB2312" w:cs="楷体_GB2312"/>
          <w:color w:val="auto"/>
          <w:lang w:val="en-US" w:eastAsia="zh-CN"/>
        </w:rPr>
        <w:t xml:space="preserve">  </w:t>
      </w:r>
      <w:r>
        <w:rPr>
          <w:rFonts w:hint="eastAsia" w:ascii="楷体_GB2312" w:hAnsi="楷体_GB2312" w:eastAsia="楷体_GB2312" w:cs="楷体_GB2312"/>
          <w:color w:val="auto"/>
          <w:highlight w:val="none"/>
        </w:rPr>
        <w:t>促进城乡融合发展</w:t>
      </w:r>
      <w:bookmarkEnd w:id="13"/>
    </w:p>
    <w:p w14:paraId="49F2C23E">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20" w:firstLineChars="200"/>
        <w:jc w:val="both"/>
        <w:textAlignment w:val="auto"/>
        <w:rPr>
          <w:color w:val="auto"/>
          <w:sz w:val="20"/>
          <w:highlight w:val="none"/>
        </w:rPr>
      </w:pPr>
      <w:r>
        <w:rPr>
          <w:rFonts w:hint="eastAsia"/>
          <w:color w:val="auto"/>
          <w:spacing w:val="-5"/>
          <w:highlight w:val="none"/>
          <w:lang w:eastAsia="zh-CN"/>
        </w:rPr>
        <w:t>根据省、市有关乡村工匠职称评审工作部署，</w:t>
      </w:r>
      <w:r>
        <w:rPr>
          <w:color w:val="auto"/>
          <w:spacing w:val="-5"/>
          <w:highlight w:val="none"/>
        </w:rPr>
        <w:t>多渠道宣传发动符合条件的人员申报乡村工匠职称评审，优化申报流程、畅通申报渠道，有序推进乡村工匠职称评审工作。健全城乡基本公共服务均等化机制，结合城乡人口分布和流动趋势，合理配置就业、社保、人才、劳动关系等基本公共服务。围绕加快新型城镇化的需求，统筹推进农村劳动力转移就业和就地创业就业，加强农村转移劳动力技能培训，推动农村转移劳动力平等享受就业创业服务。推动社保经办服务网络向基层延伸，实现具备条件的行政村全覆盖。实施“乡村工匠”工程，增强农村地区内生发展动力。引导人才“上山下乡”，加强基层义务教育、医疗卫生人才队伍建设，将基层服务内容纳入职称评价标准，强化基层人才激励保障。推动巩固脱贫攻坚成果与乡村振兴有效衔接，大力推进就业技能社保精准帮</w:t>
      </w:r>
      <w:r>
        <w:rPr>
          <w:rFonts w:hint="eastAsia"/>
          <w:color w:val="auto"/>
          <w:spacing w:val="-5"/>
          <w:highlight w:val="none"/>
          <w:lang w:eastAsia="zh-CN"/>
        </w:rPr>
        <w:t>扶。</w:t>
      </w:r>
    </w:p>
    <w:p w14:paraId="22E619BC">
      <w:pPr>
        <w:pStyle w:val="4"/>
        <w:keepNext w:val="0"/>
        <w:keepLines w:val="0"/>
        <w:pageBreakBefore w:val="0"/>
        <w:widowControl w:val="0"/>
        <w:tabs>
          <w:tab w:val="left" w:pos="1439"/>
        </w:tabs>
        <w:kinsoku/>
        <w:wordWrap/>
        <w:overflowPunct/>
        <w:topLinePunct w:val="0"/>
        <w:autoSpaceDE w:val="0"/>
        <w:autoSpaceDN w:val="0"/>
        <w:bidi w:val="0"/>
        <w:adjustRightInd/>
        <w:snapToGrid/>
        <w:spacing w:before="0" w:line="560" w:lineRule="exact"/>
        <w:ind w:left="0" w:leftChars="0" w:right="0"/>
        <w:jc w:val="center"/>
        <w:textAlignment w:val="auto"/>
        <w:outlineLvl w:val="0"/>
        <w:rPr>
          <w:color w:val="auto"/>
          <w:sz w:val="36"/>
          <w:szCs w:val="36"/>
          <w:highlight w:val="none"/>
        </w:rPr>
      </w:pPr>
      <w:bookmarkStart w:id="14" w:name="_Toc18568"/>
      <w:r>
        <w:rPr>
          <w:rFonts w:hint="eastAsia" w:ascii="黑体" w:hAnsi="黑体" w:eastAsia="黑体" w:cs="黑体"/>
          <w:color w:val="auto"/>
          <w:sz w:val="36"/>
          <w:szCs w:val="36"/>
          <w:highlight w:val="none"/>
        </w:rPr>
        <w:t>第四章</w:t>
      </w:r>
      <w:r>
        <w:rPr>
          <w:rFonts w:hint="eastAsia" w:ascii="黑体" w:hAnsi="黑体" w:eastAsia="黑体" w:cs="黑体"/>
          <w:color w:val="auto"/>
          <w:sz w:val="36"/>
          <w:szCs w:val="36"/>
          <w:highlight w:val="none"/>
        </w:rPr>
        <w:tab/>
      </w:r>
      <w:r>
        <w:rPr>
          <w:rFonts w:hint="eastAsia" w:ascii="黑体" w:hAnsi="黑体" w:eastAsia="黑体" w:cs="黑体"/>
          <w:color w:val="auto"/>
          <w:sz w:val="36"/>
          <w:szCs w:val="36"/>
          <w:highlight w:val="none"/>
        </w:rPr>
        <w:t>推动实现更加充分更高质量就业</w:t>
      </w:r>
      <w:bookmarkEnd w:id="14"/>
    </w:p>
    <w:p w14:paraId="4D519501">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11"/>
          <w:highlight w:val="none"/>
        </w:rPr>
        <w:t>全面强化就业优先政策，健全有利于更加充分更高质量就业</w:t>
      </w:r>
      <w:r>
        <w:rPr>
          <w:color w:val="auto"/>
          <w:spacing w:val="-14"/>
          <w:highlight w:val="none"/>
        </w:rPr>
        <w:t>的促进机制，稳定重点群体就业，完善促进创业带动就业、多渠</w:t>
      </w:r>
      <w:r>
        <w:rPr>
          <w:color w:val="auto"/>
          <w:spacing w:val="-16"/>
          <w:highlight w:val="none"/>
        </w:rPr>
        <w:t>道灵活就业的保障制度，推进全方位公共就业服务，推动就业稳定增长，有效防范化解失业风险，确保就业局势总体稳定。</w:t>
      </w:r>
    </w:p>
    <w:p w14:paraId="22082877">
      <w:pPr>
        <w:pStyle w:val="6"/>
        <w:keepNext w:val="0"/>
        <w:keepLines w:val="0"/>
        <w:pageBreakBefore w:val="0"/>
        <w:widowControl w:val="0"/>
        <w:tabs>
          <w:tab w:val="left" w:pos="1770"/>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highlight w:val="none"/>
        </w:rPr>
      </w:pPr>
      <w:bookmarkStart w:id="15" w:name="_Toc25064"/>
      <w:r>
        <w:rPr>
          <w:rFonts w:hint="eastAsia" w:ascii="楷体_GB2312" w:hAnsi="楷体_GB2312" w:eastAsia="楷体_GB2312" w:cs="楷体_GB2312"/>
          <w:color w:val="auto"/>
          <w:highlight w:val="none"/>
        </w:rPr>
        <w:t>第一节</w:t>
      </w:r>
      <w:r>
        <w:rPr>
          <w:rFonts w:hint="eastAsia" w:ascii="楷体_GB2312" w:hAnsi="楷体_GB2312" w:eastAsia="楷体_GB2312" w:cs="楷体_GB2312"/>
          <w:color w:val="auto"/>
          <w:lang w:val="en-US" w:eastAsia="zh-CN"/>
        </w:rPr>
        <w:t xml:space="preserve">  </w:t>
      </w:r>
      <w:r>
        <w:rPr>
          <w:rFonts w:hint="eastAsia" w:ascii="楷体_GB2312" w:hAnsi="楷体_GB2312" w:eastAsia="楷体_GB2312" w:cs="楷体_GB2312"/>
          <w:color w:val="auto"/>
          <w:highlight w:val="none"/>
        </w:rPr>
        <w:t>实施积极就业政策</w:t>
      </w:r>
      <w:bookmarkEnd w:id="15"/>
    </w:p>
    <w:p w14:paraId="7514DABC">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11"/>
          <w:highlight w:val="none"/>
        </w:rPr>
        <w:t>突出就业优先目标导向。把稳定和扩大就业作为经济社会发</w:t>
      </w:r>
      <w:r>
        <w:rPr>
          <w:color w:val="auto"/>
          <w:spacing w:val="-16"/>
          <w:highlight w:val="none"/>
        </w:rPr>
        <w:t>展优先目标和宏观调控的下限，坚持经济发展就业导向，扩大就</w:t>
      </w:r>
      <w:r>
        <w:rPr>
          <w:color w:val="auto"/>
          <w:spacing w:val="-14"/>
          <w:highlight w:val="none"/>
        </w:rPr>
        <w:t>业容量，提升就业质量，促进充分就业。充分发挥就业工作领导</w:t>
      </w:r>
      <w:r>
        <w:rPr>
          <w:color w:val="auto"/>
          <w:spacing w:val="-15"/>
          <w:highlight w:val="none"/>
        </w:rPr>
        <w:t>小组作用，落实就业工作目标责任制，建立健全常态化促进就业</w:t>
      </w:r>
      <w:r>
        <w:rPr>
          <w:color w:val="auto"/>
          <w:spacing w:val="-21"/>
          <w:w w:val="95"/>
          <w:highlight w:val="none"/>
        </w:rPr>
        <w:t>协同联动机制，形成工作合力。持续加大就业补助资金投入力度，</w:t>
      </w:r>
      <w:r>
        <w:rPr>
          <w:color w:val="auto"/>
          <w:spacing w:val="-21"/>
          <w:highlight w:val="none"/>
        </w:rPr>
        <w:t>提升资金使用效益。</w:t>
      </w:r>
    </w:p>
    <w:p w14:paraId="4DA23A98">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7"/>
          <w:highlight w:val="none"/>
        </w:rPr>
        <w:t>强化经济政策与就业政策协同联动。健全财政、货币、就业</w:t>
      </w:r>
      <w:r>
        <w:rPr>
          <w:color w:val="auto"/>
          <w:spacing w:val="-14"/>
          <w:highlight w:val="none"/>
        </w:rPr>
        <w:t>等政策协同和传导落实机制，推动经济增长、社会发展与就业扩大良性互动。优先发展吸纳就业能力强的行业产业，培育就业增</w:t>
      </w:r>
      <w:r>
        <w:rPr>
          <w:color w:val="auto"/>
          <w:spacing w:val="-12"/>
          <w:highlight w:val="none"/>
        </w:rPr>
        <w:t>长。</w:t>
      </w:r>
      <w:r>
        <w:rPr>
          <w:color w:val="auto"/>
          <w:spacing w:val="-18"/>
          <w:highlight w:val="none"/>
        </w:rPr>
        <w:t>持续优化促进就业政策举措，</w:t>
      </w:r>
      <w:r>
        <w:rPr>
          <w:rFonts w:hint="eastAsia"/>
          <w:color w:val="auto"/>
          <w:spacing w:val="-18"/>
          <w:highlight w:val="none"/>
          <w:lang w:eastAsia="zh-CN"/>
        </w:rPr>
        <w:t>推动</w:t>
      </w:r>
      <w:r>
        <w:rPr>
          <w:color w:val="auto"/>
          <w:spacing w:val="-18"/>
          <w:highlight w:val="none"/>
        </w:rPr>
        <w:t>形成完善的援企稳岗扩就业政策体系。</w:t>
      </w:r>
    </w:p>
    <w:p w14:paraId="32DA02C8">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7"/>
          <w:w w:val="95"/>
          <w:highlight w:val="none"/>
        </w:rPr>
        <w:t>健全统筹城乡的就业政策体系。持续完善就业政策体系，鼓</w:t>
      </w:r>
      <w:r>
        <w:rPr>
          <w:color w:val="auto"/>
          <w:spacing w:val="-13"/>
          <w:highlight w:val="none"/>
        </w:rPr>
        <w:t>励各类市场主体吸纳就业，支持劳动者自谋职业、自主创业，提</w:t>
      </w:r>
      <w:r>
        <w:rPr>
          <w:color w:val="auto"/>
          <w:spacing w:val="-15"/>
          <w:highlight w:val="none"/>
        </w:rPr>
        <w:t>高政策的针对性、有效性。更加注重缓解结构性就业矛盾，加快</w:t>
      </w:r>
      <w:r>
        <w:rPr>
          <w:color w:val="auto"/>
          <w:highlight w:val="none"/>
        </w:rPr>
        <w:t>提升劳动者技能素质。</w:t>
      </w:r>
      <w:r>
        <w:rPr>
          <w:color w:val="auto"/>
          <w:spacing w:val="-10"/>
          <w:highlight w:val="none"/>
        </w:rPr>
        <w:t>拓</w:t>
      </w:r>
      <w:r>
        <w:rPr>
          <w:color w:val="auto"/>
          <w:spacing w:val="-15"/>
          <w:highlight w:val="none"/>
        </w:rPr>
        <w:t>宽农村劳动力就地就近就业、外出就业和返乡创业渠道，推动城乡劳动者平等享受就业服务。</w:t>
      </w:r>
    </w:p>
    <w:p w14:paraId="68156CF2">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黑体" w:eastAsia="黑体"/>
          <w:color w:val="auto"/>
          <w:highlight w:val="none"/>
        </w:rPr>
      </w:pPr>
      <w:bookmarkStart w:id="16" w:name="_Toc3286"/>
      <w:r>
        <w:rPr>
          <w:rFonts w:hint="eastAsia" w:ascii="楷体_GB2312" w:hAnsi="楷体_GB2312" w:eastAsia="楷体_GB2312" w:cs="楷体_GB2312"/>
          <w:color w:val="auto"/>
          <w:highlight w:val="none"/>
        </w:rPr>
        <w:t>第二节</w:t>
      </w:r>
      <w:r>
        <w:rPr>
          <w:rFonts w:hint="eastAsia" w:ascii="楷体_GB2312" w:hAnsi="楷体_GB2312" w:eastAsia="楷体_GB2312" w:cs="楷体_GB2312"/>
          <w:color w:val="auto"/>
          <w:highlight w:val="none"/>
        </w:rPr>
        <w:tab/>
      </w:r>
      <w:r>
        <w:rPr>
          <w:rFonts w:hint="eastAsia" w:ascii="楷体_GB2312" w:hAnsi="楷体_GB2312" w:eastAsia="楷体_GB2312" w:cs="楷体_GB2312"/>
          <w:color w:val="auto"/>
          <w:highlight w:val="none"/>
        </w:rPr>
        <w:t>加大重点群体就业支持力度</w:t>
      </w:r>
      <w:bookmarkEnd w:id="16"/>
    </w:p>
    <w:p w14:paraId="11C7A937">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10"/>
          <w:highlight w:val="none"/>
        </w:rPr>
        <w:t>促进高校毕业生就业创业。深入实施高校毕业生就业创业促</w:t>
      </w:r>
      <w:r>
        <w:rPr>
          <w:color w:val="auto"/>
          <w:spacing w:val="-12"/>
          <w:highlight w:val="none"/>
        </w:rPr>
        <w:t>进计划，开发更多适合高校毕业生的高质量就业岗位，拓宽市场</w:t>
      </w:r>
      <w:r>
        <w:rPr>
          <w:color w:val="auto"/>
          <w:spacing w:val="-15"/>
          <w:highlight w:val="none"/>
        </w:rPr>
        <w:t>化社会化就业渠道。统筹实施高校毕业生“三支一扶”计划等基层服务项目，鼓励大学生参军入伍，畅通基层成长发展通道。</w:t>
      </w:r>
      <w:r>
        <w:rPr>
          <w:color w:val="auto"/>
          <w:spacing w:val="-12"/>
          <w:highlight w:val="none"/>
        </w:rPr>
        <w:t>多渠道搭建职业指导、职业</w:t>
      </w:r>
      <w:r>
        <w:rPr>
          <w:color w:val="auto"/>
          <w:spacing w:val="-14"/>
          <w:highlight w:val="none"/>
        </w:rPr>
        <w:t>培训、就业见习创业实践平台，对困难毕业生和长期失业青年实</w:t>
      </w:r>
      <w:r>
        <w:rPr>
          <w:color w:val="auto"/>
          <w:spacing w:val="6"/>
          <w:w w:val="95"/>
          <w:highlight w:val="none"/>
        </w:rPr>
        <w:t>施就业帮扶。完善离校未就业高校毕业生实名登记制度，强化</w:t>
      </w:r>
      <w:r>
        <w:rPr>
          <w:color w:val="auto"/>
          <w:spacing w:val="6"/>
          <w:highlight w:val="none"/>
        </w:rPr>
        <w:t>“一对一”精准就业服务。</w:t>
      </w:r>
    </w:p>
    <w:p w14:paraId="1DA2054F">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color w:val="auto"/>
          <w:highlight w:val="none"/>
        </w:rPr>
      </w:pPr>
      <w:r>
        <w:rPr>
          <w:color w:val="auto"/>
          <w:highlight w:val="none"/>
        </w:rPr>
        <w:t>促进异地务工人员稳定就业。</w:t>
      </w:r>
      <w:r>
        <w:rPr>
          <w:color w:val="auto"/>
          <w:spacing w:val="-11"/>
          <w:highlight w:val="none"/>
        </w:rPr>
        <w:t>持续推进农</w:t>
      </w:r>
      <w:r>
        <w:rPr>
          <w:color w:val="auto"/>
          <w:spacing w:val="-13"/>
          <w:highlight w:val="none"/>
        </w:rPr>
        <w:t>业富余劳动力进城务工和跨县</w:t>
      </w:r>
      <w:r>
        <w:rPr>
          <w:color w:val="auto"/>
          <w:highlight w:val="none"/>
        </w:rPr>
        <w:t>（</w:t>
      </w:r>
      <w:r>
        <w:rPr>
          <w:color w:val="auto"/>
          <w:spacing w:val="-10"/>
          <w:highlight w:val="none"/>
        </w:rPr>
        <w:t>市、区</w:t>
      </w:r>
      <w:r>
        <w:rPr>
          <w:color w:val="auto"/>
          <w:spacing w:val="-29"/>
          <w:highlight w:val="none"/>
        </w:rPr>
        <w:t>）</w:t>
      </w:r>
      <w:r>
        <w:rPr>
          <w:color w:val="auto"/>
          <w:spacing w:val="-5"/>
          <w:highlight w:val="none"/>
        </w:rPr>
        <w:t>有序流动，努力将异地务工人员稳在岗位、稳在企业、稳在当地。支持稳定就业创业，</w:t>
      </w:r>
      <w:r>
        <w:rPr>
          <w:color w:val="auto"/>
          <w:spacing w:val="-20"/>
          <w:highlight w:val="none"/>
        </w:rPr>
        <w:t>强化劳动权益保障。营造关心关爱异地务工人员的良好社会氛围。</w:t>
      </w:r>
    </w:p>
    <w:p w14:paraId="701F7D06">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9"/>
          <w:highlight w:val="none"/>
        </w:rPr>
        <w:t>兜牢困难人员就业底线。完善就业失业登记制度，畅通失业</w:t>
      </w:r>
      <w:r>
        <w:rPr>
          <w:color w:val="auto"/>
          <w:spacing w:val="-13"/>
          <w:w w:val="95"/>
          <w:highlight w:val="none"/>
        </w:rPr>
        <w:t>人员求助渠道，健全失业登记、职业介绍、职业培训、职业指导</w:t>
      </w:r>
      <w:r>
        <w:rPr>
          <w:color w:val="auto"/>
          <w:spacing w:val="-10"/>
          <w:highlight w:val="none"/>
        </w:rPr>
        <w:t>生活保障联动机制。完善就业援助制度，对城乡就业困难人员提</w:t>
      </w:r>
      <w:r>
        <w:rPr>
          <w:color w:val="auto"/>
          <w:spacing w:val="-16"/>
          <w:highlight w:val="none"/>
        </w:rPr>
        <w:t>供优先扶持和重点帮助。健全托底帮扶机制，对通过市场渠道难</w:t>
      </w:r>
      <w:r>
        <w:rPr>
          <w:color w:val="auto"/>
          <w:spacing w:val="-17"/>
          <w:highlight w:val="none"/>
        </w:rPr>
        <w:t>以实现就业的困难人员，合理开发公益性岗位托底安置</w:t>
      </w:r>
      <w:r>
        <w:rPr>
          <w:color w:val="auto"/>
          <w:spacing w:val="-16"/>
          <w:highlight w:val="none"/>
        </w:rPr>
        <w:t>。统筹做好妇女、残疾人等群体就业工作。</w:t>
      </w:r>
    </w:p>
    <w:p w14:paraId="01112801">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highlight w:val="none"/>
        </w:rPr>
      </w:pPr>
      <w:bookmarkStart w:id="17" w:name="_Toc30989"/>
      <w:r>
        <w:rPr>
          <w:rFonts w:hint="eastAsia" w:ascii="楷体_GB2312" w:hAnsi="楷体_GB2312" w:eastAsia="楷体_GB2312" w:cs="楷体_GB2312"/>
          <w:color w:val="auto"/>
          <w:highlight w:val="none"/>
        </w:rPr>
        <w:t>第三节</w:t>
      </w:r>
      <w:r>
        <w:rPr>
          <w:rFonts w:hint="eastAsia" w:ascii="楷体_GB2312" w:hAnsi="楷体_GB2312" w:eastAsia="楷体_GB2312" w:cs="楷体_GB2312"/>
          <w:color w:val="auto"/>
          <w:highlight w:val="none"/>
        </w:rPr>
        <w:tab/>
      </w:r>
      <w:r>
        <w:rPr>
          <w:rFonts w:hint="eastAsia" w:ascii="楷体_GB2312" w:hAnsi="楷体_GB2312" w:eastAsia="楷体_GB2312" w:cs="楷体_GB2312"/>
          <w:color w:val="auto"/>
          <w:highlight w:val="none"/>
        </w:rPr>
        <w:t>支持创业带动就业多渠道灵活就业</w:t>
      </w:r>
      <w:bookmarkEnd w:id="17"/>
    </w:p>
    <w:p w14:paraId="5CE39FEF">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596" w:firstLineChars="200"/>
        <w:jc w:val="both"/>
        <w:textAlignment w:val="auto"/>
        <w:rPr>
          <w:color w:val="auto"/>
          <w:spacing w:val="-11"/>
          <w:highlight w:val="none"/>
        </w:rPr>
      </w:pPr>
      <w:r>
        <w:rPr>
          <w:color w:val="auto"/>
          <w:spacing w:val="-11"/>
          <w:highlight w:val="none"/>
        </w:rPr>
        <w:t>鼓励创业带动就业。深入实施“大众创业、万众创新”，完善普惠性创业扶持政策，强化公共创业服务功能。大力实施创业担保贷款贴息政策，优化小微企业创业担保贷款申请条件，鼓励引导金融机构提高小微企业不良贷款容度。引导创业者积极参加广东省“众创杯”创业创新大赛、初创企业经营者能力提升培训等各类创业活动</w:t>
      </w:r>
      <w:r>
        <w:rPr>
          <w:rFonts w:hint="eastAsia"/>
          <w:color w:val="auto"/>
          <w:spacing w:val="-11"/>
          <w:highlight w:val="none"/>
          <w:lang w:eastAsia="zh-CN"/>
        </w:rPr>
        <w:t>培</w:t>
      </w:r>
      <w:r>
        <w:rPr>
          <w:color w:val="auto"/>
          <w:spacing w:val="-11"/>
          <w:highlight w:val="none"/>
        </w:rPr>
        <w:t>育灵活就业增长点。进一步优化营商环境，积极拓宽投融资渠道，对新产业新业态实施包容审慎监管。壮大新动能培育新就业增长点，扩大灵活就业、新就业形态空间，支持和规范新就业形态发展。持续推动多渠道灵活就业，鼓励个体经营，增加非全日制就业机会。强化对灵活就业人员就业服务，推进新就业形态技能提升，加快完善相关劳动保障制度。</w:t>
      </w:r>
    </w:p>
    <w:p w14:paraId="7F2E2B61">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firstLine="320" w:firstLineChars="100"/>
        <w:jc w:val="center"/>
        <w:textAlignment w:val="auto"/>
        <w:outlineLvl w:val="1"/>
        <w:rPr>
          <w:rFonts w:hint="eastAsia" w:ascii="楷体_GB2312" w:hAnsi="楷体_GB2312" w:eastAsia="楷体_GB2312" w:cs="楷体_GB2312"/>
          <w:color w:val="auto"/>
          <w:highlight w:val="none"/>
        </w:rPr>
      </w:pPr>
      <w:bookmarkStart w:id="18" w:name="_Toc14029"/>
      <w:r>
        <w:rPr>
          <w:rFonts w:hint="eastAsia" w:ascii="楷体_GB2312" w:hAnsi="楷体_GB2312" w:eastAsia="楷体_GB2312" w:cs="楷体_GB2312"/>
          <w:color w:val="auto"/>
          <w:w w:val="100"/>
          <w:highlight w:val="none"/>
        </w:rPr>
        <w:t>第</w:t>
      </w:r>
      <w:r>
        <w:rPr>
          <w:rFonts w:hint="eastAsia" w:ascii="楷体_GB2312" w:hAnsi="楷体_GB2312" w:eastAsia="楷体_GB2312" w:cs="楷体_GB2312"/>
          <w:color w:val="auto"/>
          <w:spacing w:val="0"/>
          <w:w w:val="100"/>
          <w:highlight w:val="none"/>
        </w:rPr>
        <w:t>四</w:t>
      </w:r>
      <w:r>
        <w:rPr>
          <w:rFonts w:hint="eastAsia" w:ascii="楷体_GB2312" w:hAnsi="楷体_GB2312" w:eastAsia="楷体_GB2312" w:cs="楷体_GB2312"/>
          <w:color w:val="auto"/>
          <w:w w:val="100"/>
          <w:highlight w:val="none"/>
        </w:rPr>
        <w:t>节</w:t>
      </w:r>
      <w:r>
        <w:rPr>
          <w:rFonts w:hint="eastAsia" w:ascii="楷体_GB2312" w:hAnsi="楷体_GB2312" w:eastAsia="楷体_GB2312" w:cs="楷体_GB2312"/>
          <w:color w:val="auto"/>
          <w:w w:val="100"/>
          <w:highlight w:val="none"/>
          <w:lang w:val="en-US" w:eastAsia="zh-CN"/>
        </w:rPr>
        <w:t xml:space="preserve">  </w:t>
      </w:r>
      <w:r>
        <w:rPr>
          <w:rFonts w:hint="eastAsia" w:ascii="楷体_GB2312" w:hAnsi="楷体_GB2312" w:eastAsia="楷体_GB2312" w:cs="楷体_GB2312"/>
          <w:color w:val="auto"/>
          <w:w w:val="100"/>
          <w:highlight w:val="none"/>
        </w:rPr>
        <w:t>推</w:t>
      </w:r>
      <w:r>
        <w:rPr>
          <w:rFonts w:hint="eastAsia" w:ascii="楷体_GB2312" w:hAnsi="楷体_GB2312" w:eastAsia="楷体_GB2312" w:cs="楷体_GB2312"/>
          <w:color w:val="auto"/>
          <w:spacing w:val="0"/>
          <w:w w:val="100"/>
          <w:highlight w:val="none"/>
        </w:rPr>
        <w:t>进</w:t>
      </w:r>
      <w:r>
        <w:rPr>
          <w:rFonts w:hint="eastAsia" w:ascii="楷体_GB2312" w:hAnsi="楷体_GB2312" w:eastAsia="楷体_GB2312" w:cs="楷体_GB2312"/>
          <w:color w:val="auto"/>
          <w:w w:val="100"/>
          <w:highlight w:val="none"/>
        </w:rPr>
        <w:t>“粤</w:t>
      </w:r>
      <w:r>
        <w:rPr>
          <w:rFonts w:hint="eastAsia" w:ascii="楷体_GB2312" w:hAnsi="楷体_GB2312" w:eastAsia="楷体_GB2312" w:cs="楷体_GB2312"/>
          <w:color w:val="auto"/>
          <w:spacing w:val="0"/>
          <w:w w:val="100"/>
          <w:highlight w:val="none"/>
        </w:rPr>
        <w:t>菜</w:t>
      </w:r>
      <w:r>
        <w:rPr>
          <w:rFonts w:hint="eastAsia" w:ascii="楷体_GB2312" w:hAnsi="楷体_GB2312" w:eastAsia="楷体_GB2312" w:cs="楷体_GB2312"/>
          <w:color w:val="auto"/>
          <w:w w:val="100"/>
          <w:highlight w:val="none"/>
        </w:rPr>
        <w:t>师傅</w:t>
      </w:r>
      <w:r>
        <w:rPr>
          <w:rFonts w:hint="eastAsia" w:ascii="楷体_GB2312" w:hAnsi="楷体_GB2312" w:eastAsia="楷体_GB2312" w:cs="楷体_GB2312"/>
          <w:color w:val="auto"/>
          <w:spacing w:val="0"/>
          <w:w w:val="100"/>
          <w:highlight w:val="none"/>
        </w:rPr>
        <w:t>”</w:t>
      </w:r>
      <w:r>
        <w:rPr>
          <w:rFonts w:hint="eastAsia" w:ascii="楷体_GB2312" w:hAnsi="楷体_GB2312" w:eastAsia="楷体_GB2312" w:cs="楷体_GB2312"/>
          <w:color w:val="auto"/>
          <w:w w:val="100"/>
          <w:highlight w:val="none"/>
        </w:rPr>
        <w:t>“广</w:t>
      </w:r>
      <w:r>
        <w:rPr>
          <w:rFonts w:hint="eastAsia" w:ascii="楷体_GB2312" w:hAnsi="楷体_GB2312" w:eastAsia="楷体_GB2312" w:cs="楷体_GB2312"/>
          <w:color w:val="auto"/>
          <w:spacing w:val="0"/>
          <w:w w:val="100"/>
          <w:highlight w:val="none"/>
        </w:rPr>
        <w:t>东</w:t>
      </w:r>
      <w:r>
        <w:rPr>
          <w:rFonts w:hint="eastAsia" w:ascii="楷体_GB2312" w:hAnsi="楷体_GB2312" w:eastAsia="楷体_GB2312" w:cs="楷体_GB2312"/>
          <w:color w:val="auto"/>
          <w:w w:val="100"/>
          <w:highlight w:val="none"/>
        </w:rPr>
        <w:t>技</w:t>
      </w:r>
      <w:r>
        <w:rPr>
          <w:rFonts w:hint="eastAsia" w:ascii="楷体_GB2312" w:hAnsi="楷体_GB2312" w:eastAsia="楷体_GB2312" w:cs="楷体_GB2312"/>
          <w:color w:val="auto"/>
          <w:spacing w:val="0"/>
          <w:w w:val="100"/>
          <w:highlight w:val="none"/>
        </w:rPr>
        <w:t>工”“</w:t>
      </w:r>
      <w:r>
        <w:rPr>
          <w:rFonts w:hint="eastAsia" w:ascii="楷体_GB2312" w:hAnsi="楷体_GB2312" w:eastAsia="楷体_GB2312" w:cs="楷体_GB2312"/>
          <w:color w:val="auto"/>
          <w:w w:val="100"/>
          <w:highlight w:val="none"/>
        </w:rPr>
        <w:t>南</w:t>
      </w:r>
      <w:r>
        <w:rPr>
          <w:rFonts w:hint="eastAsia" w:ascii="楷体_GB2312" w:hAnsi="楷体_GB2312" w:eastAsia="楷体_GB2312" w:cs="楷体_GB2312"/>
          <w:color w:val="auto"/>
          <w:spacing w:val="0"/>
          <w:w w:val="100"/>
          <w:highlight w:val="none"/>
        </w:rPr>
        <w:t>粤</w:t>
      </w:r>
      <w:r>
        <w:rPr>
          <w:rFonts w:hint="eastAsia" w:ascii="楷体_GB2312" w:hAnsi="楷体_GB2312" w:eastAsia="楷体_GB2312" w:cs="楷体_GB2312"/>
          <w:color w:val="auto"/>
          <w:w w:val="100"/>
          <w:highlight w:val="none"/>
        </w:rPr>
        <w:t>家政”三</w:t>
      </w:r>
      <w:r>
        <w:rPr>
          <w:rFonts w:hint="eastAsia" w:ascii="楷体_GB2312" w:hAnsi="楷体_GB2312" w:eastAsia="楷体_GB2312" w:cs="楷体_GB2312"/>
          <w:color w:val="auto"/>
          <w:spacing w:val="0"/>
          <w:w w:val="100"/>
          <w:highlight w:val="none"/>
        </w:rPr>
        <w:t>项</w:t>
      </w:r>
      <w:r>
        <w:rPr>
          <w:rFonts w:hint="eastAsia" w:ascii="楷体_GB2312" w:hAnsi="楷体_GB2312" w:eastAsia="楷体_GB2312" w:cs="楷体_GB2312"/>
          <w:color w:val="auto"/>
          <w:w w:val="100"/>
          <w:highlight w:val="none"/>
        </w:rPr>
        <w:t>工程</w:t>
      </w:r>
      <w:bookmarkEnd w:id="18"/>
    </w:p>
    <w:p w14:paraId="059F6133">
      <w:pPr>
        <w:pStyle w:val="6"/>
        <w:keepNext w:val="0"/>
        <w:keepLines w:val="0"/>
        <w:pageBreakBefore w:val="0"/>
        <w:widowControl w:val="0"/>
        <w:kinsoku/>
        <w:wordWrap/>
        <w:overflowPunct/>
        <w:topLinePunct w:val="0"/>
        <w:autoSpaceDE/>
        <w:autoSpaceDN/>
        <w:bidi w:val="0"/>
        <w:adjustRightInd/>
        <w:snapToGrid/>
        <w:spacing w:before="0" w:line="560" w:lineRule="exact"/>
        <w:ind w:right="0" w:firstLine="640" w:firstLineChars="200"/>
        <w:jc w:val="both"/>
        <w:textAlignment w:val="auto"/>
        <w:rPr>
          <w:rFonts w:ascii="仿宋_GB2312" w:hAnsi="宋体" w:eastAsia="仿宋_GB2312" w:cs="宋体"/>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深入实施“粤菜师傅”工程。推进完善“粤菜师傅”培养体系，加强专业建设和规范管理，建成一支厨艺精湛、素质优良、结构合理的“粤菜师傅”人才队伍。加快完善职业技能等级认定、专项职业能力考核等多元化评价方式。以“韶关美食武江特色”为主旨，大力开展武江区“粤菜师傅”技能竞赛。配合市总体规划，荐员参与技能竞赛和名厨名店名菜等特色主题活动。深挖武江粤菜特色，积极打造具有本地特色的“韶州客家菜”品牌，不断把“粤菜师傅”工程引向深入，把“粤菜师傅”工程打造成为具有武江特色、优势独特的民生工程、产业工程和民心工程。到 2025 年，全区开展“粤菜师傅”培训500人次以上。</w:t>
      </w:r>
    </w:p>
    <w:p w14:paraId="2A442A7D">
      <w:pPr>
        <w:pStyle w:val="6"/>
        <w:keepNext w:val="0"/>
        <w:keepLines w:val="0"/>
        <w:pageBreakBefore w:val="0"/>
        <w:widowControl w:val="0"/>
        <w:kinsoku/>
        <w:wordWrap/>
        <w:overflowPunct/>
        <w:topLinePunct w:val="0"/>
        <w:autoSpaceDE/>
        <w:autoSpaceDN/>
        <w:bidi w:val="0"/>
        <w:adjustRightInd/>
        <w:snapToGrid/>
        <w:spacing w:before="0" w:line="560" w:lineRule="exact"/>
        <w:ind w:right="0" w:firstLine="640" w:firstLineChars="200"/>
        <w:jc w:val="both"/>
        <w:textAlignment w:val="auto"/>
        <w:rPr>
          <w:rFonts w:hint="eastAsia" w:ascii="仿宋_GB2312" w:hAnsi="宋体" w:eastAsia="仿宋_GB2312" w:cs="宋体"/>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大力推进“广东技工”工程。强化现代产业高质量发展技能人才支撑，推动职业技术教育与产业发展深度融合，进一步激发企业活力和增强企业实力。由企业院校探索和采取探索产教融合、校企合作，“工学结合”技能人才培养新模式。加大企业新型学徒制推进力度，强化企业一线技术工作者的</w:t>
      </w:r>
      <w:r>
        <w:rPr>
          <w:rFonts w:hint="eastAsia" w:cs="仿宋_GB2312"/>
          <w:b w:val="0"/>
          <w:bCs w:val="0"/>
          <w:color w:val="auto"/>
          <w:kern w:val="2"/>
          <w:sz w:val="32"/>
          <w:szCs w:val="32"/>
          <w:highlight w:val="none"/>
          <w:lang w:val="en-US" w:eastAsia="zh-CN" w:bidi="ar-SA"/>
        </w:rPr>
        <w:t>理论知识学习和</w:t>
      </w:r>
      <w:r>
        <w:rPr>
          <w:rFonts w:hint="eastAsia" w:ascii="仿宋_GB2312" w:hAnsi="仿宋_GB2312" w:eastAsia="仿宋_GB2312" w:cs="仿宋_GB2312"/>
          <w:b w:val="0"/>
          <w:bCs w:val="0"/>
          <w:color w:val="auto"/>
          <w:kern w:val="2"/>
          <w:sz w:val="32"/>
          <w:szCs w:val="32"/>
          <w:highlight w:val="none"/>
          <w:lang w:val="en-US" w:eastAsia="zh-CN" w:bidi="ar-SA"/>
        </w:rPr>
        <w:t>基本功实操训练，打造武江独有的企业新型学徒制培训特色品牌。持续推进技能等级认定机构备案工作，深入企业，加强宣传与合作，持续推进辖区内符合条件的机构企业开展技能等级认定机构备案工作，推进企业员工技能水平提升。整合利用现有高层次技能人才培训师资和培训基地资源，高效培养技艺精湛、梯次合理、接替有序的新时代技能人才队伍，着力扩大本地技能人才有效供给。大规模开展职业技能提升培训，鼓励企业、行业、院校大力开展各级各类技能竞赛活动，</w:t>
      </w:r>
      <w:r>
        <w:rPr>
          <w:rFonts w:hint="eastAsia" w:cs="仿宋_GB2312"/>
          <w:b w:val="0"/>
          <w:bCs w:val="0"/>
          <w:color w:val="auto"/>
          <w:kern w:val="2"/>
          <w:sz w:val="32"/>
          <w:szCs w:val="32"/>
          <w:highlight w:val="none"/>
          <w:lang w:val="en-US" w:eastAsia="zh-CN" w:bidi="ar-SA"/>
        </w:rPr>
        <w:t>在加强职业培训的同时</w:t>
      </w:r>
      <w:r>
        <w:rPr>
          <w:rFonts w:hint="eastAsia" w:ascii="仿宋_GB2312" w:hAnsi="仿宋_GB2312" w:eastAsia="仿宋_GB2312" w:cs="仿宋_GB2312"/>
          <w:b w:val="0"/>
          <w:bCs w:val="0"/>
          <w:color w:val="auto"/>
          <w:kern w:val="2"/>
          <w:sz w:val="32"/>
          <w:szCs w:val="32"/>
          <w:highlight w:val="none"/>
          <w:lang w:val="en-US" w:eastAsia="zh-CN" w:bidi="ar-SA"/>
        </w:rPr>
        <w:t>充分发挥职业技能竞赛在促进人才培养、激发人才创新创造活力的重要作用，引领“广东技工”人才培养。</w:t>
      </w:r>
    </w:p>
    <w:p w14:paraId="4F766345">
      <w:pPr>
        <w:keepNext w:val="0"/>
        <w:keepLines w:val="0"/>
        <w:pageBreakBefore w:val="0"/>
        <w:widowControl w:val="0"/>
        <w:kinsoku/>
        <w:wordWrap/>
        <w:overflowPunct/>
        <w:topLinePunct w:val="0"/>
        <w:autoSpaceDE/>
        <w:autoSpaceDN/>
        <w:bidi w:val="0"/>
        <w:adjustRightInd/>
        <w:snapToGrid/>
        <w:spacing w:before="0" w:line="560" w:lineRule="exact"/>
        <w:ind w:right="0" w:firstLine="640" w:firstLineChars="200"/>
        <w:jc w:val="both"/>
        <w:textAlignment w:val="auto"/>
        <w:rPr>
          <w:rFonts w:ascii="仿宋_GB2312" w:eastAsia="仿宋_GB2312" w:cs="宋体"/>
          <w:color w:val="auto"/>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优化提升“南粤家政”工程。大力实施母婴服务、居家服务、养老服务、医护服务四大项目，积极组织培训机构开展家政职业技能培训，拓宽家政从业人员就业创业渠道，提高从业技能水平。不断提升培训质量，推动武江区家政行业向着系统化、职业化、标准化、规范化、专业化方向发展，扩大武江区家政人才有效供给。到 2025年，全区开展“南粤家政”培训2300人次以上。进一步增强武江区家政从业人员职业荣誉感和社会认同感，营造共同支持家政服务业健康发展的良好氛围。</w:t>
      </w:r>
    </w:p>
    <w:p w14:paraId="774BEC0A">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黑体" w:eastAsia="黑体"/>
          <w:color w:val="auto"/>
          <w:highlight w:val="none"/>
        </w:rPr>
      </w:pPr>
      <w:bookmarkStart w:id="19" w:name="_Toc23054"/>
      <w:r>
        <w:rPr>
          <w:rFonts w:hint="eastAsia" w:ascii="楷体_GB2312" w:hAnsi="楷体_GB2312" w:eastAsia="楷体_GB2312" w:cs="楷体_GB2312"/>
          <w:color w:val="auto"/>
          <w:highlight w:val="none"/>
        </w:rPr>
        <w:t>第五节</w:t>
      </w:r>
      <w:r>
        <w:rPr>
          <w:rFonts w:hint="eastAsia" w:ascii="楷体_GB2312" w:hAnsi="楷体_GB2312" w:eastAsia="楷体_GB2312" w:cs="楷体_GB2312"/>
          <w:color w:val="auto"/>
          <w:highlight w:val="none"/>
        </w:rPr>
        <w:tab/>
      </w:r>
      <w:r>
        <w:rPr>
          <w:rFonts w:hint="eastAsia" w:ascii="楷体_GB2312" w:hAnsi="楷体_GB2312" w:eastAsia="楷体_GB2312" w:cs="楷体_GB2312"/>
          <w:color w:val="auto"/>
          <w:highlight w:val="none"/>
        </w:rPr>
        <w:t>强化企业用工保障</w:t>
      </w:r>
      <w:bookmarkEnd w:id="19"/>
    </w:p>
    <w:p w14:paraId="5022E851">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9"/>
          <w:highlight w:val="none"/>
        </w:rPr>
        <w:t>搭建人力资源供需对接平台。建立落实</w:t>
      </w:r>
      <w:r>
        <w:rPr>
          <w:rFonts w:hint="eastAsia"/>
          <w:strike w:val="0"/>
          <w:dstrike w:val="0"/>
          <w:color w:val="auto"/>
          <w:spacing w:val="-9"/>
          <w:highlight w:val="none"/>
          <w:lang w:val="en-US" w:eastAsia="zh-CN"/>
        </w:rPr>
        <w:t>区</w:t>
      </w:r>
      <w:r>
        <w:rPr>
          <w:color w:val="auto"/>
          <w:spacing w:val="-9"/>
          <w:highlight w:val="none"/>
        </w:rPr>
        <w:t>级企业用工服务机</w:t>
      </w:r>
      <w:r>
        <w:rPr>
          <w:color w:val="auto"/>
          <w:spacing w:val="-12"/>
          <w:highlight w:val="none"/>
        </w:rPr>
        <w:t>制、企业走访沟通机制，及时了解企业用工诉求，针对重点企业</w:t>
      </w:r>
      <w:r>
        <w:rPr>
          <w:color w:val="auto"/>
          <w:spacing w:val="-16"/>
          <w:highlight w:val="none"/>
        </w:rPr>
        <w:t>实施就业服务专员跟踪服务，建立企业动态用工台账。充分发挥</w:t>
      </w:r>
      <w:r>
        <w:rPr>
          <w:color w:val="auto"/>
          <w:spacing w:val="-7"/>
          <w:w w:val="99"/>
          <w:highlight w:val="none"/>
        </w:rPr>
        <w:t>“互联网+就业”，</w:t>
      </w:r>
      <w:r>
        <w:rPr>
          <w:color w:val="auto"/>
          <w:spacing w:val="-20"/>
          <w:w w:val="99"/>
          <w:highlight w:val="none"/>
        </w:rPr>
        <w:t>建立就业供</w:t>
      </w:r>
      <w:r>
        <w:rPr>
          <w:color w:val="auto"/>
          <w:spacing w:val="-18"/>
          <w:highlight w:val="none"/>
        </w:rPr>
        <w:t>需对接信息化平台，便捷企业与求职者供需对接。针对企业用人</w:t>
      </w:r>
      <w:r>
        <w:rPr>
          <w:color w:val="auto"/>
          <w:spacing w:val="-21"/>
          <w:highlight w:val="none"/>
        </w:rPr>
        <w:t>需求定期组织开展各类线上线下招聘活动。搭建“校企合作”平</w:t>
      </w:r>
      <w:r>
        <w:rPr>
          <w:color w:val="auto"/>
          <w:spacing w:val="-13"/>
          <w:highlight w:val="none"/>
        </w:rPr>
        <w:t>台，适时组织有技工需求的企业进校园开展企业文化宣讲和供需见面会，为企业和广大劳动者搭建全方位、多形式招用工平台，帮助企业缓解用工问题。</w:t>
      </w:r>
    </w:p>
    <w:p w14:paraId="6FA9E695">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9"/>
          <w:highlight w:val="none"/>
        </w:rPr>
        <w:t>建立多渠道招聘信息推送平台。利用现有互联网招聘信息推</w:t>
      </w:r>
      <w:r>
        <w:rPr>
          <w:color w:val="auto"/>
          <w:spacing w:val="-13"/>
          <w:highlight w:val="none"/>
        </w:rPr>
        <w:t>送平台和短信推送等宣传方式，持续为企业宣传招聘</w:t>
      </w:r>
      <w:r>
        <w:rPr>
          <w:color w:val="auto"/>
          <w:spacing w:val="-12"/>
          <w:highlight w:val="none"/>
        </w:rPr>
        <w:t>信息。进一步拓宽企业招聘信息发布渠道，实现人岗有效对接。</w:t>
      </w:r>
    </w:p>
    <w:p w14:paraId="7807E638">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highlight w:val="none"/>
        </w:rPr>
      </w:pPr>
      <w:bookmarkStart w:id="20" w:name="_Toc28602"/>
      <w:r>
        <w:rPr>
          <w:rFonts w:hint="eastAsia" w:ascii="楷体_GB2312" w:hAnsi="楷体_GB2312" w:eastAsia="楷体_GB2312" w:cs="楷体_GB2312"/>
          <w:color w:val="auto"/>
          <w:highlight w:val="none"/>
        </w:rPr>
        <w:t>第六节</w:t>
      </w:r>
      <w:r>
        <w:rPr>
          <w:rFonts w:hint="eastAsia" w:ascii="楷体_GB2312" w:hAnsi="楷体_GB2312" w:eastAsia="楷体_GB2312" w:cs="楷体_GB2312"/>
          <w:color w:val="auto"/>
          <w:highlight w:val="none"/>
        </w:rPr>
        <w:tab/>
      </w:r>
      <w:r>
        <w:rPr>
          <w:rFonts w:hint="eastAsia" w:ascii="楷体_GB2312" w:hAnsi="楷体_GB2312" w:eastAsia="楷体_GB2312" w:cs="楷体_GB2312"/>
          <w:color w:val="auto"/>
          <w:highlight w:val="none"/>
        </w:rPr>
        <w:t>推进全方位公共就业服务</w:t>
      </w:r>
      <w:bookmarkEnd w:id="20"/>
    </w:p>
    <w:p w14:paraId="2985D49C">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9"/>
          <w:highlight w:val="none"/>
        </w:rPr>
        <w:t>健全完善服务机制。加快构建覆盖全民、贯穿全程、辐射全</w:t>
      </w:r>
      <w:r>
        <w:rPr>
          <w:color w:val="auto"/>
          <w:spacing w:val="-12"/>
          <w:highlight w:val="none"/>
        </w:rPr>
        <w:t>域、便捷高效的全方位公共就业服务体系，推动理顺公共就业服</w:t>
      </w:r>
      <w:r>
        <w:rPr>
          <w:color w:val="auto"/>
          <w:spacing w:val="-15"/>
          <w:w w:val="95"/>
          <w:highlight w:val="none"/>
        </w:rPr>
        <w:t>务运行管理机制，规范完善</w:t>
      </w:r>
      <w:r>
        <w:rPr>
          <w:rFonts w:hint="eastAsia"/>
          <w:strike w:val="0"/>
          <w:dstrike w:val="0"/>
          <w:color w:val="auto"/>
          <w:spacing w:val="-15"/>
          <w:w w:val="95"/>
          <w:highlight w:val="none"/>
          <w:lang w:val="en-US" w:eastAsia="zh-CN"/>
        </w:rPr>
        <w:t>区</w:t>
      </w:r>
      <w:r>
        <w:rPr>
          <w:color w:val="auto"/>
          <w:spacing w:val="-15"/>
          <w:w w:val="95"/>
          <w:highlight w:val="none"/>
        </w:rPr>
        <w:t>、镇、村</w:t>
      </w:r>
      <w:r>
        <w:rPr>
          <w:rFonts w:hint="eastAsia"/>
          <w:strike w:val="0"/>
          <w:dstrike w:val="0"/>
          <w:color w:val="auto"/>
          <w:spacing w:val="-15"/>
          <w:w w:val="95"/>
          <w:highlight w:val="none"/>
          <w:u w:val="none"/>
          <w:lang w:val="en-US" w:eastAsia="zh-CN"/>
        </w:rPr>
        <w:t>三</w:t>
      </w:r>
      <w:r>
        <w:rPr>
          <w:color w:val="auto"/>
          <w:spacing w:val="-15"/>
          <w:w w:val="95"/>
          <w:highlight w:val="none"/>
        </w:rPr>
        <w:t>级公共就业服务机</w:t>
      </w:r>
      <w:r>
        <w:rPr>
          <w:color w:val="auto"/>
          <w:spacing w:val="-14"/>
          <w:highlight w:val="none"/>
        </w:rPr>
        <w:t>构职能，充实基层力量。加强就业失业统计监测，推进统计监测</w:t>
      </w:r>
      <w:r>
        <w:rPr>
          <w:color w:val="auto"/>
          <w:spacing w:val="-13"/>
          <w:highlight w:val="none"/>
        </w:rPr>
        <w:t>数据分析，提升就业形势分析研判水平。</w:t>
      </w:r>
      <w:r>
        <w:rPr>
          <w:color w:val="auto"/>
          <w:spacing w:val="-9"/>
          <w:highlight w:val="none"/>
        </w:rPr>
        <w:t>优化提升服务质量。创新优化服务内容、服务手段、服务方式，推行“申请人书面承诺+工作人员核查”服务模式。加强标</w:t>
      </w:r>
      <w:r>
        <w:rPr>
          <w:color w:val="auto"/>
          <w:spacing w:val="-13"/>
          <w:highlight w:val="none"/>
        </w:rPr>
        <w:t>准化建设，统一核心业务流程和规范，制定完善公共就业服务事</w:t>
      </w:r>
      <w:r>
        <w:rPr>
          <w:color w:val="auto"/>
          <w:spacing w:val="6"/>
          <w:w w:val="95"/>
          <w:highlight w:val="none"/>
        </w:rPr>
        <w:t>项清单和办事指南。推动线上线下服务深度融合，推行“打包</w:t>
      </w:r>
      <w:r>
        <w:rPr>
          <w:color w:val="auto"/>
          <w:spacing w:val="6"/>
          <w:highlight w:val="none"/>
        </w:rPr>
        <w:t>办”“一网办”“一站办”等便捷服务方式。</w:t>
      </w:r>
    </w:p>
    <w:p w14:paraId="3C807AB2">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spacing w:val="-10"/>
          <w:highlight w:val="none"/>
        </w:rPr>
        <w:t>强化基础能力支撑。实施公共就业服务能力提升行动，加强</w:t>
      </w:r>
      <w:r>
        <w:rPr>
          <w:color w:val="auto"/>
          <w:spacing w:val="-15"/>
          <w:highlight w:val="none"/>
        </w:rPr>
        <w:t>就业服务资源整合和统筹调度力度，充分调动各方积极性，构建基础扎实、素质过硬、社会共同参与的支撑体系。</w:t>
      </w:r>
      <w:r>
        <w:rPr>
          <w:color w:val="auto"/>
          <w:spacing w:val="-14"/>
          <w:highlight w:val="none"/>
        </w:rPr>
        <w:t>鼓励社会力量参与就业服务，推进公共就业服务机构与社会民营机构合作。</w:t>
      </w:r>
    </w:p>
    <w:p w14:paraId="73BD9D40">
      <w:pPr>
        <w:pStyle w:val="4"/>
        <w:keepNext w:val="0"/>
        <w:keepLines w:val="0"/>
        <w:pageBreakBefore w:val="0"/>
        <w:widowControl w:val="0"/>
        <w:tabs>
          <w:tab w:val="left" w:pos="2467"/>
        </w:tabs>
        <w:kinsoku/>
        <w:wordWrap/>
        <w:overflowPunct/>
        <w:topLinePunct w:val="0"/>
        <w:autoSpaceDE w:val="0"/>
        <w:autoSpaceDN w:val="0"/>
        <w:bidi w:val="0"/>
        <w:adjustRightInd/>
        <w:snapToGrid/>
        <w:spacing w:before="0" w:line="560" w:lineRule="exact"/>
        <w:ind w:left="0" w:leftChars="0" w:right="0"/>
        <w:jc w:val="center"/>
        <w:textAlignment w:val="auto"/>
        <w:outlineLvl w:val="0"/>
        <w:rPr>
          <w:color w:val="auto"/>
          <w:highlight w:val="none"/>
        </w:rPr>
      </w:pPr>
      <w:bookmarkStart w:id="21" w:name="_Toc12700"/>
      <w:r>
        <w:rPr>
          <w:rFonts w:hint="eastAsia" w:ascii="黑体" w:hAnsi="黑体" w:eastAsia="黑体" w:cs="黑体"/>
          <w:color w:val="auto"/>
          <w:highlight w:val="none"/>
        </w:rPr>
        <w:t>第五章</w:t>
      </w:r>
      <w:r>
        <w:rPr>
          <w:rFonts w:hint="eastAsia" w:ascii="黑体" w:hAnsi="黑体" w:eastAsia="黑体" w:cs="黑体"/>
          <w:color w:val="auto"/>
          <w:highlight w:val="none"/>
          <w:lang w:val="en-US" w:eastAsia="zh-CN"/>
        </w:rPr>
        <w:t xml:space="preserve">  </w:t>
      </w:r>
      <w:r>
        <w:rPr>
          <w:rFonts w:hint="eastAsia" w:ascii="黑体" w:hAnsi="黑体" w:eastAsia="黑体" w:cs="黑体"/>
          <w:color w:val="auto"/>
          <w:highlight w:val="none"/>
        </w:rPr>
        <w:t>建设全覆盖可持续的多层次社会保障体系</w:t>
      </w:r>
      <w:bookmarkEnd w:id="21"/>
    </w:p>
    <w:p w14:paraId="022C3438">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2"/>
          <w:highlight w:val="none"/>
        </w:rPr>
      </w:pPr>
      <w:r>
        <w:rPr>
          <w:rFonts w:hint="eastAsia"/>
          <w:color w:val="auto"/>
          <w:spacing w:val="-12"/>
          <w:highlight w:val="none"/>
        </w:rPr>
        <w:t>建立覆盖全民、城乡统筹、公平统一、可持续的多层次社会保障体系。巩固扩大社会保险扩面征缴成果，落实养老、工伤、失业保险相关政策。形成社会保障全民共有共享共建共谋发展的局面。</w:t>
      </w:r>
    </w:p>
    <w:p w14:paraId="11C1CA34">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center"/>
        <w:textAlignment w:val="auto"/>
        <w:outlineLvl w:val="1"/>
        <w:rPr>
          <w:rFonts w:ascii="黑体" w:hAnsi="黑体" w:eastAsia="黑体"/>
          <w:color w:val="auto"/>
          <w:sz w:val="32"/>
          <w:szCs w:val="32"/>
          <w:highlight w:val="none"/>
        </w:rPr>
      </w:pPr>
      <w:bookmarkStart w:id="22" w:name="_Toc8120"/>
      <w:r>
        <w:rPr>
          <w:rFonts w:hint="eastAsia" w:ascii="楷体_GB2312" w:hAnsi="楷体_GB2312" w:eastAsia="楷体_GB2312" w:cs="楷体_GB2312"/>
          <w:color w:val="auto"/>
          <w:sz w:val="32"/>
          <w:szCs w:val="32"/>
          <w:highlight w:val="none"/>
        </w:rPr>
        <w:t>第一节</w:t>
      </w:r>
      <w:r>
        <w:rPr>
          <w:rFonts w:hint="eastAsia" w:ascii="楷体_GB2312" w:hAnsi="楷体_GB2312" w:eastAsia="楷体_GB2312" w:cs="楷体_GB2312"/>
          <w:color w:val="auto"/>
          <w:sz w:val="32"/>
          <w:szCs w:val="32"/>
          <w:highlight w:val="none"/>
          <w:lang w:val="zh-CN" w:eastAsia="zh-CN"/>
        </w:rPr>
        <w:t xml:space="preserve">  </w:t>
      </w:r>
      <w:r>
        <w:rPr>
          <w:rFonts w:hint="eastAsia" w:ascii="楷体_GB2312" w:hAnsi="楷体_GB2312" w:eastAsia="楷体_GB2312" w:cs="楷体_GB2312"/>
          <w:color w:val="auto"/>
          <w:sz w:val="32"/>
          <w:szCs w:val="32"/>
          <w:highlight w:val="none"/>
        </w:rPr>
        <w:t>推进全民参保计划全面实施</w:t>
      </w:r>
      <w:bookmarkEnd w:id="22"/>
    </w:p>
    <w:p w14:paraId="6B1AC25B">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eastAsia" w:ascii="仿宋_GB2312" w:hAnsi="仿宋_GB2312" w:eastAsia="仿宋_GB2312" w:cs="仿宋_GB2312"/>
          <w:color w:val="auto"/>
          <w:spacing w:val="-13"/>
          <w:sz w:val="32"/>
          <w:szCs w:val="32"/>
          <w:highlight w:val="none"/>
          <w:lang w:val="zh-CN" w:eastAsia="zh-CN" w:bidi="zh-CN"/>
        </w:rPr>
      </w:pPr>
      <w:r>
        <w:rPr>
          <w:rFonts w:hint="eastAsia" w:ascii="仿宋_GB2312" w:hAnsi="仿宋_GB2312" w:eastAsia="仿宋_GB2312" w:cs="仿宋_GB2312"/>
          <w:color w:val="auto"/>
          <w:spacing w:val="-14"/>
          <w:sz w:val="32"/>
          <w:szCs w:val="32"/>
          <w:highlight w:val="none"/>
          <w:lang w:val="zh-CN" w:eastAsia="zh-CN" w:bidi="zh-CN"/>
        </w:rPr>
        <w:t>全面实施全民参保计划。加强扩面征缴工作，强化政策引导，进一步促进养老保险、失业保险、工伤保险由制度全覆盖到法定人群全覆盖。</w:t>
      </w:r>
    </w:p>
    <w:p w14:paraId="08995BC5">
      <w:pPr>
        <w:pStyle w:val="6"/>
        <w:keepNext w:val="0"/>
        <w:keepLines w:val="0"/>
        <w:pageBreakBefore w:val="0"/>
        <w:widowControl w:val="0"/>
        <w:tabs>
          <w:tab w:val="left" w:pos="1281"/>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highlight w:val="none"/>
        </w:rPr>
      </w:pPr>
      <w:bookmarkStart w:id="23" w:name="_Toc17612"/>
      <w:r>
        <w:rPr>
          <w:rFonts w:hint="eastAsia" w:ascii="楷体_GB2312" w:hAnsi="楷体_GB2312" w:eastAsia="楷体_GB2312" w:cs="楷体_GB2312"/>
          <w:color w:val="auto"/>
          <w:highlight w:val="none"/>
        </w:rPr>
        <w:t>第二节</w:t>
      </w:r>
      <w:r>
        <w:rPr>
          <w:rFonts w:hint="eastAsia" w:ascii="楷体_GB2312" w:hAnsi="楷体_GB2312" w:eastAsia="楷体_GB2312" w:cs="楷体_GB2312"/>
          <w:color w:val="auto"/>
          <w:highlight w:val="none"/>
        </w:rPr>
        <w:tab/>
      </w:r>
      <w:r>
        <w:rPr>
          <w:rFonts w:hint="eastAsia" w:ascii="楷体_GB2312" w:hAnsi="楷体_GB2312" w:eastAsia="楷体_GB2312" w:cs="楷体_GB2312"/>
          <w:color w:val="auto"/>
          <w:highlight w:val="none"/>
        </w:rPr>
        <w:t>完善社会保障制度体系</w:t>
      </w:r>
      <w:bookmarkEnd w:id="23"/>
    </w:p>
    <w:p w14:paraId="61EBFE2A">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ascii="仿宋_GB2312" w:hAnsi="仿宋_GB2312" w:eastAsia="仿宋_GB2312" w:cs="仿宋_GB2312"/>
          <w:color w:val="auto"/>
          <w:spacing w:val="-13"/>
          <w:sz w:val="32"/>
          <w:szCs w:val="32"/>
          <w:highlight w:val="none"/>
          <w:lang w:val="zh-CN" w:eastAsia="zh-CN" w:bidi="zh-CN"/>
        </w:rPr>
      </w:pPr>
      <w:r>
        <w:rPr>
          <w:rFonts w:hint="eastAsia" w:ascii="仿宋_GB2312" w:hAnsi="仿宋_GB2312" w:eastAsia="仿宋_GB2312" w:cs="仿宋_GB2312"/>
          <w:color w:val="auto"/>
          <w:spacing w:val="-13"/>
          <w:sz w:val="32"/>
          <w:szCs w:val="32"/>
          <w:highlight w:val="none"/>
          <w:lang w:val="zh-CN" w:eastAsia="zh-CN" w:bidi="zh-CN"/>
        </w:rPr>
        <w:t>构建多层次养老保险体系，落实企业职工基本养老保险省级统筹配套政策，配合做好与全国统筹有序对接。稳步推进机关事业单位养老保险制度改革。落实城乡居民基本养老保险基金市级管理。进一步抓好被征地农民养老保障工作。落实失业保险省级统筹制度。配合推进工伤保险基金省级统筹运行，贯彻落实失业保险援企稳岗政策，进一步发挥失业保险稳定就业功能。按照省</w:t>
      </w:r>
      <w:r>
        <w:rPr>
          <w:rFonts w:hint="eastAsia" w:cs="仿宋_GB2312"/>
          <w:color w:val="auto"/>
          <w:spacing w:val="-13"/>
          <w:sz w:val="32"/>
          <w:szCs w:val="32"/>
          <w:highlight w:val="none"/>
          <w:lang w:val="zh-CN" w:eastAsia="zh-CN" w:bidi="zh-CN"/>
        </w:rPr>
        <w:t>、</w:t>
      </w:r>
      <w:r>
        <w:rPr>
          <w:rFonts w:hint="eastAsia" w:cs="仿宋_GB2312"/>
          <w:color w:val="auto"/>
          <w:spacing w:val="-13"/>
          <w:sz w:val="32"/>
          <w:szCs w:val="32"/>
          <w:highlight w:val="none"/>
          <w:lang w:val="en-US" w:eastAsia="zh-CN" w:bidi="zh-CN"/>
        </w:rPr>
        <w:t>市</w:t>
      </w:r>
      <w:r>
        <w:rPr>
          <w:rFonts w:hint="eastAsia" w:ascii="仿宋_GB2312" w:hAnsi="仿宋_GB2312" w:eastAsia="仿宋_GB2312" w:cs="仿宋_GB2312"/>
          <w:color w:val="auto"/>
          <w:spacing w:val="-13"/>
          <w:sz w:val="32"/>
          <w:szCs w:val="32"/>
          <w:highlight w:val="none"/>
          <w:lang w:val="zh-CN" w:eastAsia="zh-CN" w:bidi="zh-CN"/>
        </w:rPr>
        <w:t>的部署，落实非劳动关系特定人员参加工伤保险办法。构建更加公平、更可持续性的社保制度。</w:t>
      </w:r>
    </w:p>
    <w:p w14:paraId="41F6AD7D">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黑体" w:eastAsia="黑体"/>
          <w:color w:val="auto"/>
          <w:highlight w:val="none"/>
        </w:rPr>
      </w:pPr>
      <w:bookmarkStart w:id="24" w:name="_Toc10059"/>
      <w:r>
        <w:rPr>
          <w:rFonts w:hint="eastAsia" w:ascii="楷体_GB2312" w:hAnsi="楷体_GB2312" w:eastAsia="楷体_GB2312" w:cs="楷体_GB2312"/>
          <w:color w:val="auto"/>
          <w:highlight w:val="none"/>
        </w:rPr>
        <w:t>第三节</w:t>
      </w:r>
      <w:r>
        <w:rPr>
          <w:rFonts w:hint="eastAsia" w:ascii="楷体_GB2312" w:hAnsi="楷体_GB2312" w:eastAsia="楷体_GB2312" w:cs="楷体_GB2312"/>
          <w:color w:val="auto"/>
          <w:highlight w:val="none"/>
        </w:rPr>
        <w:tab/>
      </w:r>
      <w:r>
        <w:rPr>
          <w:rFonts w:hint="eastAsia" w:ascii="楷体_GB2312" w:hAnsi="楷体_GB2312" w:eastAsia="楷体_GB2312" w:cs="楷体_GB2312"/>
          <w:color w:val="auto"/>
          <w:highlight w:val="none"/>
        </w:rPr>
        <w:t>完善社会保障待遇调整机制</w:t>
      </w:r>
      <w:bookmarkEnd w:id="24"/>
    </w:p>
    <w:p w14:paraId="0B471DC6">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ascii="仿宋_GB2312" w:hAnsi="仿宋_GB2312" w:eastAsia="仿宋_GB2312" w:cs="仿宋_GB2312"/>
          <w:color w:val="auto"/>
          <w:spacing w:val="-12"/>
          <w:sz w:val="32"/>
          <w:szCs w:val="32"/>
          <w:highlight w:val="none"/>
          <w:lang w:val="zh-CN" w:eastAsia="zh-CN" w:bidi="zh-CN"/>
        </w:rPr>
      </w:pPr>
      <w:r>
        <w:rPr>
          <w:rFonts w:hint="eastAsia" w:ascii="仿宋_GB2312" w:hAnsi="仿宋_GB2312" w:eastAsia="仿宋_GB2312" w:cs="仿宋_GB2312"/>
          <w:color w:val="auto"/>
          <w:spacing w:val="-12"/>
          <w:sz w:val="32"/>
          <w:szCs w:val="32"/>
          <w:highlight w:val="none"/>
          <w:lang w:val="zh-CN" w:eastAsia="zh-CN" w:bidi="zh-CN"/>
        </w:rPr>
        <w:t>落实机关事业单位和企业退休人员基本养老金调整机制。全面落实城乡居民基本养老保险待遇确定和基础养老金正常调整机制及基础养老金和个人账户养老金相结合的待遇支付政策，强化长缴多得、多缴多得等制度的激励机制。落实失业保险、工伤保险待遇标准和正常调整机制。</w:t>
      </w:r>
    </w:p>
    <w:p w14:paraId="0D405C99">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highlight w:val="none"/>
        </w:rPr>
      </w:pPr>
      <w:bookmarkStart w:id="25" w:name="_Toc27342"/>
      <w:r>
        <w:rPr>
          <w:rFonts w:hint="eastAsia" w:ascii="楷体_GB2312" w:hAnsi="楷体_GB2312" w:eastAsia="楷体_GB2312" w:cs="楷体_GB2312"/>
          <w:color w:val="auto"/>
          <w:highlight w:val="none"/>
        </w:rPr>
        <w:t>第四节</w:t>
      </w:r>
      <w:r>
        <w:rPr>
          <w:rFonts w:hint="eastAsia" w:ascii="楷体_GB2312" w:hAnsi="楷体_GB2312" w:eastAsia="楷体_GB2312" w:cs="楷体_GB2312"/>
          <w:color w:val="auto"/>
          <w:highlight w:val="none"/>
        </w:rPr>
        <w:tab/>
      </w:r>
      <w:r>
        <w:rPr>
          <w:rFonts w:hint="eastAsia" w:ascii="楷体_GB2312" w:hAnsi="楷体_GB2312" w:eastAsia="楷体_GB2312" w:cs="楷体_GB2312"/>
          <w:color w:val="auto"/>
          <w:highlight w:val="none"/>
        </w:rPr>
        <w:t>确保基金安全可持续运行</w:t>
      </w:r>
      <w:bookmarkEnd w:id="25"/>
    </w:p>
    <w:p w14:paraId="057ED16E">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5"/>
          <w:highlight w:val="none"/>
        </w:rPr>
      </w:pPr>
      <w:r>
        <w:rPr>
          <w:rFonts w:hint="eastAsia"/>
          <w:color w:val="auto"/>
          <w:spacing w:val="-15"/>
          <w:highlight w:val="none"/>
        </w:rPr>
        <w:t>健全政策、经办、信息、监督“四位一体”的基金管理风险防控体系，提升风险识别、监测、防控能力。加大侵害社会保险基金行为查处力度，加强基金管理风险警示提示。持续推进基金监督常态化、规范化、专业化。落实社保领域失信惩戒机制。完善社会保险服务事先告知承诺制。深入开展社保基金管理风险警示教育，提升基金管理风险意识、法纪意识、责任意识。</w:t>
      </w:r>
    </w:p>
    <w:p w14:paraId="6A7FAACE">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firstLine="0"/>
        <w:jc w:val="center"/>
        <w:textAlignment w:val="auto"/>
        <w:outlineLvl w:val="1"/>
        <w:rPr>
          <w:rFonts w:hint="eastAsia" w:ascii="楷体_GB2312" w:hAnsi="楷体_GB2312" w:eastAsia="楷体_GB2312" w:cs="楷体_GB2312"/>
          <w:color w:val="auto"/>
          <w:spacing w:val="0"/>
          <w:w w:val="100"/>
          <w:highlight w:val="none"/>
        </w:rPr>
      </w:pPr>
      <w:bookmarkStart w:id="26" w:name="_Toc32433"/>
      <w:r>
        <w:rPr>
          <w:rFonts w:hint="eastAsia" w:ascii="楷体_GB2312" w:hAnsi="楷体_GB2312" w:eastAsia="楷体_GB2312" w:cs="楷体_GB2312"/>
          <w:color w:val="auto"/>
          <w:spacing w:val="0"/>
          <w:w w:val="100"/>
          <w:highlight w:val="none"/>
        </w:rPr>
        <w:t>第五节</w:t>
      </w:r>
      <w:r>
        <w:rPr>
          <w:rFonts w:hint="eastAsia" w:ascii="楷体_GB2312" w:hAnsi="楷体_GB2312" w:eastAsia="楷体_GB2312" w:cs="楷体_GB2312"/>
          <w:color w:val="auto"/>
          <w:spacing w:val="0"/>
          <w:w w:val="100"/>
          <w:highlight w:val="none"/>
          <w:lang w:val="en-US" w:eastAsia="zh-CN"/>
        </w:rPr>
        <w:t xml:space="preserve">  </w:t>
      </w:r>
      <w:r>
        <w:rPr>
          <w:rFonts w:hint="eastAsia" w:ascii="楷体_GB2312" w:hAnsi="楷体_GB2312" w:eastAsia="楷体_GB2312" w:cs="楷体_GB2312"/>
          <w:color w:val="auto"/>
          <w:spacing w:val="0"/>
          <w:w w:val="100"/>
          <w:highlight w:val="none"/>
        </w:rPr>
        <w:t>加强社会保险经办服务体系建设</w:t>
      </w:r>
      <w:bookmarkEnd w:id="26"/>
    </w:p>
    <w:p w14:paraId="34423337">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8"/>
          <w:w w:val="95"/>
          <w:highlight w:val="none"/>
        </w:rPr>
      </w:pPr>
      <w:r>
        <w:rPr>
          <w:rFonts w:hint="eastAsia"/>
          <w:color w:val="auto"/>
          <w:spacing w:val="-18"/>
          <w:w w:val="95"/>
          <w:highlight w:val="none"/>
        </w:rPr>
        <w:t>加强社会保险经办服务体系建设。推进“一门式”、“一网式”服务，全面推广“前台一窗受理、后台分级审核、限时办结、统一反馈”的综合柜员制经办模式。全面应用省集中式社保信息系统，强化内外部数据共享。完善“无差别”服务。编制社会保险公共服务事项目录清单和办事指南，实现“同一事项、同一标准、同一编码”。依法依规推动电子证照、电子文书、电子印章等在社会保险领域的推广应用。加大社会保险经办人员培训力度，扩大培训人员范围，提高培训层次和质量，提升经办服务水平。</w:t>
      </w:r>
    </w:p>
    <w:p w14:paraId="60F89F85">
      <w:pPr>
        <w:pStyle w:val="4"/>
        <w:keepNext w:val="0"/>
        <w:keepLines w:val="0"/>
        <w:pageBreakBefore w:val="0"/>
        <w:widowControl w:val="0"/>
        <w:tabs>
          <w:tab w:val="left" w:pos="1439"/>
        </w:tabs>
        <w:kinsoku/>
        <w:wordWrap/>
        <w:overflowPunct/>
        <w:topLinePunct w:val="0"/>
        <w:autoSpaceDE w:val="0"/>
        <w:autoSpaceDN w:val="0"/>
        <w:bidi w:val="0"/>
        <w:adjustRightInd/>
        <w:snapToGrid/>
        <w:spacing w:before="0" w:line="560" w:lineRule="exact"/>
        <w:ind w:left="0" w:leftChars="0" w:right="0"/>
        <w:jc w:val="center"/>
        <w:textAlignment w:val="auto"/>
        <w:outlineLvl w:val="0"/>
        <w:rPr>
          <w:color w:val="auto"/>
          <w:highlight w:val="none"/>
        </w:rPr>
      </w:pPr>
      <w:bookmarkStart w:id="27" w:name="_Toc2420"/>
      <w:r>
        <w:rPr>
          <w:rFonts w:hint="eastAsia" w:ascii="黑体" w:hAnsi="黑体" w:eastAsia="黑体" w:cs="黑体"/>
          <w:color w:val="auto"/>
          <w:highlight w:val="none"/>
        </w:rPr>
        <w:t>第六章</w:t>
      </w:r>
      <w:r>
        <w:rPr>
          <w:rFonts w:hint="eastAsia" w:ascii="黑体" w:hAnsi="黑体" w:eastAsia="黑体" w:cs="黑体"/>
          <w:color w:val="auto"/>
          <w:highlight w:val="none"/>
        </w:rPr>
        <w:tab/>
      </w:r>
      <w:r>
        <w:rPr>
          <w:rFonts w:hint="eastAsia" w:ascii="黑体" w:hAnsi="黑体" w:eastAsia="黑体" w:cs="黑体"/>
          <w:color w:val="auto"/>
          <w:highlight w:val="none"/>
        </w:rPr>
        <w:t>积极打造服务经济高质量发展的人才队伍</w:t>
      </w:r>
      <w:bookmarkEnd w:id="27"/>
    </w:p>
    <w:p w14:paraId="19C468AC">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highlight w:val="none"/>
        </w:rPr>
      </w:pPr>
      <w:r>
        <w:rPr>
          <w:color w:val="auto"/>
          <w:highlight w:val="none"/>
        </w:rPr>
        <w:t>坚持党管人才原则，贯彻尊重劳动、尊重知识、尊重人才、</w:t>
      </w:r>
      <w:r>
        <w:rPr>
          <w:color w:val="auto"/>
          <w:spacing w:val="-18"/>
          <w:w w:val="95"/>
          <w:highlight w:val="none"/>
        </w:rPr>
        <w:t>尊重创造方针，紧紧围绕新型工业化、产业转型升级的人才需求，</w:t>
      </w:r>
      <w:r>
        <w:rPr>
          <w:rFonts w:hint="eastAsia"/>
          <w:color w:val="auto"/>
          <w:spacing w:val="-21"/>
          <w:highlight w:val="none"/>
          <w:lang w:val="en-US" w:eastAsia="zh-CN"/>
        </w:rPr>
        <w:t>根据《韶关市武江区开展“百团千才万匠”人才工程实施方案》要求</w:t>
      </w:r>
      <w:r>
        <w:rPr>
          <w:color w:val="auto"/>
          <w:spacing w:val="-21"/>
          <w:highlight w:val="none"/>
        </w:rPr>
        <w:t>，积极打造服务经济高质量发展的专业技术人才和技能人才队伍。</w:t>
      </w:r>
    </w:p>
    <w:p w14:paraId="2D137FD4">
      <w:pPr>
        <w:pStyle w:val="6"/>
        <w:keepNext w:val="0"/>
        <w:keepLines w:val="0"/>
        <w:pageBreakBefore w:val="0"/>
        <w:widowControl w:val="0"/>
        <w:tabs>
          <w:tab w:val="left" w:pos="1281"/>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highlight w:val="none"/>
        </w:rPr>
      </w:pPr>
      <w:bookmarkStart w:id="28" w:name="_Toc12508"/>
      <w:r>
        <w:rPr>
          <w:rFonts w:hint="eastAsia" w:ascii="楷体_GB2312" w:hAnsi="楷体_GB2312" w:eastAsia="楷体_GB2312" w:cs="楷体_GB2312"/>
          <w:color w:val="auto"/>
          <w:highlight w:val="none"/>
        </w:rPr>
        <w:t>第一节</w:t>
      </w:r>
      <w:r>
        <w:rPr>
          <w:rFonts w:hint="eastAsia" w:ascii="楷体_GB2312" w:hAnsi="楷体_GB2312" w:eastAsia="楷体_GB2312" w:cs="楷体_GB2312"/>
          <w:color w:val="auto"/>
          <w:highlight w:val="none"/>
        </w:rPr>
        <w:tab/>
      </w:r>
      <w:r>
        <w:rPr>
          <w:rFonts w:hint="eastAsia" w:ascii="楷体_GB2312" w:hAnsi="楷体_GB2312" w:eastAsia="楷体_GB2312" w:cs="楷体_GB2312"/>
          <w:color w:val="auto"/>
          <w:highlight w:val="none"/>
        </w:rPr>
        <w:t>加快建设高层次专业技术人才队伍</w:t>
      </w:r>
      <w:bookmarkEnd w:id="28"/>
    </w:p>
    <w:p w14:paraId="33766FF8">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20" w:firstLineChars="200"/>
        <w:jc w:val="both"/>
        <w:textAlignment w:val="auto"/>
        <w:rPr>
          <w:rFonts w:hint="default" w:eastAsia="仿宋_GB2312"/>
          <w:color w:val="auto"/>
          <w:spacing w:val="-5"/>
          <w:highlight w:val="none"/>
          <w:lang w:val="en-US" w:eastAsia="zh-CN"/>
        </w:rPr>
      </w:pPr>
      <w:r>
        <w:rPr>
          <w:rFonts w:hint="eastAsia"/>
          <w:color w:val="auto"/>
          <w:spacing w:val="-5"/>
          <w:highlight w:val="none"/>
          <w:lang w:val="en-US" w:eastAsia="zh-CN"/>
        </w:rPr>
        <w:t>加大专业技术人才引进。实施“青年人才”引进计划，聚焦产业发展、城区建设、科技创新、商贸物流等重点领域，</w:t>
      </w:r>
      <w:r>
        <w:rPr>
          <w:color w:val="auto"/>
          <w:spacing w:val="-14"/>
        </w:rPr>
        <w:t>从国内外引进和本土培育</w:t>
      </w:r>
      <w:r>
        <w:rPr>
          <w:rFonts w:hint="eastAsia"/>
          <w:color w:val="auto"/>
          <w:spacing w:val="-14"/>
          <w:lang w:val="en-US" w:eastAsia="zh-CN"/>
        </w:rPr>
        <w:t>不少于250名“丹霞英才”青年人才，为我区高质量发展提供智力支撑。</w:t>
      </w:r>
    </w:p>
    <w:p w14:paraId="12DE941C">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20" w:firstLineChars="200"/>
        <w:jc w:val="both"/>
        <w:textAlignment w:val="auto"/>
        <w:rPr>
          <w:rFonts w:hint="eastAsia"/>
          <w:color w:val="auto"/>
          <w:spacing w:val="-5"/>
          <w:highlight w:val="none"/>
          <w:lang w:eastAsia="zh-CN"/>
        </w:rPr>
      </w:pPr>
      <w:r>
        <w:rPr>
          <w:rFonts w:hint="eastAsia"/>
          <w:color w:val="auto"/>
          <w:spacing w:val="-5"/>
          <w:highlight w:val="none"/>
          <w:lang w:eastAsia="zh-CN"/>
        </w:rPr>
        <w:t>深化职称制度改革。深化职称制度改革，不断优化职称评审管理服务，落实以同行专家评审为基础、多种评价方式相结合的业内评价机制，促进职称政策与人事人才政策相衔接，强化对职称评审全过程的监管，努力提升职称评审质量。落实在工程技术领域实施高技能人才和工程技术人才职业发展贯通改革，打通高技能人才与工程技术人才职业发展通道。积极推进职称社会化发展，支持民营企业、社会组织参与职称评价，畅通各类型专业技术人才职称申报渠道。推进落实新职业新业态领域职称服务管理工作政策规范，为新职业新业态领域提供高层次专业技术人才支撑。</w:t>
      </w:r>
    </w:p>
    <w:p w14:paraId="196FAB88">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20" w:firstLineChars="200"/>
        <w:jc w:val="both"/>
        <w:textAlignment w:val="auto"/>
        <w:rPr>
          <w:rFonts w:hint="eastAsia"/>
          <w:color w:val="auto"/>
          <w:spacing w:val="-5"/>
          <w:lang w:eastAsia="zh-CN"/>
        </w:rPr>
      </w:pPr>
      <w:r>
        <w:rPr>
          <w:rFonts w:hint="eastAsia"/>
          <w:color w:val="auto"/>
          <w:spacing w:val="-5"/>
          <w:highlight w:val="none"/>
          <w:lang w:eastAsia="zh-CN"/>
        </w:rPr>
        <w:t>加快新时代博士和博士后人才创新发展。贯彻落实省、市博士博士后人才资助政策，支持我区企事业单位和科研院所建立博士工</w:t>
      </w:r>
      <w:r>
        <w:rPr>
          <w:rFonts w:hint="eastAsia"/>
          <w:color w:val="auto"/>
          <w:spacing w:val="-5"/>
          <w:lang w:eastAsia="zh-CN"/>
        </w:rPr>
        <w:t>作站、博士后创新实践基地和科研工作站等创新平台，依托创新平台发挥人才“蓄水池”作用，大力集聚博士博士后人才，推动高层次人才服务我区经济社会高质量发展。</w:t>
      </w:r>
    </w:p>
    <w:p w14:paraId="42212E14">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20" w:firstLineChars="200"/>
        <w:jc w:val="both"/>
        <w:textAlignment w:val="auto"/>
        <w:rPr>
          <w:rFonts w:hint="eastAsia"/>
          <w:color w:val="auto"/>
          <w:spacing w:val="-5"/>
          <w:lang w:eastAsia="zh-CN"/>
        </w:rPr>
      </w:pPr>
      <w:r>
        <w:rPr>
          <w:rFonts w:hint="eastAsia"/>
          <w:color w:val="auto"/>
          <w:spacing w:val="-5"/>
          <w:lang w:eastAsia="zh-CN"/>
        </w:rPr>
        <w:t>优化专业技术人才继续教育。深入落实《广东省专业技术人员继续教育条例》，加大专业技术人才继续教育指导监督力度，及时发布公需科目、学习指南及高级研修班信息，协调、指导和督促相关企事业单位积极组织专业技术人才参加继续教育学习，提升专业技术能力素养。</w:t>
      </w:r>
    </w:p>
    <w:p w14:paraId="6268C16D">
      <w:pPr>
        <w:pStyle w:val="6"/>
        <w:keepNext w:val="0"/>
        <w:keepLines w:val="0"/>
        <w:pageBreakBefore w:val="0"/>
        <w:widowControl w:val="0"/>
        <w:tabs>
          <w:tab w:val="left" w:pos="1281"/>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黑体" w:eastAsia="黑体"/>
          <w:color w:val="auto"/>
        </w:rPr>
      </w:pPr>
      <w:bookmarkStart w:id="29" w:name="_Toc21181"/>
      <w:r>
        <w:rPr>
          <w:rFonts w:hint="eastAsia" w:ascii="楷体_GB2312" w:hAnsi="楷体_GB2312" w:eastAsia="楷体_GB2312" w:cs="楷体_GB2312"/>
          <w:color w:val="auto"/>
        </w:rPr>
        <w:t>第二节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扩大高水平技能人才有效供给</w:t>
      </w:r>
      <w:bookmarkEnd w:id="29"/>
    </w:p>
    <w:p w14:paraId="455CBBB3">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7"/>
          <w:w w:val="99"/>
        </w:rPr>
        <w:t>加大技能人才的引进。实施“韶州工匠计划”，围绕</w:t>
      </w:r>
      <w:r>
        <w:rPr>
          <w:rFonts w:hint="eastAsia"/>
          <w:color w:val="auto"/>
          <w:spacing w:val="-7"/>
          <w:w w:val="99"/>
          <w:lang w:eastAsia="zh-CN"/>
        </w:rPr>
        <w:t>我区</w:t>
      </w:r>
      <w:r>
        <w:rPr>
          <w:color w:val="auto"/>
          <w:spacing w:val="-7"/>
          <w:w w:val="99"/>
        </w:rPr>
        <w:t>产</w:t>
      </w:r>
      <w:r>
        <w:rPr>
          <w:color w:val="auto"/>
          <w:spacing w:val="-14"/>
        </w:rPr>
        <w:t>业升级和高质量发展要求，以培育和引进知识型、创新型、复合型技能人才为重点，从国内外引进和本土培育“风采工匠”</w:t>
      </w:r>
      <w:r>
        <w:rPr>
          <w:rFonts w:hint="eastAsia"/>
          <w:color w:val="auto"/>
          <w:spacing w:val="-14"/>
          <w:lang w:val="en-US" w:eastAsia="zh-CN"/>
        </w:rPr>
        <w:t>10人</w:t>
      </w:r>
      <w:r>
        <w:rPr>
          <w:color w:val="auto"/>
          <w:spacing w:val="-27"/>
        </w:rPr>
        <w:t>、“风采技师”</w:t>
      </w:r>
      <w:r>
        <w:rPr>
          <w:rFonts w:hint="eastAsia"/>
          <w:color w:val="auto"/>
          <w:spacing w:val="-5"/>
          <w:lang w:val="en-US" w:eastAsia="zh-CN"/>
        </w:rPr>
        <w:t>105人</w:t>
      </w:r>
      <w:r>
        <w:rPr>
          <w:color w:val="auto"/>
          <w:spacing w:val="-32"/>
        </w:rPr>
        <w:t>、“风采能手”</w:t>
      </w:r>
      <w:r>
        <w:rPr>
          <w:rFonts w:hint="eastAsia"/>
          <w:color w:val="auto"/>
          <w:spacing w:val="-4"/>
          <w:lang w:val="en-US" w:eastAsia="zh-CN"/>
        </w:rPr>
        <w:t>1045人</w:t>
      </w:r>
      <w:r>
        <w:rPr>
          <w:color w:val="auto"/>
          <w:spacing w:val="-14"/>
        </w:rPr>
        <w:t>，加快建设一支</w:t>
      </w:r>
      <w:r>
        <w:rPr>
          <w:color w:val="auto"/>
          <w:spacing w:val="-19"/>
        </w:rPr>
        <w:t>与</w:t>
      </w:r>
      <w:r>
        <w:rPr>
          <w:rFonts w:hint="eastAsia"/>
          <w:color w:val="auto"/>
          <w:spacing w:val="-19"/>
          <w:lang w:eastAsia="zh-CN"/>
        </w:rPr>
        <w:t>我区</w:t>
      </w:r>
      <w:r>
        <w:rPr>
          <w:color w:val="auto"/>
          <w:spacing w:val="-19"/>
        </w:rPr>
        <w:t>经济社会发展相适应的技术技能型、复合技能型和知识技能型高技能人才队伍，强化产业发展用工保障。</w:t>
      </w:r>
    </w:p>
    <w:p w14:paraId="279B7639">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rPr>
        <w:t>大力实施职业技能培训。全面推行终身职业技能培训制度，</w:t>
      </w:r>
      <w:r>
        <w:rPr>
          <w:color w:val="auto"/>
          <w:spacing w:val="-9"/>
        </w:rPr>
        <w:t>持续开展职业技能培训，提升劳动者整体技能素质。强化激励政</w:t>
      </w:r>
      <w:r>
        <w:rPr>
          <w:color w:val="auto"/>
          <w:spacing w:val="-11"/>
        </w:rPr>
        <w:t>策，推动企业、行业、院校积极参与各类技能人才培养。加快公</w:t>
      </w:r>
      <w:r>
        <w:rPr>
          <w:color w:val="auto"/>
          <w:spacing w:val="-15"/>
        </w:rPr>
        <w:t>共实训基地建设，提升职业技能培训基础能力。大力开展线上职</w:t>
      </w:r>
      <w:r>
        <w:rPr>
          <w:color w:val="auto"/>
          <w:spacing w:val="-14"/>
        </w:rPr>
        <w:t>业技能培训，充分借助广东省远程职业培训公共服务平台，加强培训资源开发应用和推广扩面。</w:t>
      </w:r>
    </w:p>
    <w:p w14:paraId="014E2113">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11"/>
        </w:rPr>
        <w:t>强化高技能人才培养。加快构建技能人才与现代产业协同发</w:t>
      </w:r>
      <w:r>
        <w:rPr>
          <w:color w:val="auto"/>
          <w:spacing w:val="-14"/>
        </w:rPr>
        <w:t>展机制，围绕加快新型工业化、产业转型升级需要，加大各类技</w:t>
      </w:r>
      <w:r>
        <w:rPr>
          <w:color w:val="auto"/>
          <w:spacing w:val="-15"/>
        </w:rPr>
        <w:t>能人才培养力度。加快推进高技能人才培训基地和技能大师工作</w:t>
      </w:r>
      <w:r>
        <w:rPr>
          <w:color w:val="auto"/>
          <w:spacing w:val="-14"/>
        </w:rPr>
        <w:t>室建设。积极组织参加国家、省级</w:t>
      </w:r>
      <w:r>
        <w:rPr>
          <w:rFonts w:hint="eastAsia"/>
          <w:color w:val="auto"/>
          <w:spacing w:val="-14"/>
          <w:lang w:val="en-US" w:eastAsia="zh-CN"/>
        </w:rPr>
        <w:t>和市级</w:t>
      </w:r>
      <w:r>
        <w:rPr>
          <w:color w:val="auto"/>
          <w:spacing w:val="-14"/>
        </w:rPr>
        <w:t>职业技能竞赛，组织开展</w:t>
      </w:r>
      <w:r>
        <w:rPr>
          <w:rFonts w:hint="eastAsia"/>
          <w:color w:val="auto"/>
          <w:spacing w:val="-14"/>
          <w:lang w:val="en-US" w:eastAsia="zh-CN"/>
        </w:rPr>
        <w:t>武江区</w:t>
      </w:r>
      <w:r>
        <w:rPr>
          <w:color w:val="auto"/>
          <w:spacing w:val="-16"/>
        </w:rPr>
        <w:t>各类职业技能大赛，充分借鉴世界技能大赛模式，优化完善</w:t>
      </w:r>
      <w:r>
        <w:rPr>
          <w:rFonts w:hint="eastAsia"/>
          <w:color w:val="auto"/>
          <w:spacing w:val="-16"/>
          <w:lang w:eastAsia="zh-CN"/>
        </w:rPr>
        <w:t>我区</w:t>
      </w:r>
      <w:r>
        <w:rPr>
          <w:color w:val="auto"/>
          <w:spacing w:val="-16"/>
        </w:rPr>
        <w:t>竞赛组织、办赛、激励机制。</w:t>
      </w:r>
    </w:p>
    <w:p w14:paraId="22D9F6FD">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5"/>
        </w:rPr>
      </w:pPr>
      <w:r>
        <w:rPr>
          <w:color w:val="auto"/>
        </w:rPr>
        <w:t>完善技能人才评价激励机制。深化技能人才评价制度改革，</w:t>
      </w:r>
      <w:r>
        <w:rPr>
          <w:color w:val="auto"/>
          <w:spacing w:val="-10"/>
        </w:rPr>
        <w:t>健全职业资</w:t>
      </w:r>
      <w:r>
        <w:rPr>
          <w:color w:val="auto"/>
          <w:spacing w:val="-15"/>
        </w:rPr>
        <w:t>格评价、职业技能等级认定、专项职业能力考核等多元化评价方式。全面推行职业技能等级制度，着力构建行业企业广泛参与、校企共建共评共享的职业技能等级认定模式。大力弘扬新时代工匠精神，树立技术技能人才先进典型，营造崇尚技能的社会氛围。</w:t>
      </w:r>
    </w:p>
    <w:p w14:paraId="722641B3">
      <w:pPr>
        <w:pStyle w:val="6"/>
        <w:keepNext w:val="0"/>
        <w:keepLines w:val="0"/>
        <w:pageBreakBefore w:val="0"/>
        <w:widowControl w:val="0"/>
        <w:tabs>
          <w:tab w:val="left" w:pos="1281"/>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bookmarkStart w:id="30" w:name="_Toc5948"/>
      <w:r>
        <w:rPr>
          <w:rFonts w:hint="eastAsia" w:ascii="楷体_GB2312" w:hAnsi="楷体_GB2312" w:eastAsia="楷体_GB2312" w:cs="楷体_GB2312"/>
          <w:color w:val="auto"/>
        </w:rPr>
        <w:t>第三节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推动技工教育高质量发展</w:t>
      </w:r>
      <w:bookmarkEnd w:id="30"/>
    </w:p>
    <w:p w14:paraId="7E6E21EA">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6"/>
          <w:w w:val="95"/>
        </w:rPr>
        <w:t>加强党对技工教育的全面领导。落实党委领导的校长负责</w:t>
      </w:r>
      <w:r>
        <w:rPr>
          <w:color w:val="auto"/>
          <w:spacing w:val="-10"/>
        </w:rPr>
        <w:t>制。强化教师队伍思想政治建设，严把教师队伍“入口关”，按</w:t>
      </w:r>
      <w:r>
        <w:rPr>
          <w:color w:val="auto"/>
          <w:spacing w:val="-16"/>
        </w:rPr>
        <w:t>照“六要”标准加强教师培养培训，着力建设和培养一支政治坚</w:t>
      </w:r>
      <w:r>
        <w:rPr>
          <w:color w:val="auto"/>
          <w:spacing w:val="-12"/>
        </w:rPr>
        <w:t>定、业务精湛、师德高尚、结构合理的教师队伍。坚持从技能人</w:t>
      </w:r>
      <w:r>
        <w:rPr>
          <w:color w:val="auto"/>
          <w:spacing w:val="-15"/>
        </w:rPr>
        <w:t>才培养特点出发，以习近平新时代中国特色社会主义思想铸魂育</w:t>
      </w:r>
      <w:r>
        <w:rPr>
          <w:color w:val="auto"/>
          <w:spacing w:val="-12"/>
          <w:w w:val="95"/>
        </w:rPr>
        <w:t>人，全面加强社会主义核心价值观、理想信念、优秀传统文化教</w:t>
      </w:r>
      <w:r>
        <w:rPr>
          <w:color w:val="auto"/>
          <w:spacing w:val="-12"/>
        </w:rPr>
        <w:t>育和工匠精神教育，培养德技双馨的技能人才。</w:t>
      </w:r>
    </w:p>
    <w:p w14:paraId="14C5B258">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5"/>
        </w:rPr>
      </w:pPr>
      <w:r>
        <w:rPr>
          <w:color w:val="auto"/>
          <w:spacing w:val="-8"/>
        </w:rPr>
        <w:t>强化思想政治理论课建设。坚持立德树人，进一步加强学生</w:t>
      </w:r>
      <w:r>
        <w:rPr>
          <w:color w:val="auto"/>
          <w:spacing w:val="-13"/>
        </w:rPr>
        <w:t>思想政治工作，提高思政课师资配比，完善思政课程体系。以各</w:t>
      </w:r>
      <w:r>
        <w:rPr>
          <w:color w:val="auto"/>
          <w:spacing w:val="-15"/>
        </w:rPr>
        <w:t>类团队活动、社团活动、青年志愿者活动等为载体，加强思政实践教学，构建思政小课堂、社会大课堂的“大思政”育人机制。</w:t>
      </w:r>
    </w:p>
    <w:p w14:paraId="074E3BAB">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5"/>
        </w:rPr>
      </w:pPr>
      <w:r>
        <w:rPr>
          <w:color w:val="auto"/>
          <w:spacing w:val="-9"/>
        </w:rPr>
        <w:t>贯彻落实国家思政课程标准，加强马克思主义中国化最新成果及</w:t>
      </w:r>
      <w:r>
        <w:rPr>
          <w:color w:val="auto"/>
          <w:spacing w:val="-13"/>
        </w:rPr>
        <w:t>理想信念、道德观、荣辱观、公民意识的教育，积极参与工匠精</w:t>
      </w:r>
      <w:r>
        <w:rPr>
          <w:color w:val="auto"/>
          <w:spacing w:val="-12"/>
        </w:rPr>
        <w:t>神、劳动教育、中华优秀传统文化、心理健康教育、职业指导等</w:t>
      </w:r>
      <w:r>
        <w:rPr>
          <w:color w:val="auto"/>
          <w:spacing w:val="-15"/>
        </w:rPr>
        <w:t>省级特色选修思想政治课程建设。</w:t>
      </w:r>
    </w:p>
    <w:p w14:paraId="12D1349F">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5"/>
        </w:rPr>
      </w:pPr>
      <w:r>
        <w:rPr>
          <w:color w:val="auto"/>
          <w:spacing w:val="-15"/>
        </w:rPr>
        <w:t>加强爱国主义教育。积极开展以社会主义核心价值观为重点的民族精神和以改革创新为核心的时代精神宣传教育工作，引导青年学生树立正确的价值追求，坚定理想信念，培育高尚情操，促进个人理想融入到“两个一百年”</w:t>
      </w:r>
      <w:r>
        <w:rPr>
          <w:rFonts w:hint="eastAsia"/>
          <w:color w:val="auto"/>
          <w:spacing w:val="-15"/>
          <w:lang w:eastAsia="zh-CN"/>
        </w:rPr>
        <w:t>奋斗</w:t>
      </w:r>
      <w:r>
        <w:rPr>
          <w:color w:val="auto"/>
          <w:spacing w:val="-15"/>
        </w:rPr>
        <w:t>目标和中华民族伟大复兴的中国梦的共同理想，把社会主义核心价值体系融入学校教育全过程，把学生培养成为“人格高尚、行为规范、技能过硬、全面发展”的高素质高技能人才。</w:t>
      </w:r>
    </w:p>
    <w:p w14:paraId="3489308F">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黑体" w:eastAsia="黑体"/>
          <w:color w:val="auto"/>
        </w:rPr>
      </w:pPr>
      <w:bookmarkStart w:id="31" w:name="_Toc13322"/>
      <w:r>
        <w:rPr>
          <w:rFonts w:hint="eastAsia" w:ascii="楷体_GB2312" w:hAnsi="楷体_GB2312" w:eastAsia="楷体_GB2312" w:cs="楷体_GB2312"/>
          <w:color w:val="auto"/>
        </w:rPr>
        <w:t>第四节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推动技能人才服务经济发展</w:t>
      </w:r>
      <w:bookmarkEnd w:id="31"/>
    </w:p>
    <w:p w14:paraId="70648C23">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outlineLvl w:val="9"/>
        <w:rPr>
          <w:rFonts w:hint="eastAsia" w:ascii="黑体" w:eastAsia="黑体"/>
          <w:color w:val="auto"/>
        </w:rPr>
      </w:pPr>
      <w:r>
        <w:rPr>
          <w:color w:val="auto"/>
          <w:spacing w:val="-23"/>
        </w:rPr>
        <w:t>完善落实技工院校毕业生待遇。对技工院校中级技工班、高级技工班、预备技师（技师）班毕业生，在企事业单位招聘、确定工资起点标准、职称评审、职位晋升、专业技术资格考试、就业创业扶持、“三支一扶”招募、应征入伍、升学等方面，分别按中专、大专、本科学历人员对待。</w:t>
      </w:r>
      <w:bookmarkStart w:id="32" w:name="_Toc9397"/>
    </w:p>
    <w:p w14:paraId="05F54203">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r>
        <w:rPr>
          <w:rFonts w:hint="eastAsia" w:ascii="楷体_GB2312" w:hAnsi="楷体_GB2312" w:eastAsia="楷体_GB2312" w:cs="楷体_GB2312"/>
          <w:color w:val="auto"/>
        </w:rPr>
        <w:t>第五节</w:t>
      </w:r>
      <w:r>
        <w:rPr>
          <w:rFonts w:hint="eastAsia" w:ascii="楷体_GB2312" w:hAnsi="楷体_GB2312" w:eastAsia="楷体_GB2312" w:cs="楷体_GB2312"/>
          <w:color w:val="auto"/>
          <w:lang w:val="en-US" w:eastAsia="zh-CN"/>
        </w:rPr>
        <w:t xml:space="preserve">  </w:t>
      </w:r>
      <w:r>
        <w:rPr>
          <w:rFonts w:hint="eastAsia" w:ascii="楷体_GB2312" w:hAnsi="楷体_GB2312" w:eastAsia="楷体_GB2312" w:cs="楷体_GB2312"/>
          <w:color w:val="auto"/>
        </w:rPr>
        <w:t>推进人力资源服务业高质量发展</w:t>
      </w:r>
      <w:bookmarkEnd w:id="32"/>
    </w:p>
    <w:p w14:paraId="715F8982">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6"/>
        </w:rPr>
        <w:t>充分发挥市场在人力资源配置中的决定性作用和更好发挥</w:t>
      </w:r>
      <w:r>
        <w:rPr>
          <w:color w:val="auto"/>
          <w:spacing w:val="-10"/>
        </w:rPr>
        <w:t>政府作用。以促进人才顺畅有序流动、激发人才创新创业创造活力为目标，建立统一规范的人力资源市场，优化人才流动配置，</w:t>
      </w:r>
      <w:r>
        <w:rPr>
          <w:color w:val="auto"/>
          <w:spacing w:val="-15"/>
        </w:rPr>
        <w:t>加快构建政府宏观调控、市场公平竞争、单位自主用人、个人自</w:t>
      </w:r>
      <w:r>
        <w:rPr>
          <w:color w:val="auto"/>
          <w:spacing w:val="-13"/>
        </w:rPr>
        <w:t>主择业、人力资源服务机构诚信服务的人才流动配置新格局。运</w:t>
      </w:r>
      <w:r>
        <w:rPr>
          <w:color w:val="auto"/>
          <w:spacing w:val="-16"/>
        </w:rPr>
        <w:t>用协调衔接的劳动力、人才流动政策体系和交流合作机制，推进</w:t>
      </w:r>
      <w:r>
        <w:rPr>
          <w:color w:val="auto"/>
          <w:spacing w:val="-15"/>
        </w:rPr>
        <w:t>市场性流动、引导性流动和计划性流动，服务就业创业、服务人</w:t>
      </w:r>
      <w:r>
        <w:rPr>
          <w:color w:val="auto"/>
          <w:spacing w:val="-14"/>
        </w:rPr>
        <w:t>才开发、服务高质量发展、服务乡村振兴，提高人力资源配置效能。</w:t>
      </w:r>
    </w:p>
    <w:p w14:paraId="644D82C6">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4"/>
        </w:rPr>
      </w:pPr>
      <w:r>
        <w:rPr>
          <w:color w:val="auto"/>
          <w:spacing w:val="-10"/>
        </w:rPr>
        <w:t>大力发展人力资源服务业。贯彻落实省</w:t>
      </w:r>
      <w:r>
        <w:rPr>
          <w:rFonts w:hint="eastAsia"/>
          <w:color w:val="auto"/>
          <w:spacing w:val="-10"/>
          <w:lang w:eastAsia="zh-CN"/>
        </w:rPr>
        <w:t>、</w:t>
      </w:r>
      <w:r>
        <w:rPr>
          <w:rFonts w:hint="eastAsia"/>
          <w:color w:val="auto"/>
          <w:spacing w:val="-10"/>
          <w:lang w:val="en-US" w:eastAsia="zh-CN"/>
        </w:rPr>
        <w:t>市</w:t>
      </w:r>
      <w:r>
        <w:rPr>
          <w:color w:val="auto"/>
          <w:spacing w:val="-10"/>
        </w:rPr>
        <w:t>加快人力资源服务业</w:t>
      </w:r>
      <w:r>
        <w:rPr>
          <w:color w:val="auto"/>
          <w:spacing w:val="-14"/>
        </w:rPr>
        <w:t>发展的意见，大力促进人力资源服务业高质量发展。加大扶持力</w:t>
      </w:r>
      <w:r>
        <w:rPr>
          <w:color w:val="auto"/>
          <w:spacing w:val="-12"/>
        </w:rPr>
        <w:t>度，</w:t>
      </w:r>
      <w:r>
        <w:rPr>
          <w:color w:val="auto"/>
          <w:spacing w:val="-14"/>
        </w:rPr>
        <w:t>推动人力资源服务创新发展，完</w:t>
      </w:r>
      <w:r>
        <w:rPr>
          <w:color w:val="auto"/>
          <w:spacing w:val="-18"/>
        </w:rPr>
        <w:t>善服务企业人力资源发展政策体系，为企业引进、培育产业转型</w:t>
      </w:r>
      <w:r>
        <w:rPr>
          <w:color w:val="auto"/>
          <w:spacing w:val="-22"/>
        </w:rPr>
        <w:t>急需人才。鼓励人力资源服务机构拓展网络</w:t>
      </w:r>
      <w:r>
        <w:rPr>
          <w:color w:val="auto"/>
          <w:spacing w:val="-14"/>
        </w:rPr>
        <w:t>招聘、人力资源测评、人力资源外包、人力资源管理咨询、高级人才寻访等服务产品。</w:t>
      </w:r>
    </w:p>
    <w:p w14:paraId="4803A865">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4"/>
        </w:rPr>
      </w:pPr>
      <w:r>
        <w:rPr>
          <w:color w:val="auto"/>
          <w:spacing w:val="-14"/>
        </w:rPr>
        <w:t>优化人力资源市场环境。加大人力资源服务行业“放管服”改革力度，进一步简政放权，强化宏观管理、公共服务、监督保障职能，进一步优化营商环境。加强对人力资源服务机构日常</w:t>
      </w:r>
      <w:r>
        <w:rPr>
          <w:rFonts w:hint="eastAsia"/>
          <w:color w:val="auto"/>
          <w:spacing w:val="-14"/>
          <w:lang w:eastAsia="zh-CN"/>
        </w:rPr>
        <w:t>巡</w:t>
      </w:r>
      <w:r>
        <w:rPr>
          <w:color w:val="auto"/>
          <w:spacing w:val="-14"/>
        </w:rPr>
        <w:t>查，持续开展人力资源市场秩序整治专项行动，建立监管投诉制度，深入开展人力资源服务诚信创建行动，营造规范有序、公平正义的市场竞争环境，激发市场主体积极性、创造性，保护求职者合法权益。</w:t>
      </w:r>
    </w:p>
    <w:p w14:paraId="23FE31AA">
      <w:pPr>
        <w:pStyle w:val="6"/>
        <w:keepNext w:val="0"/>
        <w:keepLines w:val="0"/>
        <w:pageBreakBefore w:val="0"/>
        <w:widowControl w:val="0"/>
        <w:tabs>
          <w:tab w:val="left" w:pos="1281"/>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黑体" w:eastAsia="黑体"/>
          <w:color w:val="auto"/>
        </w:rPr>
      </w:pPr>
      <w:bookmarkStart w:id="33" w:name="_Toc11171"/>
      <w:r>
        <w:rPr>
          <w:rFonts w:hint="eastAsia" w:ascii="楷体_GB2312" w:hAnsi="楷体_GB2312" w:eastAsia="楷体_GB2312" w:cs="楷体_GB2312"/>
          <w:color w:val="auto"/>
        </w:rPr>
        <w:t>第六节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完善人才公共服务体系</w:t>
      </w:r>
      <w:bookmarkEnd w:id="33"/>
    </w:p>
    <w:p w14:paraId="23FBE589">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8"/>
        </w:rPr>
        <w:t>畅通劳动力和人才社会性流动渠道。深化人才资源供给侧结</w:t>
      </w:r>
      <w:r>
        <w:rPr>
          <w:color w:val="auto"/>
          <w:spacing w:val="-14"/>
        </w:rPr>
        <w:t>构性改革，建立产业发展、转型升级与人才供求匹配机制。实施</w:t>
      </w:r>
      <w:r>
        <w:rPr>
          <w:color w:val="auto"/>
          <w:spacing w:val="-13"/>
        </w:rPr>
        <w:t>定位清晰、区域协调的人才政策，鼓励和引导各类人才向镇、村</w:t>
      </w:r>
      <w:r>
        <w:rPr>
          <w:color w:val="auto"/>
          <w:spacing w:val="-15"/>
          <w:w w:val="95"/>
        </w:rPr>
        <w:t>基层一线流动。大力发展专业性、行业性人才市场，积极培育各</w:t>
      </w:r>
      <w:r>
        <w:rPr>
          <w:color w:val="auto"/>
          <w:spacing w:val="-19"/>
        </w:rPr>
        <w:t>类专业社会组织和人才中介服务机构。深化人才发展体制机制改</w:t>
      </w:r>
      <w:r>
        <w:rPr>
          <w:color w:val="auto"/>
          <w:spacing w:val="-13"/>
        </w:rPr>
        <w:t>革，持续推动简政放权，破除人才在城乡、区域和不同所有制单</w:t>
      </w:r>
      <w:r>
        <w:rPr>
          <w:color w:val="auto"/>
          <w:spacing w:val="-16"/>
        </w:rPr>
        <w:t>位之间的流动障碍。配合省建设全省归集统一的流动人员人事档案信息系统和基础信息资源库，畅通流动人员职业转换渠道。</w:t>
      </w:r>
    </w:p>
    <w:p w14:paraId="123B11CA">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9"/>
        </w:rPr>
      </w:pPr>
      <w:r>
        <w:rPr>
          <w:color w:val="auto"/>
          <w:spacing w:val="-9"/>
        </w:rPr>
        <w:t>促进人才供需有效对接。强化部门联动和业务协同，推动人</w:t>
      </w:r>
      <w:r>
        <w:rPr>
          <w:color w:val="auto"/>
          <w:spacing w:val="-16"/>
        </w:rPr>
        <w:t>才流动公共服务体系一体化发展。依托广东省急需紧缺人才供求</w:t>
      </w:r>
      <w:r>
        <w:rPr>
          <w:color w:val="auto"/>
          <w:spacing w:val="-15"/>
        </w:rPr>
        <w:t>信息平台，搭建人才供需对接平台，实现线上人岗匹配。加强对重点领域、重点产业人才资源储备和需求分析，强化人才资源供给状况</w:t>
      </w:r>
      <w:r>
        <w:rPr>
          <w:color w:val="auto"/>
          <w:spacing w:val="-9"/>
        </w:rPr>
        <w:t>和流动趋势研判，拓宽人才招揽渠道。</w:t>
      </w:r>
    </w:p>
    <w:p w14:paraId="43BA1827">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9"/>
        </w:rPr>
      </w:pPr>
      <w:r>
        <w:rPr>
          <w:color w:val="auto"/>
          <w:spacing w:val="-9"/>
        </w:rPr>
        <w:t>优化提升人才服务水平。加强“丹霞英才卡”管理。推进高层次人才服务专区建设，健全高层次人才“一站式”服务平台，建立</w:t>
      </w:r>
      <w:r>
        <w:rPr>
          <w:rFonts w:hint="eastAsia"/>
          <w:color w:val="auto"/>
          <w:spacing w:val="-9"/>
          <w:lang w:eastAsia="zh-CN"/>
        </w:rPr>
        <w:t>全区</w:t>
      </w:r>
      <w:r>
        <w:rPr>
          <w:color w:val="auto"/>
          <w:spacing w:val="-9"/>
        </w:rPr>
        <w:t>统一的人才服务标准，加强部门联动，凝聚各方力量，打造最优人才生态。</w:t>
      </w:r>
    </w:p>
    <w:p w14:paraId="25150A1C">
      <w:pPr>
        <w:pStyle w:val="4"/>
        <w:keepNext w:val="0"/>
        <w:keepLines w:val="0"/>
        <w:pageBreakBefore w:val="0"/>
        <w:widowControl w:val="0"/>
        <w:numPr>
          <w:ilvl w:val="0"/>
          <w:numId w:val="1"/>
        </w:numPr>
        <w:tabs>
          <w:tab w:val="left" w:pos="1439"/>
        </w:tabs>
        <w:kinsoku/>
        <w:wordWrap/>
        <w:overflowPunct/>
        <w:topLinePunct w:val="0"/>
        <w:autoSpaceDE w:val="0"/>
        <w:autoSpaceDN w:val="0"/>
        <w:bidi w:val="0"/>
        <w:adjustRightInd/>
        <w:snapToGrid/>
        <w:spacing w:before="0" w:line="560" w:lineRule="exact"/>
        <w:ind w:left="0" w:leftChars="0" w:right="0"/>
        <w:jc w:val="center"/>
        <w:textAlignment w:val="auto"/>
        <w:outlineLvl w:val="0"/>
        <w:rPr>
          <w:rFonts w:hint="eastAsia" w:ascii="黑体" w:hAnsi="黑体" w:eastAsia="黑体" w:cs="黑体"/>
          <w:color w:val="auto"/>
        </w:rPr>
      </w:pPr>
      <w:bookmarkStart w:id="34" w:name="_Toc16765"/>
      <w:r>
        <w:rPr>
          <w:rFonts w:hint="eastAsia" w:ascii="黑体" w:hAnsi="黑体" w:eastAsia="黑体" w:cs="黑体"/>
          <w:color w:val="auto"/>
        </w:rPr>
        <w:t>深化事业单位人事管理体制机制改革</w:t>
      </w:r>
      <w:bookmarkEnd w:id="34"/>
    </w:p>
    <w:p w14:paraId="2FC6801D">
      <w:pPr>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04" w:firstLineChars="200"/>
        <w:jc w:val="both"/>
        <w:textAlignment w:val="auto"/>
        <w:rPr>
          <w:rFonts w:hint="eastAsia" w:ascii="仿宋_GB2312" w:hAnsi="仿宋_GB2312" w:eastAsia="仿宋_GB2312" w:cs="仿宋_GB2312"/>
          <w:color w:val="auto"/>
          <w:spacing w:val="-9"/>
          <w:sz w:val="32"/>
          <w:szCs w:val="32"/>
          <w:lang w:val="zh-CN" w:eastAsia="zh-CN" w:bidi="zh-CN"/>
        </w:rPr>
      </w:pPr>
      <w:r>
        <w:rPr>
          <w:rFonts w:hint="eastAsia" w:ascii="仿宋_GB2312" w:hAnsi="仿宋_GB2312" w:eastAsia="仿宋_GB2312" w:cs="仿宋_GB2312"/>
          <w:color w:val="auto"/>
          <w:spacing w:val="-9"/>
          <w:sz w:val="32"/>
          <w:szCs w:val="32"/>
          <w:lang w:val="zh-CN" w:eastAsia="zh-CN" w:bidi="zh-CN"/>
        </w:rPr>
        <w:t>落实政事分开、事企分开、管办分离的事业单位人事管理体制机制，坚持放管结合并重，完善制度规范，健全约束机制，强化正向激励和治理效能，提高事业单位人事管理的法制化、科学化水平。</w:t>
      </w:r>
    </w:p>
    <w:p w14:paraId="0D5173C2">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spacing w:val="0"/>
          <w:lang w:eastAsia="zh-CN"/>
        </w:rPr>
      </w:pPr>
      <w:bookmarkStart w:id="35" w:name="_Toc8115"/>
      <w:r>
        <w:rPr>
          <w:rFonts w:hint="eastAsia" w:ascii="楷体_GB2312" w:hAnsi="楷体_GB2312" w:eastAsia="楷体_GB2312" w:cs="楷体_GB2312"/>
          <w:color w:val="auto"/>
        </w:rPr>
        <w:t>第一节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全面完善事业单位人事管理政策体系</w:t>
      </w:r>
      <w:bookmarkEnd w:id="35"/>
    </w:p>
    <w:p w14:paraId="47BCD281">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eastAsia"/>
          <w:color w:val="auto"/>
          <w:spacing w:val="-9"/>
          <w:lang w:eastAsia="zh-CN"/>
        </w:rPr>
      </w:pPr>
      <w:r>
        <w:rPr>
          <w:rFonts w:hint="eastAsia"/>
          <w:color w:val="auto"/>
          <w:spacing w:val="-9"/>
          <w:lang w:eastAsia="zh-CN"/>
        </w:rPr>
        <w:t>执行岗位管理制度。贯彻落实事业单位岗位设置管理方法。创新专业技术岗位区域动态调整工作，统筹盘活用好沉淀和低效配置的岗位资源，重点用于加强普惠性、基础性、兜底性民生建设，解决义务教育、基本医疗、基础科研、公共文化等岗位急需，引导人才要素向基层延伸覆盖。</w:t>
      </w:r>
    </w:p>
    <w:p w14:paraId="2648057C">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eastAsia"/>
          <w:color w:val="auto"/>
          <w:spacing w:val="-9"/>
          <w:lang w:eastAsia="zh-CN"/>
        </w:rPr>
      </w:pPr>
      <w:r>
        <w:rPr>
          <w:rFonts w:hint="eastAsia"/>
          <w:color w:val="auto"/>
          <w:spacing w:val="-9"/>
          <w:lang w:eastAsia="zh-CN"/>
        </w:rPr>
        <w:t>落实公开招聘制度。认真落实事业单位公开招聘规章，按照权责一致原则界定人事综合管理部门、主管部门和事业单位间的权责边界，减少直接干预、微观管理，突出事业单位和自我约束。落实《广东省事业单位工作人员交流方法》，促进人才要素自由流动。</w:t>
      </w:r>
    </w:p>
    <w:p w14:paraId="5234B563">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9"/>
        </w:rPr>
      </w:pPr>
      <w:r>
        <w:rPr>
          <w:rFonts w:hint="eastAsia"/>
          <w:color w:val="auto"/>
          <w:spacing w:val="-9"/>
          <w:lang w:eastAsia="zh-CN"/>
        </w:rPr>
        <w:t>完善</w:t>
      </w:r>
      <w:r>
        <w:rPr>
          <w:color w:val="auto"/>
          <w:spacing w:val="-9"/>
        </w:rPr>
        <w:t>薪酬激励引导政策。按照国家和省的部署及时调整事业单位工作人员基本工资标准。分级分类优化事业单位绩效工资管理办法。建立健全统筹相关群体、符合本地发展的事业单位工</w:t>
      </w:r>
      <w:r>
        <w:rPr>
          <w:rFonts w:hint="eastAsia"/>
          <w:color w:val="auto"/>
          <w:spacing w:val="-9"/>
          <w:lang w:val="en-US" w:eastAsia="zh-CN"/>
        </w:rPr>
        <w:t>资</w:t>
      </w:r>
      <w:r>
        <w:rPr>
          <w:color w:val="auto"/>
          <w:spacing w:val="-9"/>
        </w:rPr>
        <w:t>水平决定和动态调整机制及绩效工资总量核定办法。建立健全事业单位绩效考核制度。完善事业单位工作人员福利费制度。</w:t>
      </w:r>
    </w:p>
    <w:p w14:paraId="088336A4">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bookmarkStart w:id="36" w:name="_Toc1718"/>
      <w:r>
        <w:rPr>
          <w:rFonts w:hint="eastAsia" w:ascii="楷体_GB2312" w:hAnsi="楷体_GB2312" w:eastAsia="楷体_GB2312" w:cs="楷体_GB2312"/>
          <w:color w:val="auto"/>
        </w:rPr>
        <w:t>第</w:t>
      </w:r>
      <w:r>
        <w:rPr>
          <w:rFonts w:hint="eastAsia" w:ascii="楷体_GB2312" w:hAnsi="楷体_GB2312" w:eastAsia="楷体_GB2312" w:cs="楷体_GB2312"/>
          <w:color w:val="auto"/>
          <w:lang w:eastAsia="zh-CN"/>
        </w:rPr>
        <w:t>二</w:t>
      </w:r>
      <w:r>
        <w:rPr>
          <w:rFonts w:hint="eastAsia" w:ascii="楷体_GB2312" w:hAnsi="楷体_GB2312" w:eastAsia="楷体_GB2312" w:cs="楷体_GB2312"/>
          <w:color w:val="auto"/>
        </w:rPr>
        <w:t>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全面强化事业单位人事管理服务监督</w:t>
      </w:r>
      <w:bookmarkEnd w:id="36"/>
    </w:p>
    <w:p w14:paraId="06F3BB28">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eastAsia"/>
          <w:color w:val="auto"/>
          <w:spacing w:val="-9"/>
          <w:lang w:eastAsia="zh-CN"/>
        </w:rPr>
      </w:pPr>
      <w:r>
        <w:rPr>
          <w:color w:val="auto"/>
          <w:spacing w:val="-9"/>
        </w:rPr>
        <w:t>坚持协同监管与</w:t>
      </w:r>
      <w:r>
        <w:rPr>
          <w:rFonts w:hint="eastAsia"/>
          <w:color w:val="auto"/>
          <w:spacing w:val="-9"/>
          <w:lang w:eastAsia="zh-CN"/>
        </w:rPr>
        <w:t>约</w:t>
      </w:r>
      <w:r>
        <w:rPr>
          <w:color w:val="auto"/>
          <w:spacing w:val="-9"/>
        </w:rPr>
        <w:t>束相结合、严格管理和激发活力相结合、日常监督和专项监督相结合，创新监管方式，健全监管规则，落实监管责任，落实覆盖人事管理全领域各环节的事中事后监管机制</w:t>
      </w:r>
      <w:r>
        <w:rPr>
          <w:rFonts w:hint="eastAsia"/>
          <w:color w:val="auto"/>
          <w:spacing w:val="-9"/>
          <w:lang w:eastAsia="zh-CN"/>
        </w:rPr>
        <w:t>。</w:t>
      </w:r>
    </w:p>
    <w:p w14:paraId="2B4BA96A">
      <w:pPr>
        <w:pStyle w:val="4"/>
        <w:keepNext w:val="0"/>
        <w:keepLines w:val="0"/>
        <w:pageBreakBefore w:val="0"/>
        <w:widowControl w:val="0"/>
        <w:tabs>
          <w:tab w:val="left" w:pos="1439"/>
        </w:tabs>
        <w:kinsoku/>
        <w:wordWrap/>
        <w:overflowPunct/>
        <w:topLinePunct w:val="0"/>
        <w:autoSpaceDE w:val="0"/>
        <w:autoSpaceDN w:val="0"/>
        <w:bidi w:val="0"/>
        <w:adjustRightInd/>
        <w:snapToGrid/>
        <w:spacing w:before="0" w:line="560" w:lineRule="exact"/>
        <w:ind w:left="0" w:leftChars="0" w:right="0"/>
        <w:jc w:val="center"/>
        <w:textAlignment w:val="auto"/>
        <w:outlineLvl w:val="0"/>
        <w:rPr>
          <w:rFonts w:hint="eastAsia" w:ascii="黑体" w:hAnsi="黑体" w:eastAsia="黑体" w:cs="黑体"/>
          <w:color w:val="auto"/>
        </w:rPr>
      </w:pPr>
      <w:r>
        <w:rPr>
          <w:rFonts w:hint="eastAsia" w:ascii="黑体" w:hAnsi="黑体" w:eastAsia="黑体" w:cs="黑体"/>
          <w:color w:val="auto"/>
        </w:rPr>
        <w:t>第八章</w:t>
      </w:r>
      <w:r>
        <w:rPr>
          <w:rFonts w:hint="eastAsia" w:ascii="黑体" w:hAnsi="黑体" w:eastAsia="黑体" w:cs="黑体"/>
          <w:color w:val="auto"/>
        </w:rPr>
        <w:tab/>
      </w:r>
      <w:r>
        <w:rPr>
          <w:rFonts w:hint="eastAsia" w:ascii="黑体" w:hAnsi="黑体" w:eastAsia="黑体" w:cs="黑体"/>
          <w:color w:val="auto"/>
        </w:rPr>
        <w:t>构建新型和谐劳动关系</w:t>
      </w:r>
    </w:p>
    <w:p w14:paraId="6A4642A2">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9"/>
        </w:rPr>
        <w:t>进一步完善党委领导、政府负责、社会协同、企业和职工参</w:t>
      </w:r>
      <w:r>
        <w:rPr>
          <w:color w:val="auto"/>
          <w:spacing w:val="-13"/>
        </w:rPr>
        <w:t>与、法治保障的工作体制，大力提升劳动关系治理能力和治理水平，提高劳动者权益保障水平，有效预防和化解劳动关系矛盾。</w:t>
      </w:r>
    </w:p>
    <w:p w14:paraId="0EA4A4FC">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p>
    <w:p w14:paraId="458F9ED0">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r>
        <w:rPr>
          <w:rFonts w:hint="eastAsia" w:ascii="楷体_GB2312" w:hAnsi="楷体_GB2312" w:eastAsia="楷体_GB2312" w:cs="楷体_GB2312"/>
          <w:color w:val="auto"/>
        </w:rPr>
        <w:t>第一节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健全劳动关系协调机制</w:t>
      </w:r>
    </w:p>
    <w:p w14:paraId="04E5E2DA">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10"/>
        </w:rPr>
        <w:t>加强劳动合同管理。</w:t>
      </w:r>
      <w:r>
        <w:rPr>
          <w:rFonts w:hint="eastAsia"/>
          <w:color w:val="auto"/>
          <w:spacing w:val="-10"/>
        </w:rPr>
        <w:t>联合相关部门</w:t>
      </w:r>
      <w:r>
        <w:rPr>
          <w:color w:val="auto"/>
          <w:spacing w:val="-10"/>
        </w:rPr>
        <w:t>完善劳动合同制度，推行电子劳动合同</w:t>
      </w:r>
      <w:r>
        <w:rPr>
          <w:color w:val="auto"/>
          <w:spacing w:val="-14"/>
        </w:rPr>
        <w:t>管理和服务，实现劳动合同签订全员覆盖。维护新就业形态劳动</w:t>
      </w:r>
      <w:r>
        <w:rPr>
          <w:color w:val="auto"/>
          <w:spacing w:val="-15"/>
        </w:rPr>
        <w:t>者劳动权益，指导共享用工规范健康发展。完善劳务派遣监管制度，</w:t>
      </w:r>
      <w:r>
        <w:rPr>
          <w:rFonts w:hint="eastAsia"/>
          <w:color w:val="auto"/>
          <w:spacing w:val="-15"/>
        </w:rPr>
        <w:t>联合相关部门</w:t>
      </w:r>
      <w:r>
        <w:rPr>
          <w:color w:val="auto"/>
          <w:spacing w:val="-15"/>
        </w:rPr>
        <w:t>开展对重点行业的突出用工问题治理。</w:t>
      </w:r>
    </w:p>
    <w:p w14:paraId="14A4B914">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rPr>
        <w:t>加强劳动关系协调机制建设。</w:t>
      </w:r>
      <w:r>
        <w:rPr>
          <w:rFonts w:hint="eastAsia"/>
          <w:color w:val="auto"/>
          <w:spacing w:val="-10"/>
        </w:rPr>
        <w:t>联合相关部门</w:t>
      </w:r>
      <w:r>
        <w:rPr>
          <w:color w:val="auto"/>
        </w:rPr>
        <w:t>完善劳动关系形势分析制度，</w:t>
      </w:r>
      <w:r>
        <w:rPr>
          <w:color w:val="auto"/>
          <w:spacing w:val="-7"/>
        </w:rPr>
        <w:t>推动建立劳动关系风险监测预警制度，推动事后处置前移至事先</w:t>
      </w:r>
      <w:r>
        <w:rPr>
          <w:color w:val="auto"/>
          <w:spacing w:val="-12"/>
        </w:rPr>
        <w:t>防控。</w:t>
      </w:r>
      <w:r>
        <w:rPr>
          <w:rFonts w:hint="eastAsia"/>
          <w:color w:val="auto"/>
          <w:spacing w:val="-10"/>
        </w:rPr>
        <w:t>联合相关部门</w:t>
      </w:r>
      <w:r>
        <w:rPr>
          <w:color w:val="auto"/>
          <w:spacing w:val="-12"/>
        </w:rPr>
        <w:t>完善企业经济性裁员监测制度，指导企业依法制定裁员方案，按时足额支付被裁减人员工资、经济补偿，妥善处置劳资纠纷。加强协调劳动关系三方机制建设。</w:t>
      </w:r>
      <w:r>
        <w:rPr>
          <w:rFonts w:hint="eastAsia"/>
          <w:color w:val="auto"/>
          <w:spacing w:val="-10"/>
        </w:rPr>
        <w:t>联合相关部门</w:t>
      </w:r>
      <w:r>
        <w:rPr>
          <w:color w:val="auto"/>
          <w:spacing w:val="-12"/>
        </w:rPr>
        <w:t>推行行业性、区域性集体</w:t>
      </w:r>
      <w:r>
        <w:rPr>
          <w:color w:val="auto"/>
          <w:spacing w:val="-22"/>
          <w:w w:val="95"/>
        </w:rPr>
        <w:t>协商签订集体合同，推动企业建立健全民主管理制度。完善政府、</w:t>
      </w:r>
      <w:r>
        <w:rPr>
          <w:color w:val="auto"/>
          <w:spacing w:val="-14"/>
        </w:rPr>
        <w:t>工会、企业三方劳动关系协调机制，</w:t>
      </w:r>
      <w:r>
        <w:rPr>
          <w:rFonts w:hint="eastAsia"/>
          <w:color w:val="auto"/>
          <w:spacing w:val="-14"/>
        </w:rPr>
        <w:t>协同区工会、工商联</w:t>
      </w:r>
      <w:r>
        <w:rPr>
          <w:color w:val="auto"/>
          <w:spacing w:val="-14"/>
        </w:rPr>
        <w:t>实施</w:t>
      </w:r>
      <w:r>
        <w:rPr>
          <w:rFonts w:hint="eastAsia"/>
          <w:color w:val="auto"/>
          <w:spacing w:val="-14"/>
        </w:rPr>
        <w:t>劳动关系三方共同推进劳资沟通协商工作</w:t>
      </w:r>
      <w:r>
        <w:rPr>
          <w:color w:val="auto"/>
          <w:spacing w:val="-16"/>
        </w:rPr>
        <w:t>，构建</w:t>
      </w:r>
      <w:r>
        <w:rPr>
          <w:rFonts w:hint="eastAsia"/>
          <w:color w:val="auto"/>
          <w:spacing w:val="-16"/>
        </w:rPr>
        <w:t>稳定和谐</w:t>
      </w:r>
      <w:r>
        <w:rPr>
          <w:color w:val="auto"/>
          <w:spacing w:val="-16"/>
        </w:rPr>
        <w:t>劳动关系。</w:t>
      </w:r>
    </w:p>
    <w:p w14:paraId="64E3F04C">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黑体" w:eastAsia="黑体"/>
          <w:color w:val="auto"/>
        </w:rPr>
      </w:pPr>
      <w:r>
        <w:rPr>
          <w:rFonts w:hint="eastAsia" w:ascii="楷体_GB2312" w:hAnsi="楷体_GB2312" w:eastAsia="楷体_GB2312" w:cs="楷体_GB2312"/>
          <w:color w:val="auto"/>
        </w:rPr>
        <w:t>第二节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深化企业工资收入分配制度改革</w:t>
      </w:r>
    </w:p>
    <w:p w14:paraId="67102801">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04" w:firstLineChars="200"/>
        <w:jc w:val="left"/>
        <w:textAlignment w:val="auto"/>
        <w:rPr>
          <w:rFonts w:hint="default"/>
          <w:color w:val="auto"/>
          <w:spacing w:val="-9"/>
          <w:lang w:val="en-US" w:eastAsia="zh-CN"/>
        </w:rPr>
      </w:pPr>
      <w:r>
        <w:rPr>
          <w:rFonts w:hint="eastAsia"/>
          <w:color w:val="auto"/>
          <w:spacing w:val="-9"/>
          <w:lang w:eastAsia="zh-CN"/>
        </w:rPr>
        <w:t>完善工资决定和正常增长机制。配合市局健全劳动、知识、技术、管理等要素按贡献决定报酬的机制，落实省技能人才薪酬分配指引，提高劳动报酬在初次分配中的比重，着力增加一线劳动者劳动报酬，推动更多低收入者进入中等收入行列。完善最低工资保障制度，配合市局实施最低工资标准动态评估，健全与经济发展相适应的最低工资标准动态调整机制。以非公有制企业为重点，完善工资集体协商制度。</w:t>
      </w:r>
    </w:p>
    <w:p w14:paraId="3D4A7EB6">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eastAsia"/>
          <w:color w:val="auto"/>
          <w:spacing w:val="-9"/>
          <w:lang w:eastAsia="zh-CN"/>
        </w:rPr>
      </w:pPr>
      <w:r>
        <w:rPr>
          <w:rFonts w:hint="eastAsia"/>
          <w:color w:val="auto"/>
          <w:spacing w:val="-9"/>
          <w:lang w:eastAsia="zh-CN"/>
        </w:rPr>
        <w:t>完善工资宏观调控指导机制。配合市局健全工资指导线、企业薪酬调查和信息发布制度。开展先进制造业、战略性新兴产业、现代服务业重点薪酬调查。引导鼓励在创新创业中创造高收入岗位。完善企业人工成本监测分析制度，为企业合理确定工资水平提供更具针对性引导。</w:t>
      </w:r>
    </w:p>
    <w:p w14:paraId="5FCEB1D2">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outlineLvl w:val="9"/>
        <w:rPr>
          <w:rFonts w:hint="eastAsia" w:ascii="黑体" w:hAnsi="黑体" w:eastAsia="黑体" w:cs="黑体"/>
          <w:color w:val="auto"/>
          <w:spacing w:val="-9"/>
          <w:lang w:eastAsia="zh-CN"/>
        </w:rPr>
      </w:pPr>
      <w:r>
        <w:rPr>
          <w:rFonts w:hint="eastAsia"/>
          <w:color w:val="auto"/>
          <w:spacing w:val="-9"/>
          <w:lang w:eastAsia="zh-CN"/>
        </w:rPr>
        <w:t>深化国有企业工资制度改革。配合市局完善国有企业工资分配监管体制，完善工资与效益联动机制。改革国有企业工资决定机制，全面实行工资总额预算管理。完善企业内部工资总额管理制度，规范企业工资列支渠道。深入推进国有企业负责人薪酬制度改革,健全国有企业市场化薪酬分配机制，建立国有企业职业经理人薪酬制度。落实国有企业工资内外收入监督管理办法、津补贴和福利管理意见等政策。推进国有企业工资分配信息公开。</w:t>
      </w:r>
    </w:p>
    <w:p w14:paraId="749837B3">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firstLine="0"/>
        <w:jc w:val="center"/>
        <w:textAlignment w:val="auto"/>
        <w:outlineLvl w:val="1"/>
        <w:rPr>
          <w:rFonts w:hint="eastAsia" w:ascii="楷体_GB2312" w:hAnsi="楷体_GB2312" w:eastAsia="楷体_GB2312" w:cs="楷体_GB2312"/>
          <w:color w:val="auto"/>
          <w:spacing w:val="0"/>
          <w:lang w:eastAsia="zh-CN"/>
        </w:rPr>
      </w:pPr>
      <w:r>
        <w:rPr>
          <w:rFonts w:hint="eastAsia" w:ascii="楷体_GB2312" w:hAnsi="楷体_GB2312" w:eastAsia="楷体_GB2312" w:cs="楷体_GB2312"/>
          <w:color w:val="auto"/>
          <w:spacing w:val="0"/>
          <w:lang w:eastAsia="zh-CN"/>
        </w:rPr>
        <w:t>第三节</w:t>
      </w:r>
      <w:r>
        <w:rPr>
          <w:rFonts w:hint="eastAsia" w:ascii="楷体_GB2312" w:hAnsi="楷体_GB2312" w:eastAsia="楷体_GB2312" w:cs="楷体_GB2312"/>
          <w:color w:val="auto"/>
          <w:spacing w:val="0"/>
          <w:lang w:eastAsia="zh-CN"/>
        </w:rPr>
        <w:tab/>
      </w:r>
      <w:r>
        <w:rPr>
          <w:rFonts w:hint="eastAsia" w:ascii="楷体_GB2312" w:hAnsi="楷体_GB2312" w:eastAsia="楷体_GB2312" w:cs="楷体_GB2312"/>
          <w:color w:val="auto"/>
          <w:spacing w:val="0"/>
          <w:lang w:eastAsia="zh-CN"/>
        </w:rPr>
        <w:t>完善劳动人事争议调解仲裁体制机制</w:t>
      </w:r>
    </w:p>
    <w:p w14:paraId="5FAB8FFE">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rFonts w:hint="eastAsia"/>
          <w:color w:val="auto"/>
          <w:spacing w:val="-9"/>
          <w:lang w:eastAsia="zh-CN"/>
        </w:rPr>
        <w:t>完善争议多元化</w:t>
      </w:r>
      <w:r>
        <w:rPr>
          <w:rFonts w:hint="eastAsia"/>
          <w:color w:val="auto"/>
          <w:spacing w:val="-9"/>
          <w:lang w:val="en-US" w:eastAsia="zh-CN"/>
        </w:rPr>
        <w:t>调</w:t>
      </w:r>
      <w:r>
        <w:rPr>
          <w:rFonts w:hint="eastAsia"/>
          <w:color w:val="auto"/>
          <w:spacing w:val="-9"/>
          <w:lang w:eastAsia="zh-CN"/>
        </w:rPr>
        <w:t>解机制。发挥协商、调解在劳动人事争议处理中的基础性作用，推进基层劳动人事争议调解工作体系建设，推进劳动人事争议调解与人民调解、行政调解、仲裁调解、司法调解衔接联动。协调有关部门加大对用人单位源头预防的指导力度，落实内部申诉和协商回应制度，推动用人单位提高自主预防解决争议的能力。鼓励引导社会力量提供专业性调解服务。健全</w:t>
      </w:r>
      <w:r>
        <w:rPr>
          <w:color w:val="auto"/>
        </w:rPr>
        <w:t>集体劳动人事争议应急调解制度。</w:t>
      </w:r>
    </w:p>
    <w:p w14:paraId="3AAE1959">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8"/>
        </w:rPr>
      </w:pPr>
      <w:r>
        <w:rPr>
          <w:color w:val="auto"/>
          <w:spacing w:val="-8"/>
        </w:rPr>
        <w:t>推进仲裁办案方式改革。全面推行“要素式”办案，提高仲裁效能。</w:t>
      </w:r>
      <w:r>
        <w:rPr>
          <w:color w:val="auto"/>
          <w:spacing w:val="-10"/>
        </w:rPr>
        <w:t>规范简易仲裁程序，灵活便捷处理小额简单争议案件。按照省</w:t>
      </w:r>
      <w:r>
        <w:rPr>
          <w:rFonts w:hint="eastAsia"/>
          <w:color w:val="auto"/>
          <w:spacing w:val="-10"/>
          <w:lang w:eastAsia="zh-CN"/>
        </w:rPr>
        <w:t>、</w:t>
      </w:r>
      <w:r>
        <w:rPr>
          <w:rFonts w:hint="eastAsia"/>
          <w:color w:val="auto"/>
          <w:spacing w:val="-10"/>
          <w:lang w:val="en-US" w:eastAsia="zh-CN"/>
        </w:rPr>
        <w:t>市</w:t>
      </w:r>
      <w:r>
        <w:rPr>
          <w:color w:val="auto"/>
          <w:spacing w:val="-10"/>
        </w:rPr>
        <w:t>的统一部署，逐步实行仲裁裁决书网上公开，接受社会监督。加强基础保障，提升案件处理智能化水平和服务当事人能力。加强</w:t>
      </w:r>
      <w:r>
        <w:rPr>
          <w:color w:val="auto"/>
          <w:spacing w:val="-8"/>
        </w:rPr>
        <w:t>调解仲裁机构队伍建设，充实一线专职调解员、仲裁员力量，落实仲裁员分类管理办法。</w:t>
      </w:r>
    </w:p>
    <w:p w14:paraId="597258E6">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eastAsia"/>
          <w:color w:val="auto"/>
          <w:spacing w:val="-8"/>
          <w:lang w:eastAsia="zh-CN"/>
        </w:rPr>
      </w:pPr>
      <w:r>
        <w:rPr>
          <w:color w:val="auto"/>
          <w:spacing w:val="-8"/>
        </w:rPr>
        <w:t>加强调解仲裁与诉讼衔接。贯彻落实裁审受理范围一致、裁审标准统一、裁审程序有效衔接的新规则、新制度。充分发挥省裁审衔接信息平台作用，实现案件数据</w:t>
      </w:r>
      <w:r>
        <w:rPr>
          <w:rFonts w:hint="eastAsia"/>
          <w:color w:val="auto"/>
          <w:spacing w:val="-8"/>
          <w:lang w:val="en-US" w:eastAsia="zh-CN"/>
        </w:rPr>
        <w:t>共享</w:t>
      </w:r>
      <w:r>
        <w:rPr>
          <w:rFonts w:hint="eastAsia"/>
          <w:color w:val="auto"/>
          <w:spacing w:val="-8"/>
          <w:lang w:eastAsia="zh-CN"/>
        </w:rPr>
        <w:t>。</w:t>
      </w:r>
    </w:p>
    <w:p w14:paraId="323460B3">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firstLine="0"/>
        <w:jc w:val="center"/>
        <w:textAlignment w:val="auto"/>
        <w:outlineLvl w:val="1"/>
        <w:rPr>
          <w:rFonts w:hint="eastAsia" w:ascii="楷体_GB2312" w:hAnsi="楷体_GB2312" w:eastAsia="楷体_GB2312" w:cs="楷体_GB2312"/>
          <w:color w:val="auto"/>
        </w:rPr>
      </w:pPr>
      <w:r>
        <w:rPr>
          <w:rFonts w:hint="eastAsia" w:ascii="楷体_GB2312" w:hAnsi="楷体_GB2312" w:eastAsia="楷体_GB2312" w:cs="楷体_GB2312"/>
          <w:color w:val="auto"/>
        </w:rPr>
        <w:t>第四节</w:t>
      </w:r>
      <w:r>
        <w:rPr>
          <w:rFonts w:hint="eastAsia" w:ascii="楷体_GB2312" w:hAnsi="楷体_GB2312" w:eastAsia="楷体_GB2312" w:cs="楷体_GB2312"/>
          <w:color w:val="auto"/>
          <w:lang w:val="en-US" w:eastAsia="zh-CN"/>
        </w:rPr>
        <w:t xml:space="preserve">  </w:t>
      </w:r>
      <w:r>
        <w:rPr>
          <w:rFonts w:hint="eastAsia" w:ascii="楷体_GB2312" w:hAnsi="楷体_GB2312" w:eastAsia="楷体_GB2312" w:cs="楷体_GB2312"/>
          <w:color w:val="auto"/>
        </w:rPr>
        <w:t>提高劳动保障监察治理效能</w:t>
      </w:r>
    </w:p>
    <w:p w14:paraId="36CDFFD7">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eastAsia"/>
          <w:color w:val="auto"/>
          <w:spacing w:val="-10"/>
          <w:lang w:eastAsia="zh-CN"/>
        </w:rPr>
      </w:pPr>
      <w:r>
        <w:rPr>
          <w:rFonts w:hint="eastAsia"/>
          <w:color w:val="auto"/>
          <w:spacing w:val="-10"/>
        </w:rPr>
        <w:t>健全治欠保支长效机制。贯彻落实《保障农民工工资支付条例》。加大重大劳动保障违法行为社会公布和纳入拖欠农民工</w:t>
      </w:r>
      <w:r>
        <w:rPr>
          <w:rFonts w:hint="eastAsia"/>
          <w:color w:val="auto"/>
          <w:spacing w:val="-10"/>
          <w:lang w:eastAsia="zh-CN"/>
        </w:rPr>
        <w:t>工资</w:t>
      </w:r>
      <w:r>
        <w:rPr>
          <w:rFonts w:hint="eastAsia"/>
          <w:color w:val="auto"/>
          <w:spacing w:val="-10"/>
        </w:rPr>
        <w:t>“黑名单”力度，会同行业主管部门联合惩戒。强化“两法衔接”打击恶意欠薪，推动完善快立、快捕、快诉、快审、快判机制。依法查处劳动保障监察违法行为。组织实施保障工资支付、人力资源市场秩序清理整顿、劳动用工等业务相关的监察执法，积极开展相关专项执法行动。针对新修改计生条例等新情况，健全女职工权益保障机制。加大对非法用工查处力度，依法打击使用童工、强迫劳动、拒不支付劳动报酬等违法犯罪行为。规范执法程序，创新执法方式，建立健全自由裁量权制度，落实行政执法“三项制度”和“双随机、一公开”监管机制。畅通劳动者多元维权渠道，完善咨询热线、劳动监察网络投诉平台。健全劳动保障诚信等级评价制度，建立健全企业诚信档案。强化基层劳动保障监察机构综合执法职能。加强基层执法人员岗位业务能力分级分类培训，大力提升基层执法人员素质</w:t>
      </w:r>
      <w:r>
        <w:rPr>
          <w:rFonts w:hint="eastAsia"/>
          <w:color w:val="auto"/>
          <w:spacing w:val="-10"/>
          <w:lang w:eastAsia="zh-CN"/>
        </w:rPr>
        <w:t>。</w:t>
      </w:r>
    </w:p>
    <w:p w14:paraId="57A9B32E">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r>
        <w:rPr>
          <w:rFonts w:hint="eastAsia" w:ascii="楷体_GB2312" w:hAnsi="楷体_GB2312" w:eastAsia="楷体_GB2312" w:cs="楷体_GB2312"/>
          <w:color w:val="auto"/>
        </w:rPr>
        <w:t>第五节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加强异地务工人员服务保障</w:t>
      </w:r>
    </w:p>
    <w:p w14:paraId="5A408195">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7"/>
        </w:rPr>
      </w:pPr>
      <w:r>
        <w:rPr>
          <w:color w:val="auto"/>
          <w:spacing w:val="-11"/>
        </w:rPr>
        <w:t>加快推进新型城镇化，不断提升异地务工人员平等享受城镇</w:t>
      </w:r>
      <w:r>
        <w:rPr>
          <w:color w:val="auto"/>
          <w:spacing w:val="-16"/>
        </w:rPr>
        <w:t>基本公共服务水平，促进异地务工人员市民化。落实异地务工人</w:t>
      </w:r>
      <w:r>
        <w:rPr>
          <w:color w:val="auto"/>
          <w:spacing w:val="6"/>
        </w:rPr>
        <w:t>员与城镇职工平等就业制度，多渠道促进异地务工人员就业创</w:t>
      </w:r>
      <w:r>
        <w:rPr>
          <w:color w:val="auto"/>
          <w:spacing w:val="-11"/>
        </w:rPr>
        <w:t>业。大规模开展异地务工人员培训。推动异地务工人员依法签订劳动合同。落实异地务工人员与城镇职工享受同工同酬的权利。</w:t>
      </w:r>
      <w:r>
        <w:rPr>
          <w:color w:val="auto"/>
          <w:spacing w:val="-17"/>
        </w:rPr>
        <w:t>健全异地务工人员劳动权益保护机制，扩大异地务工人员参加城</w:t>
      </w:r>
      <w:r>
        <w:rPr>
          <w:color w:val="auto"/>
          <w:spacing w:val="-18"/>
        </w:rPr>
        <w:t>镇职工社会保险覆盖范围，实现有稳定劳动关系的异地务工人员</w:t>
      </w:r>
      <w:r>
        <w:rPr>
          <w:color w:val="auto"/>
          <w:spacing w:val="-14"/>
        </w:rPr>
        <w:t>全部参保。引导异地务工人员就地就近解决工资争议，优先受理拖欠异地务工人员工资仲裁案件，推动从根本上解决欠薪问题。</w:t>
      </w:r>
      <w:r>
        <w:rPr>
          <w:color w:val="auto"/>
          <w:spacing w:val="-19"/>
        </w:rPr>
        <w:t>加强新就业形态从业人员劳动权益保障。提高异地务工人员基层</w:t>
      </w:r>
      <w:r>
        <w:rPr>
          <w:color w:val="auto"/>
          <w:spacing w:val="-15"/>
        </w:rPr>
        <w:t>服务能力，完善异地务工人员服务保障机制。发挥异地务工人员</w:t>
      </w:r>
      <w:r>
        <w:rPr>
          <w:color w:val="auto"/>
          <w:spacing w:val="-17"/>
        </w:rPr>
        <w:t>在乡村振兴中的作用，落实促进异地务工人员返乡创业政策，鼓励和引导更多异地务工人员投身乡村振兴建设。</w:t>
      </w:r>
    </w:p>
    <w:p w14:paraId="7BA08E2A">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center"/>
        <w:textAlignment w:val="auto"/>
        <w:outlineLvl w:val="0"/>
        <w:rPr>
          <w:rFonts w:hint="eastAsia" w:ascii="黑体" w:hAnsi="黑体" w:eastAsia="黑体" w:cs="黑体"/>
          <w:color w:val="auto"/>
          <w:sz w:val="36"/>
          <w:szCs w:val="36"/>
        </w:rPr>
      </w:pPr>
      <w:r>
        <w:rPr>
          <w:rFonts w:hint="eastAsia" w:ascii="黑体" w:hAnsi="黑体" w:eastAsia="黑体" w:cs="黑体"/>
          <w:color w:val="auto"/>
          <w:sz w:val="36"/>
          <w:szCs w:val="36"/>
        </w:rPr>
        <w:t>第九章</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rPr>
        <w:t>全方位提升公共服务能力和质量</w:t>
      </w:r>
    </w:p>
    <w:p w14:paraId="3F27EF5C">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7"/>
        </w:rPr>
        <w:t>健全人力资源社会保障公共服务制度，推进基本公共服务均</w:t>
      </w:r>
      <w:r>
        <w:rPr>
          <w:color w:val="auto"/>
          <w:spacing w:val="-13"/>
        </w:rPr>
        <w:t>等化标准化信息化，加强公共服务基础设施建设，加强系统行风</w:t>
      </w:r>
      <w:r>
        <w:rPr>
          <w:color w:val="auto"/>
          <w:spacing w:val="-12"/>
        </w:rPr>
        <w:t>建设，为人民群众提供更加全面、更加均衡、更高质量、更加便捷、更可持续的人力资源社会保障基本公共服务。</w:t>
      </w:r>
    </w:p>
    <w:p w14:paraId="1C50D5F6">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r>
        <w:rPr>
          <w:rFonts w:hint="eastAsia" w:ascii="楷体_GB2312" w:hAnsi="楷体_GB2312" w:eastAsia="楷体_GB2312" w:cs="楷体_GB2312"/>
          <w:color w:val="auto"/>
        </w:rPr>
        <w:t>第一节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推进基本公共服务标准化信息化建设</w:t>
      </w:r>
    </w:p>
    <w:p w14:paraId="3CF4BE50">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9"/>
        </w:rPr>
        <w:t>实施基本公共服务标准化管理。加强人力资源社会保障基本</w:t>
      </w:r>
      <w:r>
        <w:rPr>
          <w:color w:val="auto"/>
          <w:spacing w:val="-14"/>
        </w:rPr>
        <w:t>公共服务标准化建设，以标准化促进基本公共服务均等化、普惠</w:t>
      </w:r>
      <w:r>
        <w:rPr>
          <w:color w:val="auto"/>
          <w:spacing w:val="-13"/>
        </w:rPr>
        <w:t>化、便捷化。落实全省人力资源社会保障公共服务标准，推进服</w:t>
      </w:r>
      <w:r>
        <w:rPr>
          <w:color w:val="auto"/>
          <w:spacing w:val="-22"/>
        </w:rPr>
        <w:t>务窗口标准化规范化建设，完善服务流程、设施设备、人员配备、</w:t>
      </w:r>
      <w:r>
        <w:rPr>
          <w:color w:val="auto"/>
          <w:spacing w:val="-11"/>
        </w:rPr>
        <w:t>业务系统等软硬件标准。建立重要公共服务标准实施的监督评估制度，促进标准信息公开共享。</w:t>
      </w:r>
    </w:p>
    <w:p w14:paraId="0513FB6C">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rFonts w:hint="eastAsia" w:eastAsia="仿宋_GB2312"/>
          <w:color w:val="auto"/>
          <w:spacing w:val="-14"/>
          <w:lang w:eastAsia="zh-CN"/>
        </w:rPr>
      </w:pPr>
      <w:r>
        <w:rPr>
          <w:color w:val="auto"/>
          <w:spacing w:val="-8"/>
          <w:w w:val="95"/>
        </w:rPr>
        <w:t>促进基本公共服务标准衔接。推动</w:t>
      </w:r>
      <w:r>
        <w:rPr>
          <w:rFonts w:hint="eastAsia"/>
          <w:color w:val="auto"/>
          <w:spacing w:val="-14"/>
          <w:lang w:eastAsia="zh-CN"/>
        </w:rPr>
        <w:t>我区</w:t>
      </w:r>
      <w:r>
        <w:rPr>
          <w:color w:val="auto"/>
          <w:spacing w:val="-14"/>
        </w:rPr>
        <w:t>人力资源服务、劳动管理等领域服务标准</w:t>
      </w:r>
      <w:r>
        <w:rPr>
          <w:rFonts w:hint="eastAsia"/>
          <w:color w:val="auto"/>
          <w:spacing w:val="-14"/>
          <w:lang w:eastAsia="zh-CN"/>
        </w:rPr>
        <w:t>高质量提升。</w:t>
      </w:r>
    </w:p>
    <w:p w14:paraId="5D69C074">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spacing w:val="-14"/>
        </w:rPr>
      </w:pPr>
      <w:r>
        <w:rPr>
          <w:color w:val="auto"/>
          <w:spacing w:val="-8"/>
        </w:rPr>
        <w:t>依托信息化提质增效。加快推进部门内、跨部门、跨层级信</w:t>
      </w:r>
      <w:r>
        <w:rPr>
          <w:color w:val="auto"/>
          <w:spacing w:val="-12"/>
        </w:rPr>
        <w:t>息共享，实现重点领域和高频事项“一网一门一次”办理。大力</w:t>
      </w:r>
      <w:r>
        <w:rPr>
          <w:color w:val="auto"/>
          <w:spacing w:val="-15"/>
        </w:rPr>
        <w:t>推广移动办事平台，推动全流程网办和不见面服务，打造实体窗口、互联网、自助服务“三位一体”服务体系，实现一网通办、</w:t>
      </w:r>
      <w:r>
        <w:rPr>
          <w:rFonts w:hint="eastAsia"/>
          <w:color w:val="auto"/>
          <w:spacing w:val="-14"/>
          <w:lang w:eastAsia="zh-CN"/>
        </w:rPr>
        <w:t>全区</w:t>
      </w:r>
      <w:r>
        <w:rPr>
          <w:color w:val="auto"/>
          <w:spacing w:val="-14"/>
        </w:rPr>
        <w:t>通办、异地可办。</w:t>
      </w:r>
      <w:r>
        <w:rPr>
          <w:rFonts w:hint="eastAsia"/>
          <w:color w:val="auto"/>
          <w:spacing w:val="-14"/>
          <w:lang w:eastAsia="zh-CN"/>
        </w:rPr>
        <w:t>落实</w:t>
      </w:r>
      <w:r>
        <w:rPr>
          <w:color w:val="auto"/>
          <w:spacing w:val="-14"/>
        </w:rPr>
        <w:t>社保卡“一卡通”服务管理模式，不断拓展社保卡服务功能。</w:t>
      </w:r>
    </w:p>
    <w:p w14:paraId="27550B99">
      <w:pPr>
        <w:pStyle w:val="6"/>
        <w:keepNext w:val="0"/>
        <w:keepLines w:val="0"/>
        <w:pageBreakBefore w:val="0"/>
        <w:widowControl w:val="0"/>
        <w:numPr>
          <w:ilvl w:val="-1"/>
          <w:numId w:val="0"/>
        </w:numPr>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r>
        <w:rPr>
          <w:rFonts w:hint="eastAsia" w:ascii="楷体_GB2312" w:hAnsi="楷体_GB2312" w:eastAsia="楷体_GB2312" w:cs="楷体_GB2312"/>
          <w:color w:val="auto"/>
          <w:lang w:val="en-US" w:eastAsia="zh-CN"/>
        </w:rPr>
        <w:t xml:space="preserve">第二节  </w:t>
      </w:r>
      <w:r>
        <w:rPr>
          <w:rFonts w:hint="eastAsia" w:ascii="楷体_GB2312" w:hAnsi="楷体_GB2312" w:eastAsia="楷体_GB2312" w:cs="楷体_GB2312"/>
          <w:color w:val="auto"/>
        </w:rPr>
        <w:t>厚植优质服务作风</w:t>
      </w:r>
    </w:p>
    <w:p w14:paraId="6F30CB96">
      <w:pPr>
        <w:pStyle w:val="6"/>
        <w:keepNext w:val="0"/>
        <w:keepLines w:val="0"/>
        <w:pageBreakBefore w:val="0"/>
        <w:widowControl w:val="0"/>
        <w:numPr>
          <w:ilvl w:val="0"/>
          <w:numId w:val="0"/>
        </w:numPr>
        <w:tabs>
          <w:tab w:val="left" w:pos="1279"/>
        </w:tabs>
        <w:kinsoku/>
        <w:wordWrap/>
        <w:overflowPunct/>
        <w:topLinePunct w:val="0"/>
        <w:autoSpaceDE w:val="0"/>
        <w:autoSpaceDN w:val="0"/>
        <w:bidi w:val="0"/>
        <w:adjustRightInd/>
        <w:snapToGrid/>
        <w:spacing w:before="0" w:line="560" w:lineRule="exact"/>
        <w:ind w:right="0" w:rightChars="0" w:firstLine="600" w:firstLineChars="200"/>
        <w:jc w:val="both"/>
        <w:textAlignment w:val="auto"/>
        <w:rPr>
          <w:color w:val="auto"/>
        </w:rPr>
      </w:pPr>
      <w:r>
        <w:rPr>
          <w:color w:val="auto"/>
          <w:spacing w:val="-10"/>
        </w:rPr>
        <w:t>加强系统行风建设。实施行风建设提升行动，构建简约高效</w:t>
      </w:r>
      <w:r>
        <w:rPr>
          <w:color w:val="auto"/>
          <w:spacing w:val="-16"/>
        </w:rPr>
        <w:t>的人力资源社会保障服务管理制度体系，动态调整行政审批和公共服务事项清单、办事指南，深入推广“人社服务快办行动”，</w:t>
      </w:r>
      <w:r>
        <w:rPr>
          <w:color w:val="auto"/>
          <w:spacing w:val="-18"/>
        </w:rPr>
        <w:t>不断提升企业群众办事体验。大力推广证明事项告知承诺制，推</w:t>
      </w:r>
      <w:r>
        <w:rPr>
          <w:color w:val="auto"/>
          <w:spacing w:val="-17"/>
        </w:rPr>
        <w:t>进综合柜员制，实行证明材料正面清单制度，实现人力资源社会</w:t>
      </w:r>
      <w:r>
        <w:rPr>
          <w:color w:val="auto"/>
          <w:spacing w:val="-19"/>
        </w:rPr>
        <w:t>保障政务服务线上“一网通办”、线下“只进一扇门”、现场办</w:t>
      </w:r>
      <w:r>
        <w:rPr>
          <w:color w:val="auto"/>
          <w:spacing w:val="-22"/>
          <w:w w:val="95"/>
        </w:rPr>
        <w:t>理“最多跑一次”。深化行政审批制度改革，持续推进简政放权、</w:t>
      </w:r>
      <w:r>
        <w:rPr>
          <w:color w:val="auto"/>
          <w:spacing w:val="-14"/>
        </w:rPr>
        <w:t>放管结合、优化服务，推动服务窗口向村</w:t>
      </w:r>
      <w:r>
        <w:rPr>
          <w:color w:val="auto"/>
        </w:rPr>
        <w:t>（社区</w:t>
      </w:r>
      <w:r>
        <w:rPr>
          <w:color w:val="auto"/>
          <w:spacing w:val="-22"/>
        </w:rPr>
        <w:t>）</w:t>
      </w:r>
      <w:r>
        <w:rPr>
          <w:color w:val="auto"/>
          <w:spacing w:val="-5"/>
        </w:rPr>
        <w:t>下沉前移。常态化开展业务技能练兵比武，大力培树和宣传“人社知识通”。</w:t>
      </w:r>
    </w:p>
    <w:p w14:paraId="2DD1A928">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10"/>
        </w:rPr>
        <w:t>强化常态化监督。深入开展窗口服务“明察暗访”行动，构</w:t>
      </w:r>
      <w:r>
        <w:rPr>
          <w:color w:val="auto"/>
          <w:spacing w:val="-16"/>
        </w:rPr>
        <w:t>建疏导民生堵点痛点难点长效机制。落实人力资源社会保障政务</w:t>
      </w:r>
      <w:r>
        <w:rPr>
          <w:color w:val="auto"/>
          <w:spacing w:val="-17"/>
        </w:rPr>
        <w:t>服务“好差评”制度，形成差评和投诉问题的调查核实、督促整改和反馈机制。严格实施服务效能监督机制，畅通群众投诉举报</w:t>
      </w:r>
      <w:r>
        <w:rPr>
          <w:color w:val="auto"/>
          <w:spacing w:val="-14"/>
        </w:rPr>
        <w:t>渠道，加大执纪问责力度。强化宣传引导和舆情监测，加强警示</w:t>
      </w:r>
      <w:r>
        <w:rPr>
          <w:color w:val="auto"/>
          <w:spacing w:val="-12"/>
        </w:rPr>
        <w:t>教育。配合省人社厅建设人力资源社会保障监测指挥平台，开展行风监测。</w:t>
      </w:r>
    </w:p>
    <w:p w14:paraId="72661389">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黑体" w:eastAsia="黑体"/>
          <w:color w:val="auto"/>
        </w:rPr>
      </w:pPr>
      <w:r>
        <w:rPr>
          <w:rFonts w:hint="eastAsia" w:ascii="楷体_GB2312" w:hAnsi="楷体_GB2312" w:eastAsia="楷体_GB2312" w:cs="楷体_GB2312"/>
          <w:color w:val="auto"/>
        </w:rPr>
        <w:t>第三节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加强人社公共服务队伍建设</w:t>
      </w:r>
    </w:p>
    <w:p w14:paraId="093645B1">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rPr>
        <w:t>加强人力资源社会保障公共服务队伍建设，优化人员结构，</w:t>
      </w:r>
      <w:r>
        <w:rPr>
          <w:color w:val="auto"/>
          <w:spacing w:val="-10"/>
        </w:rPr>
        <w:t>通过公开招聘高校毕业生、政府购买服务等形式充实基层公共服务队伍，完善职业保障机制。分级分类开展系统干部教育培训，</w:t>
      </w:r>
      <w:r>
        <w:rPr>
          <w:color w:val="auto"/>
          <w:spacing w:val="-14"/>
        </w:rPr>
        <w:t>打造政治坚定、服务为民、严明务实、业务精湛的高素质人社系</w:t>
      </w:r>
      <w:r>
        <w:rPr>
          <w:color w:val="auto"/>
          <w:spacing w:val="-15"/>
        </w:rPr>
        <w:t>统干部队伍。加强基层经办队伍能力建设，建设基层服务型党组织。强化系统廉政风险防控，从严监督管理干部队伍。</w:t>
      </w:r>
    </w:p>
    <w:p w14:paraId="42848E22">
      <w:pPr>
        <w:pStyle w:val="4"/>
        <w:keepNext w:val="0"/>
        <w:keepLines w:val="0"/>
        <w:pageBreakBefore w:val="0"/>
        <w:widowControl w:val="0"/>
        <w:tabs>
          <w:tab w:val="left" w:pos="1439"/>
        </w:tabs>
        <w:kinsoku/>
        <w:wordWrap/>
        <w:overflowPunct/>
        <w:topLinePunct w:val="0"/>
        <w:autoSpaceDE w:val="0"/>
        <w:autoSpaceDN w:val="0"/>
        <w:bidi w:val="0"/>
        <w:adjustRightInd/>
        <w:snapToGrid/>
        <w:spacing w:before="0" w:line="560" w:lineRule="exact"/>
        <w:ind w:left="0" w:leftChars="0" w:right="0"/>
        <w:jc w:val="center"/>
        <w:textAlignment w:val="auto"/>
        <w:outlineLvl w:val="0"/>
        <w:rPr>
          <w:rFonts w:hint="eastAsia" w:ascii="黑体" w:hAnsi="黑体" w:eastAsia="黑体" w:cs="黑体"/>
          <w:color w:val="auto"/>
        </w:rPr>
      </w:pPr>
      <w:r>
        <w:rPr>
          <w:rFonts w:hint="eastAsia" w:ascii="黑体" w:hAnsi="黑体" w:eastAsia="黑体" w:cs="黑体"/>
          <w:color w:val="auto"/>
        </w:rPr>
        <w:t>第十章</w:t>
      </w:r>
      <w:r>
        <w:rPr>
          <w:rFonts w:hint="eastAsia" w:ascii="黑体" w:hAnsi="黑体" w:eastAsia="黑体" w:cs="黑体"/>
          <w:color w:val="auto"/>
        </w:rPr>
        <w:tab/>
      </w:r>
      <w:r>
        <w:rPr>
          <w:rFonts w:hint="eastAsia" w:ascii="黑体" w:hAnsi="黑体" w:eastAsia="黑体" w:cs="黑体"/>
          <w:color w:val="auto"/>
        </w:rPr>
        <w:t>推动规划有效落实</w:t>
      </w:r>
    </w:p>
    <w:p w14:paraId="69959AED">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6"/>
          <w:w w:val="95"/>
        </w:rPr>
        <w:t>“十四五”时期人力资源社会保障事业高质量发展任务艰</w:t>
      </w:r>
      <w:r>
        <w:rPr>
          <w:color w:val="auto"/>
          <w:spacing w:val="-10"/>
        </w:rPr>
        <w:t>巨，要广泛发动各方力量，突出重点、统揽全局，完善各项保障措施，推动规划确定的各项目标任务落实落地。</w:t>
      </w:r>
    </w:p>
    <w:p w14:paraId="30C56095">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left="0" w:leftChars="0" w:right="0"/>
        <w:jc w:val="center"/>
        <w:textAlignment w:val="auto"/>
        <w:outlineLvl w:val="1"/>
        <w:rPr>
          <w:rFonts w:hint="eastAsia" w:ascii="楷体_GB2312" w:hAnsi="楷体_GB2312" w:eastAsia="楷体_GB2312" w:cs="楷体_GB2312"/>
          <w:color w:val="auto"/>
        </w:rPr>
      </w:pPr>
      <w:r>
        <w:rPr>
          <w:rFonts w:hint="eastAsia" w:ascii="楷体_GB2312" w:hAnsi="楷体_GB2312" w:eastAsia="楷体_GB2312" w:cs="楷体_GB2312"/>
          <w:color w:val="auto"/>
        </w:rPr>
        <w:t>第一节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坚持党的全面领导</w:t>
      </w:r>
    </w:p>
    <w:p w14:paraId="6B18216B">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both"/>
        <w:textAlignment w:val="auto"/>
        <w:rPr>
          <w:color w:val="auto"/>
        </w:rPr>
      </w:pPr>
      <w:r>
        <w:rPr>
          <w:color w:val="auto"/>
          <w:spacing w:val="-10"/>
        </w:rPr>
        <w:t>坚持和加强党的全面领导，把党的领导贯穿到规划实施的各</w:t>
      </w:r>
      <w:r>
        <w:rPr>
          <w:color w:val="auto"/>
          <w:spacing w:val="6"/>
          <w:w w:val="95"/>
        </w:rPr>
        <w:t>领域和全过程，引领保障</w:t>
      </w:r>
      <w:r>
        <w:rPr>
          <w:rFonts w:hint="eastAsia"/>
          <w:color w:val="auto"/>
          <w:spacing w:val="6"/>
          <w:w w:val="95"/>
          <w:lang w:eastAsia="zh-CN"/>
        </w:rPr>
        <w:t>我区</w:t>
      </w:r>
      <w:r>
        <w:rPr>
          <w:color w:val="auto"/>
          <w:spacing w:val="6"/>
          <w:w w:val="95"/>
        </w:rPr>
        <w:t>人力资源社会保障事业高质量发</w:t>
      </w:r>
      <w:r>
        <w:rPr>
          <w:color w:val="auto"/>
          <w:spacing w:val="-11"/>
        </w:rPr>
        <w:t>展。完善上下贯通、执行有力的组织体系，以高质量党建推进高</w:t>
      </w:r>
      <w:r>
        <w:rPr>
          <w:color w:val="auto"/>
          <w:spacing w:val="-14"/>
        </w:rPr>
        <w:t>质量发展。充分发挥党组织和党员的作用，最大限度凝聚全</w:t>
      </w:r>
      <w:r>
        <w:rPr>
          <w:color w:val="auto"/>
          <w:spacing w:val="-15"/>
        </w:rPr>
        <w:t>社会共识和力量，共同推动</w:t>
      </w:r>
      <w:r>
        <w:rPr>
          <w:rFonts w:hint="eastAsia"/>
          <w:color w:val="auto"/>
          <w:spacing w:val="-15"/>
          <w:lang w:eastAsia="zh-CN"/>
        </w:rPr>
        <w:t>我区</w:t>
      </w:r>
      <w:r>
        <w:rPr>
          <w:color w:val="auto"/>
          <w:spacing w:val="-15"/>
        </w:rPr>
        <w:t>人力资源社会保障事业发展“十</w:t>
      </w:r>
      <w:r>
        <w:rPr>
          <w:color w:val="auto"/>
          <w:spacing w:val="-13"/>
        </w:rPr>
        <w:t>四五”规划蓝图实施。持之以恒落实中央八项规定精神，严防推进规划实施过程中的形式主义、官僚主义问题。</w:t>
      </w:r>
    </w:p>
    <w:p w14:paraId="5F115A95">
      <w:pPr>
        <w:pStyle w:val="6"/>
        <w:keepNext w:val="0"/>
        <w:keepLines w:val="0"/>
        <w:pageBreakBefore w:val="0"/>
        <w:widowControl w:val="0"/>
        <w:tabs>
          <w:tab w:val="left" w:pos="1279"/>
        </w:tabs>
        <w:kinsoku/>
        <w:wordWrap/>
        <w:overflowPunct/>
        <w:topLinePunct w:val="0"/>
        <w:autoSpaceDE w:val="0"/>
        <w:autoSpaceDN w:val="0"/>
        <w:bidi w:val="0"/>
        <w:adjustRightInd/>
        <w:snapToGrid/>
        <w:spacing w:before="0" w:line="560" w:lineRule="exact"/>
        <w:ind w:right="0"/>
        <w:jc w:val="center"/>
        <w:textAlignment w:val="auto"/>
        <w:outlineLvl w:val="1"/>
        <w:rPr>
          <w:rFonts w:hint="eastAsia" w:ascii="楷体_GB2312" w:hAnsi="楷体_GB2312" w:eastAsia="楷体_GB2312" w:cs="楷体_GB2312"/>
          <w:color w:val="auto"/>
        </w:rPr>
      </w:pPr>
      <w:r>
        <w:rPr>
          <w:rFonts w:hint="eastAsia" w:ascii="楷体_GB2312" w:hAnsi="楷体_GB2312" w:eastAsia="楷体_GB2312" w:cs="楷体_GB2312"/>
          <w:color w:val="auto"/>
        </w:rPr>
        <w:t>第二节</w:t>
      </w:r>
      <w:r>
        <w:rPr>
          <w:rFonts w:hint="eastAsia" w:ascii="楷体_GB2312" w:hAnsi="楷体_GB2312" w:eastAsia="楷体_GB2312" w:cs="楷体_GB2312"/>
          <w:color w:val="auto"/>
        </w:rPr>
        <w:tab/>
      </w:r>
      <w:r>
        <w:rPr>
          <w:rFonts w:hint="eastAsia" w:ascii="楷体_GB2312" w:hAnsi="楷体_GB2312" w:eastAsia="楷体_GB2312" w:cs="楷体_GB2312"/>
          <w:color w:val="auto"/>
        </w:rPr>
        <w:t>强化法治建设</w:t>
      </w:r>
    </w:p>
    <w:p w14:paraId="3C711B16">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jc w:val="left"/>
        <w:textAlignment w:val="auto"/>
        <w:rPr>
          <w:rFonts w:hint="eastAsia"/>
          <w:color w:val="auto"/>
          <w:spacing w:val="-9"/>
          <w:lang w:eastAsia="zh-CN"/>
        </w:rPr>
        <w:sectPr>
          <w:pgSz w:w="11910" w:h="16840"/>
          <w:pgMar w:top="1582" w:right="941" w:bottom="1400" w:left="1202" w:header="0" w:footer="963" w:gutter="0"/>
          <w:pgNumType w:fmt="decimal"/>
          <w:cols w:space="0" w:num="1"/>
          <w:rtlGutter w:val="0"/>
          <w:docGrid w:linePitch="0" w:charSpace="0"/>
        </w:sectPr>
      </w:pPr>
      <w:r>
        <w:rPr>
          <w:color w:val="auto"/>
          <w:spacing w:val="-6"/>
        </w:rPr>
        <w:t>全面贯彻实施人力资源社会保障法律法规规章，</w:t>
      </w:r>
      <w:r>
        <w:rPr>
          <w:color w:val="auto"/>
          <w:spacing w:val="-12"/>
        </w:rPr>
        <w:t>加强规范性文件管理，不断健全政策体系。深化行政审批制度改革，持续推进简政放权、放管结合、优化服务。</w:t>
      </w:r>
      <w:r>
        <w:rPr>
          <w:color w:val="auto"/>
          <w:spacing w:val="-16"/>
        </w:rPr>
        <w:t>加强依法行政制度建设，完善法律顾问、行政应诉等制度。健全依法决策机制，落实权力清单和责任清单制度，促进行政权力依法规范公开运行。推进行政执法责任制，规范行政执法裁量权，</w:t>
      </w:r>
      <w:r>
        <w:rPr>
          <w:color w:val="auto"/>
          <w:spacing w:val="-17"/>
        </w:rPr>
        <w:t>加强行政执法人员监管，促进严格规范公正文明执法。加强内部</w:t>
      </w:r>
      <w:r>
        <w:rPr>
          <w:color w:val="auto"/>
          <w:spacing w:val="-15"/>
        </w:rPr>
        <w:t>层级监督，主动接受司法监督。大力开展人力资源社会保障法治</w:t>
      </w:r>
      <w:r>
        <w:rPr>
          <w:color w:val="auto"/>
        </w:rPr>
        <w:t>宣传教育。</w:t>
      </w:r>
    </w:p>
    <w:p w14:paraId="27736107">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jc w:val="both"/>
        <w:textAlignment w:val="auto"/>
        <w:rPr>
          <w:color w:val="auto"/>
        </w:rPr>
      </w:pPr>
    </w:p>
    <w:sectPr>
      <w:footerReference r:id="rId12" w:type="default"/>
      <w:footerReference r:id="rId13" w:type="even"/>
      <w:pgSz w:w="11910" w:h="16840"/>
      <w:pgMar w:top="1582" w:right="941" w:bottom="1400" w:left="1202" w:header="0" w:footer="12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685E1">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25C32">
    <w:pPr>
      <w:pStyle w:val="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D95B">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1807C">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vJ7soBAACc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fU2J4xYHfvnx/fLz9+XXN7Ks&#10;blZ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HvJ7soBAACcAwAADgAAAAAAAAABACAAAAAeAQAAZHJzL2Uyb0Rv&#10;Yy54bWxQSwUGAAAAAAYABgBZAQAAWgUAAAAA&#10;">
              <v:fill on="f" focussize="0,0"/>
              <v:stroke on="f"/>
              <v:imagedata o:title=""/>
              <o:lock v:ext="edit" aspectratio="f"/>
              <v:textbox inset="0mm,0mm,0mm,0mm" style="mso-fit-shape-to-text:t;">
                <w:txbxContent>
                  <w:p w14:paraId="2081807C">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7EFC">
    <w:pPr>
      <w:pStyle w:val="6"/>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B060C9">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Pz0bsoBAACcAwAADgAAAAAAAAABACAAAAAeAQAAZHJzL2Uyb0Rv&#10;Yy54bWxQSwUGAAAAAAYABgBZAQAAWgUAAAAA&#10;">
              <v:fill on="f" focussize="0,0"/>
              <v:stroke on="f"/>
              <v:imagedata o:title=""/>
              <o:lock v:ext="edit" aspectratio="f"/>
              <v:textbox inset="0mm,0mm,0mm,0mm" style="mso-fit-shape-to-text:t;">
                <w:txbxContent>
                  <w:p w14:paraId="36B060C9">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2ECE">
    <w:pPr>
      <w:pStyle w:val="6"/>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097351">
                          <w:pPr>
                            <w:pStyle w:val="8"/>
                          </w:pPr>
                          <w:r>
                            <w:fldChar w:fldCharType="begin"/>
                          </w:r>
                          <w:r>
                            <w:instrText xml:space="preserve"> PAGE  \* MERGEFORMAT </w:instrText>
                          </w:r>
                          <w:r>
                            <w:fldChar w:fldCharType="separate"/>
                          </w:r>
                          <w:r>
                            <w:t>- 5 -</w:t>
                          </w:r>
                          <w:r>
                            <w:fldChar w:fldCharType="end"/>
                          </w:r>
                        </w:p>
                      </w:txbxContent>
                    </wps:txbx>
                    <wps:bodyPr wrap="none" lIns="0" tIns="0" rIns="0" bIns="0" upright="0">
                      <a:spAutoFit/>
                    </wps:bodyPr>
                  </wps:wsp>
                </a:graphicData>
              </a:graphic>
            </wp:anchor>
          </w:drawing>
        </mc:Choice>
        <mc:Fallback>
          <w:pict>
            <v:shape id="文本框 105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ui+LbLAQAAnAMAAA4AAAAAAAAAAQAgAAAAHgEAAGRycy9lMm9E&#10;b2MueG1sUEsFBgAAAAAGAAYAWQEAAFsFAAAAAA==&#10;">
              <v:fill on="f" focussize="0,0"/>
              <v:stroke on="f"/>
              <v:imagedata o:title=""/>
              <o:lock v:ext="edit" aspectratio="f"/>
              <v:textbox inset="0mm,0mm,0mm,0mm" style="mso-fit-shape-to-text:t;">
                <w:txbxContent>
                  <w:p w14:paraId="78097351">
                    <w:pPr>
                      <w:pStyle w:val="8"/>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A0F29">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E983B">
                          <w:pPr>
                            <w:pStyle w:val="8"/>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文本框 105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a9jAMsBAACcAwAADgAAAGRycy9lMm9Eb2MueG1srVPNjtMwEL4j8Q6W&#10;79RppUUl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vaHEcYsDv3z/dvnx6/LzK1lW&#10;N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GvYwDLAQAAnAMAAA4AAAAAAAAAAQAgAAAAHgEAAGRycy9lMm9E&#10;b2MueG1sUEsFBgAAAAAGAAYAWQEAAFsFAAAAAA==&#10;">
              <v:fill on="f" focussize="0,0"/>
              <v:stroke on="f"/>
              <v:imagedata o:title=""/>
              <o:lock v:ext="edit" aspectratio="f"/>
              <v:textbox inset="0mm,0mm,0mm,0mm" style="mso-fit-shape-to-text:t;">
                <w:txbxContent>
                  <w:p w14:paraId="653E983B">
                    <w:pPr>
                      <w:pStyle w:val="8"/>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493A5">
    <w:pPr>
      <w:pStyle w:val="6"/>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CCFE86">
                          <w:pPr>
                            <w:pStyle w:val="8"/>
                          </w:pPr>
                          <w:r>
                            <w:fldChar w:fldCharType="begin"/>
                          </w:r>
                          <w:r>
                            <w:instrText xml:space="preserve"> PAGE  \* MERGEFORMAT </w:instrText>
                          </w:r>
                          <w:r>
                            <w:fldChar w:fldCharType="separate"/>
                          </w:r>
                          <w:r>
                            <w:t>- 27 -</w:t>
                          </w:r>
                          <w:r>
                            <w:fldChar w:fldCharType="end"/>
                          </w:r>
                        </w:p>
                      </w:txbxContent>
                    </wps:txbx>
                    <wps:bodyPr wrap="none" lIns="0" tIns="0" rIns="0" bIns="0" upright="0">
                      <a:spAutoFit/>
                    </wps:bodyPr>
                  </wps:wsp>
                </a:graphicData>
              </a:graphic>
            </wp:anchor>
          </w:drawing>
        </mc:Choice>
        <mc:Fallback>
          <w:pict>
            <v:shape id="文本框 105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rabc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dEWJ4xYHfvnx/fLz9+XXN7Ks&#10;Xt9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2q2m3LAQAAnAMAAA4AAAAAAAAAAQAgAAAAHgEAAGRycy9lMm9E&#10;b2MueG1sUEsFBgAAAAAGAAYAWQEAAFsFAAAAAA==&#10;">
              <v:fill on="f" focussize="0,0"/>
              <v:stroke on="f"/>
              <v:imagedata o:title=""/>
              <o:lock v:ext="edit" aspectratio="f"/>
              <v:textbox inset="0mm,0mm,0mm,0mm" style="mso-fit-shape-to-text:t;">
                <w:txbxContent>
                  <w:p w14:paraId="19CCFE86">
                    <w:pPr>
                      <w:pStyle w:val="8"/>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C15E">
    <w:pPr>
      <w:pStyle w:val="6"/>
      <w:spacing w:line="14" w:lineRule="auto"/>
      <w:rPr>
        <w:sz w:val="20"/>
      </w:rPr>
    </w:pPr>
    <w:r>
      <w:rPr>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67D352">
                          <w:pPr>
                            <w:pStyle w:val="8"/>
                          </w:pPr>
                          <w:r>
                            <w:fldChar w:fldCharType="begin"/>
                          </w:r>
                          <w:r>
                            <w:instrText xml:space="preserve"> PAGE  \* MERGEFORMAT </w:instrText>
                          </w:r>
                          <w:r>
                            <w:fldChar w:fldCharType="separate"/>
                          </w:r>
                          <w:r>
                            <w:t>- 26 -</w:t>
                          </w:r>
                          <w:r>
                            <w:fldChar w:fldCharType="end"/>
                          </w:r>
                        </w:p>
                      </w:txbxContent>
                    </wps:txbx>
                    <wps:bodyPr wrap="none" lIns="0" tIns="0" rIns="0" bIns="0" upright="0">
                      <a:spAutoFit/>
                    </wps:bodyPr>
                  </wps:wsp>
                </a:graphicData>
              </a:graphic>
            </wp:anchor>
          </w:drawing>
        </mc:Choice>
        <mc:Fallback>
          <w:pict>
            <v:shape id="文本框 105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6dB28oBAACc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zylx3OLAL9+/XX78uvz8SpbV&#10;i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56dB28oBAACcAwAADgAAAAAAAAABACAAAAAeAQAAZHJzL2Uyb0Rv&#10;Yy54bWxQSwUGAAAAAAYABgBZAQAAWgUAAAAA&#10;">
              <v:fill on="f" focussize="0,0"/>
              <v:stroke on="f"/>
              <v:imagedata o:title=""/>
              <o:lock v:ext="edit" aspectratio="f"/>
              <v:textbox inset="0mm,0mm,0mm,0mm" style="mso-fit-shape-to-text:t;">
                <w:txbxContent>
                  <w:p w14:paraId="7E67D352">
                    <w:pPr>
                      <w:pStyle w:val="8"/>
                    </w:pPr>
                    <w:r>
                      <w:fldChar w:fldCharType="begin"/>
                    </w:r>
                    <w:r>
                      <w:instrText xml:space="preserve"> PAGE  \* MERGEFORMAT </w:instrText>
                    </w:r>
                    <w:r>
                      <w:fldChar w:fldCharType="separate"/>
                    </w:r>
                    <w:r>
                      <w:t>- 26 -</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887730</wp:posOffset>
              </wp:positionH>
              <wp:positionV relativeFrom="page">
                <wp:posOffset>9777730</wp:posOffset>
              </wp:positionV>
              <wp:extent cx="634365" cy="227965"/>
              <wp:effectExtent l="0" t="0" r="0" b="0"/>
              <wp:wrapNone/>
              <wp:docPr id="1" name="文本框 1039"/>
              <wp:cNvGraphicFramePr/>
              <a:graphic xmlns:a="http://schemas.openxmlformats.org/drawingml/2006/main">
                <a:graphicData uri="http://schemas.microsoft.com/office/word/2010/wordprocessingShape">
                  <wps:wsp>
                    <wps:cNvSpPr txBox="1"/>
                    <wps:spPr>
                      <a:xfrm>
                        <a:off x="0" y="0"/>
                        <a:ext cx="634365" cy="227965"/>
                      </a:xfrm>
                      <a:prstGeom prst="rect">
                        <a:avLst/>
                      </a:prstGeom>
                      <a:noFill/>
                      <a:ln>
                        <a:noFill/>
                      </a:ln>
                    </wps:spPr>
                    <wps:txbx>
                      <w:txbxContent>
                        <w:p w14:paraId="26172996">
                          <w:pPr>
                            <w:pStyle w:val="6"/>
                            <w:spacing w:line="359" w:lineRule="exact"/>
                            <w:ind w:left="20"/>
                          </w:pPr>
                        </w:p>
                      </w:txbxContent>
                    </wps:txbx>
                    <wps:bodyPr lIns="0" tIns="0" rIns="0" bIns="0" upright="1"/>
                  </wps:wsp>
                </a:graphicData>
              </a:graphic>
            </wp:anchor>
          </w:drawing>
        </mc:Choice>
        <mc:Fallback>
          <w:pict>
            <v:shape id="文本框 1039" o:spid="_x0000_s1026" o:spt="202" type="#_x0000_t202" style="position:absolute;left:0pt;margin-left:69.9pt;margin-top:769.9pt;height:17.95pt;width:49.95pt;mso-position-horizontal-relative:page;mso-position-vertical-relative:page;z-index:-251657216;mso-width-relative:page;mso-height-relative:page;" filled="f" stroked="f" coordsize="21600,21600" o:gfxdata="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1Issw2QAAAA0BAAAPAAAAAAAAAAEAIAAAACIAAABkcnMvZG93bnJldi54bWxQ&#10;SwECFAAUAAAACACHTuJAv03wDr0BAAB0AwAADgAAAAAAAAABACAAAAAoAQAAZHJzL2Uyb0RvYy54&#10;bWxQSwUGAAAAAAYABgBZAQAAVwUAAAAA&#10;">
              <v:fill on="f" focussize="0,0"/>
              <v:stroke on="f"/>
              <v:imagedata o:title=""/>
              <o:lock v:ext="edit" aspectratio="f"/>
              <v:textbox inset="0mm,0mm,0mm,0mm">
                <w:txbxContent>
                  <w:p w14:paraId="26172996">
                    <w:pPr>
                      <w:pStyle w:val="6"/>
                      <w:spacing w:line="359" w:lineRule="exact"/>
                      <w:ind w:left="2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1044A">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4B1F08"/>
    <w:multiLevelType w:val="singleLevel"/>
    <w:tmpl w:val="754B1F08"/>
    <w:lvl w:ilvl="0" w:tentative="0">
      <w:start w:val="7"/>
      <w:numFmt w:val="chineseCounting"/>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ZTMwNDRmZWU3MjFjNGU3YjhkMjE0MmUzMDZjY2QifQ=="/>
  </w:docVars>
  <w:rsids>
    <w:rsidRoot w:val="00000000"/>
    <w:rsid w:val="011473B7"/>
    <w:rsid w:val="02BD03FC"/>
    <w:rsid w:val="06692D82"/>
    <w:rsid w:val="06E23AB3"/>
    <w:rsid w:val="077375CE"/>
    <w:rsid w:val="0C3B7EEE"/>
    <w:rsid w:val="0EFD05BF"/>
    <w:rsid w:val="15FD61BE"/>
    <w:rsid w:val="17EB6C96"/>
    <w:rsid w:val="18A901E7"/>
    <w:rsid w:val="19813368"/>
    <w:rsid w:val="1A1717D3"/>
    <w:rsid w:val="1A463C55"/>
    <w:rsid w:val="23451F20"/>
    <w:rsid w:val="244250A5"/>
    <w:rsid w:val="26C33567"/>
    <w:rsid w:val="293A3BEE"/>
    <w:rsid w:val="2AF929F8"/>
    <w:rsid w:val="2CD5558F"/>
    <w:rsid w:val="306B510A"/>
    <w:rsid w:val="309F277D"/>
    <w:rsid w:val="31620AB7"/>
    <w:rsid w:val="32715B68"/>
    <w:rsid w:val="358426B3"/>
    <w:rsid w:val="38BF28E3"/>
    <w:rsid w:val="3A8B5797"/>
    <w:rsid w:val="3BBD0699"/>
    <w:rsid w:val="3C530BCE"/>
    <w:rsid w:val="3F94269B"/>
    <w:rsid w:val="44E95A32"/>
    <w:rsid w:val="4554734F"/>
    <w:rsid w:val="472B56DD"/>
    <w:rsid w:val="4A124951"/>
    <w:rsid w:val="4CC748AA"/>
    <w:rsid w:val="4D706CF0"/>
    <w:rsid w:val="4F0267DA"/>
    <w:rsid w:val="50033E4B"/>
    <w:rsid w:val="54A92AE8"/>
    <w:rsid w:val="554D211D"/>
    <w:rsid w:val="564725B8"/>
    <w:rsid w:val="56981066"/>
    <w:rsid w:val="59BF6393"/>
    <w:rsid w:val="5C706AF0"/>
    <w:rsid w:val="614E6EF1"/>
    <w:rsid w:val="61AE15B8"/>
    <w:rsid w:val="6B9E0A74"/>
    <w:rsid w:val="74F371E9"/>
    <w:rsid w:val="7B974C80"/>
    <w:rsid w:val="7C4859BB"/>
    <w:rsid w:val="7F3832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left="1012"/>
      <w:jc w:val="center"/>
      <w:outlineLvl w:val="1"/>
    </w:pPr>
    <w:rPr>
      <w:rFonts w:ascii="方正小标宋简体" w:hAnsi="方正小标宋简体" w:eastAsia="方正小标宋简体" w:cs="方正小标宋简体"/>
      <w:sz w:val="44"/>
      <w:szCs w:val="44"/>
      <w:lang w:val="zh-CN" w:eastAsia="zh-CN" w:bidi="zh-CN"/>
    </w:rPr>
  </w:style>
  <w:style w:type="paragraph" w:styleId="4">
    <w:name w:val="heading 2"/>
    <w:basedOn w:val="1"/>
    <w:next w:val="1"/>
    <w:qFormat/>
    <w:uiPriority w:val="1"/>
    <w:pPr>
      <w:spacing w:line="634" w:lineRule="exact"/>
      <w:ind w:right="144"/>
      <w:jc w:val="center"/>
      <w:outlineLvl w:val="2"/>
    </w:pPr>
    <w:rPr>
      <w:rFonts w:ascii="方正小标宋简体" w:hAnsi="方正小标宋简体" w:eastAsia="方正小标宋简体" w:cs="方正小标宋简体"/>
      <w:sz w:val="36"/>
      <w:szCs w:val="36"/>
      <w:lang w:val="zh-CN" w:eastAsia="zh-CN" w:bidi="zh-CN"/>
    </w:rPr>
  </w:style>
  <w:style w:type="paragraph" w:styleId="2">
    <w:name w:val="heading 3"/>
    <w:basedOn w:val="1"/>
    <w:next w:val="1"/>
    <w:qFormat/>
    <w:uiPriority w:val="9"/>
    <w:pPr>
      <w:keepNext/>
      <w:keepLines/>
      <w:spacing w:line="413" w:lineRule="auto"/>
      <w:outlineLvl w:val="2"/>
    </w:pPr>
    <w:rPr>
      <w:rFonts w:eastAsia="楷体_GB2312"/>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rFonts w:ascii="仿宋_GB2312" w:hAnsi="仿宋_GB2312" w:eastAsia="仿宋_GB2312" w:cs="仿宋_GB2312"/>
      <w:sz w:val="32"/>
      <w:szCs w:val="32"/>
      <w:lang w:val="zh-CN" w:eastAsia="zh-CN" w:bidi="zh-CN"/>
    </w:rPr>
  </w:style>
  <w:style w:type="paragraph" w:styleId="7">
    <w:name w:val="toc 3"/>
    <w:basedOn w:val="1"/>
    <w:next w:val="1"/>
    <w:qFormat/>
    <w:uiPriority w:val="0"/>
    <w:pPr>
      <w:ind w:left="840" w:leftChars="4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semiHidden/>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10">
    <w:name w:val="toc 1"/>
    <w:basedOn w:val="1"/>
    <w:next w:val="1"/>
    <w:qFormat/>
    <w:uiPriority w:val="1"/>
    <w:pPr>
      <w:spacing w:before="190"/>
      <w:ind w:left="489"/>
    </w:pPr>
    <w:rPr>
      <w:rFonts w:ascii="黑体" w:hAnsi="黑体" w:eastAsia="黑体" w:cs="黑体"/>
      <w:sz w:val="32"/>
      <w:szCs w:val="32"/>
      <w:lang w:val="zh-CN" w:eastAsia="zh-CN" w:bidi="zh-CN"/>
    </w:rPr>
  </w:style>
  <w:style w:type="paragraph" w:styleId="11">
    <w:name w:val="toc 2"/>
    <w:basedOn w:val="1"/>
    <w:next w:val="1"/>
    <w:qFormat/>
    <w:uiPriority w:val="1"/>
    <w:pPr>
      <w:spacing w:before="190"/>
      <w:ind w:left="1128"/>
    </w:pPr>
    <w:rPr>
      <w:rFonts w:ascii="楷体_GB2312" w:hAnsi="楷体_GB2312" w:eastAsia="楷体_GB2312" w:cs="楷体_GB2312"/>
      <w:sz w:val="32"/>
      <w:szCs w:val="32"/>
      <w:lang w:val="zh-CN" w:eastAsia="zh-CN" w:bidi="zh-CN"/>
    </w:rPr>
  </w:style>
  <w:style w:type="character" w:styleId="14">
    <w:name w:val="page number"/>
    <w:qFormat/>
    <w:uiPriority w:val="99"/>
    <w:rPr>
      <w:rFonts w:cs="Times New Roman"/>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rPr>
      <w:lang w:val="zh-CN" w:eastAsia="zh-CN" w:bidi="zh-CN"/>
    </w:rPr>
  </w:style>
  <w:style w:type="paragraph" w:customStyle="1" w:styleId="17">
    <w:name w:val="Table Paragraph"/>
    <w:basedOn w:val="1"/>
    <w:qFormat/>
    <w:uiPriority w:val="1"/>
    <w:pPr>
      <w:ind w:left="107"/>
      <w:jc w:val="center"/>
    </w:pPr>
    <w:rPr>
      <w:rFonts w:ascii="仿宋_GB2312" w:hAnsi="仿宋_GB2312" w:eastAsia="仿宋_GB2312" w:cs="仿宋_GB2312"/>
      <w:lang w:val="zh-CN" w:eastAsia="zh-CN" w:bidi="zh-CN"/>
    </w:rPr>
  </w:style>
  <w:style w:type="paragraph" w:customStyle="1" w:styleId="18">
    <w:name w:val="WPSOffice手动目录 3"/>
    <w:qFormat/>
    <w:uiPriority w:val="0"/>
    <w:pPr>
      <w:ind w:leftChars="400"/>
    </w:pPr>
    <w:rPr>
      <w:rFonts w:asciiTheme="minorHAnsi" w:hAnsiTheme="minorHAnsi" w:eastAsiaTheme="minorHAnsi" w:cstheme="minorBidi"/>
      <w:sz w:val="20"/>
      <w:szCs w:val="20"/>
    </w:rPr>
  </w:style>
  <w:style w:type="paragraph" w:customStyle="1" w:styleId="19">
    <w:name w:val="WPSOffice手动目录 1"/>
    <w:qFormat/>
    <w:uiPriority w:val="0"/>
    <w:pPr>
      <w:ind w:leftChars="0"/>
    </w:pPr>
    <w:rPr>
      <w:rFonts w:asciiTheme="minorHAnsi" w:hAnsiTheme="minorHAnsi" w:eastAsiaTheme="minorHAnsi" w:cstheme="minorBidi"/>
      <w:sz w:val="20"/>
      <w:szCs w:val="20"/>
    </w:rPr>
  </w:style>
  <w:style w:type="paragraph" w:customStyle="1" w:styleId="20">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3235</Words>
  <Characters>3323</Characters>
  <TotalTime>13</TotalTime>
  <ScaleCrop>false</ScaleCrop>
  <LinksUpToDate>false</LinksUpToDate>
  <CharactersWithSpaces>3654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2022-05-26T02:55:00Z</dcterms:created>
  <dc:creator>zfb1</dc:creator>
  <cp:lastModifiedBy>chau</cp:lastModifiedBy>
  <cp:lastPrinted>2022-12-06T08:47:00Z</cp:lastPrinted>
  <dcterms:modified xsi:type="dcterms:W3CDTF">2025-09-24T08:14:21Z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Creator">
    <vt:lpwstr>WPS Office</vt:lpwstr>
  </property>
  <property fmtid="{D5CDD505-2E9C-101B-9397-08002B2CF9AE}" pid="4" name="LastSaved">
    <vt:filetime>2022-05-26T00:00:00Z</vt:filetime>
  </property>
  <property fmtid="{D5CDD505-2E9C-101B-9397-08002B2CF9AE}" pid="5" name="KSOProductBuildVer">
    <vt:lpwstr>2052-12.1.0.22529</vt:lpwstr>
  </property>
  <property fmtid="{D5CDD505-2E9C-101B-9397-08002B2CF9AE}" pid="6" name="ICV">
    <vt:lpwstr>1E0008DD57E141A49AF7EFA013D46CCA_13</vt:lpwstr>
  </property>
  <property fmtid="{D5CDD505-2E9C-101B-9397-08002B2CF9AE}" pid="7" name="KSOTemplateDocerSaveRecord">
    <vt:lpwstr>eyJoZGlkIjoiMjNjMjEwN2NiNzZjY2M1ZjhjYzdmYmM0YzI1NzcyM2MiLCJ1c2VySWQiOiI0MDM5NzY4MzYifQ==</vt:lpwstr>
  </property>
</Properties>
</file>