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E0E4E">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方正小标宋简体" w:hAnsi="方正小标宋简体" w:eastAsia="方正小标宋简体" w:cs="方正小标宋简体"/>
          <w:snapToGrid w:val="0"/>
          <w:color w:val="000000"/>
          <w:spacing w:val="5"/>
          <w:kern w:val="0"/>
          <w:sz w:val="43"/>
          <w:szCs w:val="43"/>
        </w:rPr>
      </w:pPr>
      <w:r>
        <w:rPr>
          <w:rFonts w:hint="eastAsia" w:ascii="方正小标宋简体" w:hAnsi="方正小标宋简体" w:eastAsia="方正小标宋简体" w:cs="方正小标宋简体"/>
          <w:snapToGrid w:val="0"/>
          <w:color w:val="000000"/>
          <w:spacing w:val="5"/>
          <w:kern w:val="0"/>
          <w:sz w:val="43"/>
          <w:szCs w:val="43"/>
        </w:rPr>
        <w:t>韶关市武江区人民政府关于韶关市武江区</w:t>
      </w:r>
    </w:p>
    <w:p w14:paraId="532A2F02">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方正小标宋简体" w:hAnsi="方正小标宋简体" w:eastAsia="方正小标宋简体" w:cs="方正小标宋简体"/>
          <w:snapToGrid w:val="0"/>
          <w:color w:val="000000"/>
          <w:spacing w:val="5"/>
          <w:kern w:val="0"/>
          <w:sz w:val="43"/>
          <w:szCs w:val="43"/>
        </w:rPr>
      </w:pPr>
      <w:r>
        <w:rPr>
          <w:rFonts w:hint="eastAsia" w:ascii="方正小标宋简体" w:hAnsi="方正小标宋简体" w:eastAsia="方正小标宋简体" w:cs="方正小标宋简体"/>
          <w:snapToGrid w:val="0"/>
          <w:color w:val="000000"/>
          <w:spacing w:val="5"/>
          <w:kern w:val="0"/>
          <w:sz w:val="43"/>
          <w:szCs w:val="43"/>
        </w:rPr>
        <w:t>2024年度第十三批次城镇建设用地</w:t>
      </w:r>
    </w:p>
    <w:p w14:paraId="7E88C69F">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ascii="方正小标宋简体" w:hAnsi="方正小标宋简体" w:eastAsia="方正小标宋简体" w:cs="方正小标宋简体"/>
          <w:snapToGrid w:val="0"/>
          <w:color w:val="000000"/>
          <w:spacing w:val="9"/>
          <w:kern w:val="0"/>
          <w:sz w:val="43"/>
          <w:szCs w:val="43"/>
        </w:rPr>
      </w:pPr>
      <w:r>
        <w:rPr>
          <w:rFonts w:hint="eastAsia" w:ascii="方正小标宋简体" w:hAnsi="方正小标宋简体" w:eastAsia="方正小标宋简体" w:cs="方正小标宋简体"/>
          <w:snapToGrid w:val="0"/>
          <w:color w:val="000000"/>
          <w:spacing w:val="5"/>
          <w:kern w:val="0"/>
          <w:sz w:val="43"/>
          <w:szCs w:val="43"/>
        </w:rPr>
        <w:t>项目征地补偿安置</w:t>
      </w:r>
      <w:r>
        <w:rPr>
          <w:rFonts w:ascii="方正小标宋简体" w:hAnsi="方正小标宋简体" w:eastAsia="方正小标宋简体" w:cs="方正小标宋简体"/>
          <w:snapToGrid w:val="0"/>
          <w:color w:val="000000"/>
          <w:spacing w:val="9"/>
          <w:kern w:val="0"/>
          <w:sz w:val="43"/>
          <w:szCs w:val="43"/>
        </w:rPr>
        <w:t>方案公告</w:t>
      </w:r>
    </w:p>
    <w:p w14:paraId="5CC3C947">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ascii="方正小标宋简体" w:hAnsi="方正小标宋简体" w:eastAsia="方正小标宋简体" w:cs="方正小标宋简体"/>
          <w:snapToGrid w:val="0"/>
          <w:color w:val="000000"/>
          <w:spacing w:val="9"/>
          <w:kern w:val="0"/>
          <w:sz w:val="43"/>
          <w:szCs w:val="43"/>
        </w:rPr>
      </w:pPr>
    </w:p>
    <w:p w14:paraId="427DC6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Arial" w:hAnsi="Arial" w:eastAsia="Arial" w:cs="Arial"/>
          <w:snapToGrid w:val="0"/>
          <w:color w:val="000000"/>
          <w:kern w:val="0"/>
          <w:szCs w:val="21"/>
        </w:rPr>
      </w:pPr>
      <w:r>
        <w:rPr>
          <w:rFonts w:hint="eastAsia" w:ascii="仿宋_GB2312" w:hAnsi="仿宋_GB2312" w:eastAsia="仿宋_GB2312" w:cs="仿宋_GB2312"/>
          <w:sz w:val="32"/>
          <w:szCs w:val="32"/>
        </w:rPr>
        <w:t>韶武府征补告〔202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w:t>
      </w:r>
    </w:p>
    <w:p w14:paraId="7F87A85B">
      <w:pPr>
        <w:keepNext w:val="0"/>
        <w:keepLines w:val="0"/>
        <w:pageBreakBefore w:val="0"/>
        <w:widowControl/>
        <w:kinsoku w:val="0"/>
        <w:wordWrap/>
        <w:overflowPunct/>
        <w:topLinePunct w:val="0"/>
        <w:autoSpaceDE w:val="0"/>
        <w:autoSpaceDN w:val="0"/>
        <w:bidi w:val="0"/>
        <w:adjustRightInd w:val="0"/>
        <w:snapToGrid w:val="0"/>
        <w:spacing w:line="560" w:lineRule="exact"/>
        <w:jc w:val="both"/>
        <w:textAlignment w:val="baseline"/>
        <w:rPr>
          <w:rFonts w:ascii="Arial" w:hAnsi="Arial" w:eastAsia="Arial" w:cs="Arial"/>
          <w:snapToGrid w:val="0"/>
          <w:color w:val="000000"/>
          <w:kern w:val="0"/>
          <w:szCs w:val="21"/>
        </w:rPr>
      </w:pPr>
    </w:p>
    <w:p w14:paraId="29F69D6A">
      <w:pPr>
        <w:keepNext w:val="0"/>
        <w:keepLines w:val="0"/>
        <w:pageBreakBefore w:val="0"/>
        <w:widowControl w:val="0"/>
        <w:kinsoku/>
        <w:wordWrap/>
        <w:overflowPunct/>
        <w:topLinePunct/>
        <w:autoSpaceDE/>
        <w:autoSpaceDN/>
        <w:bidi w:val="0"/>
        <w:adjustRightInd/>
        <w:snapToGrid/>
        <w:spacing w:line="560" w:lineRule="exact"/>
        <w:ind w:left="0" w:leftChars="0" w:right="0" w:firstLine="640" w:firstLineChars="200"/>
        <w:jc w:val="both"/>
        <w:textAlignment w:val="auto"/>
        <w:outlineLvl w:val="9"/>
        <w:rPr>
          <w:rFonts w:hint="eastAsia" w:ascii="仿宋_GB2312" w:hAnsi="宋体" w:eastAsia="仿宋_GB2312" w:cs="宋体"/>
          <w:bCs/>
          <w:snapToGrid/>
          <w:color w:val="auto"/>
          <w:kern w:val="2"/>
          <w:sz w:val="32"/>
          <w:szCs w:val="32"/>
          <w:highlight w:val="none"/>
          <w:lang w:val="en-US" w:eastAsia="zh-CN" w:bidi="ar-SA"/>
        </w:rPr>
      </w:pPr>
      <w:r>
        <w:rPr>
          <w:rFonts w:hint="eastAsia" w:ascii="仿宋_GB2312" w:hAnsi="宋体" w:eastAsia="仿宋_GB2312" w:cs="宋体"/>
          <w:bCs/>
          <w:snapToGrid/>
          <w:color w:val="auto"/>
          <w:kern w:val="2"/>
          <w:sz w:val="32"/>
          <w:szCs w:val="32"/>
          <w:highlight w:val="none"/>
          <w:lang w:val="en-US" w:eastAsia="zh-CN" w:bidi="ar-SA"/>
        </w:rPr>
        <w:t>根据《中华人民共和国土地管理法》第四十七条、第四十八条，《中华人民共和国土地管理法实施条例》第二十七条、第二十八条，《广东省土地管理条例》第三十条的规定，我府组织编制了韶关市武江区2024年度第十三批次城镇建设用地项目征地补偿安置方案，现将征收土地补偿安置有关事项公告如下：</w:t>
      </w:r>
    </w:p>
    <w:p w14:paraId="3FCDC07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napToGrid w:val="0"/>
          <w:color w:val="auto"/>
          <w:kern w:val="0"/>
          <w:sz w:val="32"/>
          <w:szCs w:val="21"/>
        </w:rPr>
      </w:pPr>
      <w:r>
        <w:rPr>
          <w:rFonts w:hint="eastAsia" w:ascii="黑体" w:hAnsi="黑体" w:eastAsia="黑体" w:cs="黑体"/>
          <w:snapToGrid w:val="0"/>
          <w:color w:val="auto"/>
          <w:kern w:val="0"/>
          <w:sz w:val="32"/>
          <w:szCs w:val="21"/>
        </w:rPr>
        <w:t>一、征收范围</w:t>
      </w:r>
    </w:p>
    <w:p w14:paraId="477744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拟征收土地位于韶关市武江区西联镇甘棠</w:t>
      </w:r>
      <w:r>
        <w:rPr>
          <w:rFonts w:hint="eastAsia" w:ascii="仿宋_GB2312" w:hAnsi="仿宋_GB2312" w:eastAsia="仿宋_GB2312" w:cs="仿宋_GB2312"/>
          <w:sz w:val="32"/>
          <w:szCs w:val="32"/>
          <w:lang w:eastAsia="zh-CN"/>
        </w:rPr>
        <w:t>股份</w:t>
      </w:r>
      <w:r>
        <w:rPr>
          <w:rFonts w:hint="eastAsia" w:ascii="仿宋_GB2312" w:hAnsi="仿宋_GB2312" w:eastAsia="仿宋_GB2312" w:cs="仿宋_GB2312"/>
          <w:sz w:val="32"/>
          <w:szCs w:val="32"/>
        </w:rPr>
        <w:t>经济联合社</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highlight w:val="none"/>
          <w:lang w:val="en-US" w:eastAsia="zh-CN"/>
        </w:rPr>
        <w:t>韶关市武江区</w:t>
      </w:r>
      <w:r>
        <w:rPr>
          <w:rFonts w:hint="eastAsia" w:ascii="仿宋_GB2312" w:hAnsi="仿宋_GB2312" w:eastAsia="仿宋_GB2312" w:cs="仿宋_GB2312"/>
          <w:sz w:val="32"/>
          <w:szCs w:val="32"/>
        </w:rPr>
        <w:t>龙归镇龙归经济联合社</w:t>
      </w:r>
      <w:r>
        <w:rPr>
          <w:rFonts w:hint="eastAsia" w:ascii="仿宋_GB2312" w:hAnsi="仿宋_GB2312" w:eastAsia="仿宋_GB2312" w:cs="仿宋_GB2312"/>
          <w:sz w:val="32"/>
          <w:szCs w:val="32"/>
          <w:lang w:eastAsia="zh-CN"/>
        </w:rPr>
        <w:t>，具体位置详见附图。</w:t>
      </w:r>
      <w:r>
        <w:rPr>
          <w:rFonts w:hint="eastAsia" w:ascii="仿宋_GB2312" w:hAnsi="仿宋_GB2312" w:eastAsia="仿宋_GB2312" w:cs="仿宋_GB2312"/>
          <w:sz w:val="32"/>
          <w:szCs w:val="32"/>
        </w:rPr>
        <w:t>实际征收土地范围以最终批准文件为准。</w:t>
      </w:r>
    </w:p>
    <w:p w14:paraId="79EEF47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napToGrid w:val="0"/>
          <w:color w:val="auto"/>
          <w:kern w:val="0"/>
          <w:sz w:val="32"/>
          <w:szCs w:val="21"/>
        </w:rPr>
      </w:pPr>
      <w:r>
        <w:rPr>
          <w:rFonts w:hint="eastAsia" w:ascii="黑体" w:hAnsi="黑体" w:eastAsia="黑体" w:cs="黑体"/>
          <w:snapToGrid w:val="0"/>
          <w:color w:val="auto"/>
          <w:kern w:val="0"/>
          <w:sz w:val="32"/>
          <w:szCs w:val="21"/>
        </w:rPr>
        <w:t>二、征收目的</w:t>
      </w:r>
    </w:p>
    <w:p w14:paraId="272C7B0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根据《中华人民共和国土地管理法》第四十五条的规定，本次征收土地目的</w:t>
      </w:r>
      <w:r>
        <w:rPr>
          <w:rFonts w:hint="eastAsia" w:ascii="仿宋_GB2312" w:hAnsi="仿宋_GB2312" w:eastAsia="仿宋_GB2312" w:cs="仿宋_GB2312"/>
          <w:sz w:val="32"/>
          <w:szCs w:val="32"/>
          <w:lang w:eastAsia="zh-CN"/>
        </w:rPr>
        <w:t>为保障新能源功能性纳米涂层产业化项目建设的需要，</w:t>
      </w: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eastAsia="zh-CN"/>
        </w:rPr>
        <w:t>《中华人民共和国土地管理法》</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四十五条第（</w:t>
      </w:r>
      <w:r>
        <w:rPr>
          <w:rFonts w:hint="eastAsia" w:ascii="仿宋_GB2312" w:hAnsi="仿宋_GB2312" w:eastAsia="仿宋_GB2312" w:cs="仿宋_GB2312"/>
          <w:sz w:val="32"/>
          <w:szCs w:val="32"/>
        </w:rPr>
        <w:t>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项规定，属于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在土地利用总体规划确定的城镇建设用地范围内，经省级以上人民政府批准由县级以上地方人民政府组织实施的成片开发建设需要用地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eastAsia="zh-CN"/>
        </w:rPr>
        <w:t>情形。</w:t>
      </w:r>
    </w:p>
    <w:p w14:paraId="5CCCFBD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napToGrid w:val="0"/>
          <w:color w:val="auto"/>
          <w:kern w:val="0"/>
          <w:sz w:val="32"/>
          <w:szCs w:val="21"/>
        </w:rPr>
      </w:pPr>
      <w:r>
        <w:rPr>
          <w:rFonts w:hint="eastAsia" w:ascii="黑体" w:hAnsi="黑体" w:eastAsia="黑体" w:cs="黑体"/>
          <w:snapToGrid w:val="0"/>
          <w:color w:val="auto"/>
          <w:kern w:val="0"/>
          <w:sz w:val="32"/>
          <w:szCs w:val="21"/>
        </w:rPr>
        <w:t>三、土地现状</w:t>
      </w:r>
    </w:p>
    <w:p w14:paraId="43B23D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根据拟征收土地现状调查结果，拟征收土地现状为：</w:t>
      </w:r>
    </w:p>
    <w:p w14:paraId="38C4B36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拟征收韶关市武江区西联镇甘棠股份经济联合社集体所有土地8.0599公顷(120.8985亩）。其中，农用地7.7157公顷(115.7355亩），含耕地1.8772公顷(28.1580亩），林地5.4715公顷(82.0725亩），草地0.3450公顷(5.1750亩），养殖水面0.0081公顷（0.1215亩），其他农用地（不含养殖水面）0.0139公顷(0.2085亩）；建设用地0.3442公顷(5.1630亩）；</w:t>
      </w:r>
    </w:p>
    <w:p w14:paraId="4CC6D1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2、拟征收韶关市武江区龙归镇龙归经济联合社集体所有土地4.8007公顷(72.0105亩）。其中，农用地4.7822公顷(71.7330亩），含林地4.7822公顷(71.7330亩）；建设用地0.0185公顷(0.2775亩）。</w:t>
      </w:r>
    </w:p>
    <w:p w14:paraId="7E5E32A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（二）根据用地报批要求，上述拟征收土地报批地类为：</w:t>
      </w:r>
    </w:p>
    <w:p w14:paraId="3FA2C37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拟征收韶关市武江区西联镇甘棠股份经济联合社集体所有土地8.0599公顷(120.8985亩）。其中，农用地8.0599公顷(120.8985亩），含耕地2.0647公顷(30.9705亩），园地0.0999公顷(1.4985亩），林地5.4823公顷(82.2345亩），其他草地0.3450公顷(5.1750亩），养殖水面0.0391公顷(0.5865亩），其他农用地（不含养殖水面）0.0289公顷(0.4335亩）；</w:t>
      </w:r>
    </w:p>
    <w:p w14:paraId="6230A2B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2、拟征收韶关市武江区龙归镇龙归经济联合社集体所有土地4.8007公顷(72.0105亩）。其中，农用地4.8007公顷(72.0105亩），含林地4.8007公顷(72.0105亩）。</w:t>
      </w:r>
    </w:p>
    <w:p w14:paraId="380B8F9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napToGrid w:val="0"/>
          <w:color w:val="auto"/>
          <w:kern w:val="0"/>
          <w:sz w:val="32"/>
          <w:szCs w:val="21"/>
        </w:rPr>
      </w:pPr>
      <w:r>
        <w:rPr>
          <w:rFonts w:hint="eastAsia" w:ascii="黑体" w:hAnsi="黑体" w:eastAsia="黑体" w:cs="黑体"/>
          <w:snapToGrid w:val="0"/>
          <w:color w:val="auto"/>
          <w:kern w:val="0"/>
          <w:sz w:val="32"/>
          <w:szCs w:val="21"/>
        </w:rPr>
        <w:t>四、补偿方式和标准</w:t>
      </w:r>
    </w:p>
    <w:p w14:paraId="7FC7E2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（一）土地补偿费和安置补助费标准</w:t>
      </w:r>
    </w:p>
    <w:p w14:paraId="4E7D84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根据《广东省自然资源厅关于韶关市征收农用地区片综合地价成果的批复》（粤自然资函〔2024〕109号）的规定，</w:t>
      </w:r>
      <w:r>
        <w:rPr>
          <w:rFonts w:hint="eastAsia" w:ascii="仿宋_GB2312" w:hAnsi="仿宋_GB2312" w:eastAsia="仿宋_GB2312" w:cs="仿宋_GB2312"/>
          <w:sz w:val="32"/>
          <w:szCs w:val="32"/>
          <w:lang w:val="en-US" w:eastAsia="zh-CN"/>
        </w:rPr>
        <w:t>土地补偿费及安置补助费标准如下：</w:t>
      </w:r>
    </w:p>
    <w:tbl>
      <w:tblPr>
        <w:tblStyle w:val="6"/>
        <w:tblW w:w="8540" w:type="dxa"/>
        <w:jc w:val="center"/>
        <w:shd w:val="clear" w:color="auto" w:fill="auto"/>
        <w:tblLayout w:type="fixed"/>
        <w:tblCellMar>
          <w:top w:w="0" w:type="dxa"/>
          <w:left w:w="0" w:type="dxa"/>
          <w:bottom w:w="0" w:type="dxa"/>
          <w:right w:w="0" w:type="dxa"/>
        </w:tblCellMar>
      </w:tblPr>
      <w:tblGrid>
        <w:gridCol w:w="2445"/>
        <w:gridCol w:w="1855"/>
        <w:gridCol w:w="2001"/>
        <w:gridCol w:w="2239"/>
      </w:tblGrid>
      <w:tr w14:paraId="26B7126F">
        <w:tblPrEx>
          <w:tblCellMar>
            <w:top w:w="0" w:type="dxa"/>
            <w:left w:w="0" w:type="dxa"/>
            <w:bottom w:w="0" w:type="dxa"/>
            <w:right w:w="0" w:type="dxa"/>
          </w:tblCellMar>
        </w:tblPrEx>
        <w:trPr>
          <w:trHeight w:val="324" w:hRule="atLeast"/>
          <w:jc w:val="center"/>
        </w:trPr>
        <w:tc>
          <w:tcPr>
            <w:tcW w:w="8540" w:type="dxa"/>
            <w:gridSpan w:val="4"/>
            <w:tcBorders>
              <w:top w:val="nil"/>
              <w:left w:val="nil"/>
              <w:bottom w:val="single" w:color="auto" w:sz="4" w:space="0"/>
              <w:right w:val="nil"/>
            </w:tcBorders>
            <w:shd w:val="clear" w:color="auto" w:fill="auto"/>
            <w:noWrap/>
            <w:tcMar>
              <w:top w:w="12" w:type="dxa"/>
              <w:left w:w="12" w:type="dxa"/>
              <w:right w:w="12" w:type="dxa"/>
            </w:tcMar>
            <w:vAlign w:val="center"/>
          </w:tcPr>
          <w:p w14:paraId="2DF828BB">
            <w:pPr>
              <w:keepNext w:val="0"/>
              <w:keepLines w:val="0"/>
              <w:pageBreakBefore w:val="0"/>
              <w:widowControl/>
              <w:suppressLineNumbers w:val="0"/>
              <w:wordWrap/>
              <w:overflowPunct/>
              <w:topLinePunct w:val="0"/>
              <w:bidi w:val="0"/>
              <w:spacing w:line="240" w:lineRule="auto"/>
              <w:jc w:val="right"/>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单位：万元/公顷</w:t>
            </w:r>
          </w:p>
        </w:tc>
      </w:tr>
      <w:tr w14:paraId="40C2EB07">
        <w:tblPrEx>
          <w:tblCellMar>
            <w:top w:w="0" w:type="dxa"/>
            <w:left w:w="0" w:type="dxa"/>
            <w:bottom w:w="0" w:type="dxa"/>
            <w:right w:w="0" w:type="dxa"/>
          </w:tblCellMar>
        </w:tblPrEx>
        <w:trPr>
          <w:trHeight w:val="349" w:hRule="atLeast"/>
          <w:jc w:val="center"/>
        </w:trPr>
        <w:tc>
          <w:tcPr>
            <w:tcW w:w="2445" w:type="dxa"/>
            <w:vMerge w:val="restar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9B6B1F6">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土地类别</w:t>
            </w:r>
          </w:p>
        </w:tc>
        <w:tc>
          <w:tcPr>
            <w:tcW w:w="1855"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58242DC">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土地补偿费标准</w:t>
            </w:r>
          </w:p>
        </w:tc>
        <w:tc>
          <w:tcPr>
            <w:tcW w:w="2001"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803E23C">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安置补助费标准</w:t>
            </w:r>
          </w:p>
        </w:tc>
        <w:tc>
          <w:tcPr>
            <w:tcW w:w="2239" w:type="dxa"/>
            <w:vMerge w:val="restar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231E9199">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合计</w:t>
            </w:r>
          </w:p>
        </w:tc>
      </w:tr>
      <w:tr w14:paraId="75F99418">
        <w:tblPrEx>
          <w:tblCellMar>
            <w:top w:w="0" w:type="dxa"/>
            <w:left w:w="0" w:type="dxa"/>
            <w:bottom w:w="0" w:type="dxa"/>
            <w:right w:w="0" w:type="dxa"/>
          </w:tblCellMar>
        </w:tblPrEx>
        <w:trPr>
          <w:trHeight w:val="329" w:hRule="atLeast"/>
          <w:jc w:val="center"/>
        </w:trPr>
        <w:tc>
          <w:tcPr>
            <w:tcW w:w="2445" w:type="dxa"/>
            <w:vMerge w:val="continue"/>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662DB5A4">
            <w:pPr>
              <w:keepNext w:val="0"/>
              <w:keepLines w:val="0"/>
              <w:pageBreakBefore w:val="0"/>
              <w:wordWrap/>
              <w:overflowPunct/>
              <w:topLinePunct w:val="0"/>
              <w:bidi w:val="0"/>
              <w:spacing w:line="240" w:lineRule="auto"/>
              <w:jc w:val="center"/>
              <w:rPr>
                <w:rFonts w:hint="eastAsia" w:ascii="宋体" w:hAnsi="宋体" w:eastAsia="宋体" w:cs="宋体"/>
                <w:i w:val="0"/>
                <w:color w:val="000000"/>
                <w:sz w:val="21"/>
                <w:szCs w:val="21"/>
                <w:u w:val="none"/>
              </w:rPr>
            </w:pPr>
          </w:p>
        </w:tc>
        <w:tc>
          <w:tcPr>
            <w:tcW w:w="1855"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3D1FA5F">
            <w:pPr>
              <w:keepNext w:val="0"/>
              <w:keepLines w:val="0"/>
              <w:pageBreakBefore w:val="0"/>
              <w:wordWrap/>
              <w:overflowPunct/>
              <w:topLinePunct w:val="0"/>
              <w:bidi w:val="0"/>
              <w:spacing w:line="240" w:lineRule="auto"/>
              <w:jc w:val="center"/>
              <w:rPr>
                <w:rFonts w:hint="eastAsia" w:ascii="宋体" w:hAnsi="宋体" w:eastAsia="宋体" w:cs="宋体"/>
                <w:i w:val="0"/>
                <w:color w:val="000000"/>
                <w:sz w:val="21"/>
                <w:szCs w:val="21"/>
                <w:u w:val="none"/>
              </w:rPr>
            </w:pPr>
          </w:p>
        </w:tc>
        <w:tc>
          <w:tcPr>
            <w:tcW w:w="2001"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8A2AEAC">
            <w:pPr>
              <w:keepNext w:val="0"/>
              <w:keepLines w:val="0"/>
              <w:pageBreakBefore w:val="0"/>
              <w:wordWrap/>
              <w:overflowPunct/>
              <w:topLinePunct w:val="0"/>
              <w:bidi w:val="0"/>
              <w:spacing w:line="240" w:lineRule="auto"/>
              <w:jc w:val="center"/>
              <w:rPr>
                <w:rFonts w:hint="eastAsia" w:ascii="宋体" w:hAnsi="宋体" w:eastAsia="宋体" w:cs="宋体"/>
                <w:i w:val="0"/>
                <w:color w:val="000000"/>
                <w:sz w:val="21"/>
                <w:szCs w:val="21"/>
                <w:u w:val="none"/>
              </w:rPr>
            </w:pPr>
          </w:p>
        </w:tc>
        <w:tc>
          <w:tcPr>
            <w:tcW w:w="2239" w:type="dxa"/>
            <w:vMerge w:val="continue"/>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50F14AE">
            <w:pPr>
              <w:keepNext w:val="0"/>
              <w:keepLines w:val="0"/>
              <w:pageBreakBefore w:val="0"/>
              <w:wordWrap/>
              <w:overflowPunct/>
              <w:topLinePunct w:val="0"/>
              <w:bidi w:val="0"/>
              <w:spacing w:line="240" w:lineRule="auto"/>
              <w:jc w:val="center"/>
              <w:rPr>
                <w:rFonts w:hint="eastAsia" w:ascii="宋体" w:hAnsi="宋体" w:eastAsia="宋体" w:cs="宋体"/>
                <w:i w:val="0"/>
                <w:color w:val="000000"/>
                <w:sz w:val="21"/>
                <w:szCs w:val="21"/>
                <w:u w:val="none"/>
              </w:rPr>
            </w:pPr>
          </w:p>
        </w:tc>
      </w:tr>
      <w:tr w14:paraId="2A06A9CB">
        <w:tblPrEx>
          <w:shd w:val="clear" w:color="auto" w:fill="auto"/>
          <w:tblCellMar>
            <w:top w:w="0" w:type="dxa"/>
            <w:left w:w="0" w:type="dxa"/>
            <w:bottom w:w="0" w:type="dxa"/>
            <w:right w:w="0" w:type="dxa"/>
          </w:tblCellMar>
        </w:tblPrEx>
        <w:trPr>
          <w:trHeight w:val="512" w:hRule="atLeast"/>
          <w:jc w:val="center"/>
        </w:trPr>
        <w:tc>
          <w:tcPr>
            <w:tcW w:w="244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F208812">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耕地</w:t>
            </w:r>
          </w:p>
        </w:tc>
        <w:tc>
          <w:tcPr>
            <w:tcW w:w="185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6E112DE">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48.4500</w:t>
            </w:r>
          </w:p>
        </w:tc>
        <w:tc>
          <w:tcPr>
            <w:tcW w:w="20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8FF3D59">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48.6</w:t>
            </w: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00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31E7B92">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color w:val="000000"/>
                <w:kern w:val="0"/>
                <w:szCs w:val="21"/>
                <w:u w:val="none"/>
                <w:lang w:bidi="ar"/>
              </w:rPr>
              <w:t>97.05</w:t>
            </w:r>
            <w:r>
              <w:rPr>
                <w:rFonts w:hint="eastAsia" w:ascii="宋体" w:hAnsi="宋体" w:eastAsia="宋体" w:cs="宋体"/>
                <w:i w:val="0"/>
                <w:color w:val="000000"/>
                <w:kern w:val="0"/>
                <w:sz w:val="21"/>
                <w:szCs w:val="21"/>
                <w:u w:val="none"/>
                <w:lang w:val="en-US" w:eastAsia="zh-CN" w:bidi="ar"/>
              </w:rPr>
              <w:t>00</w:t>
            </w:r>
          </w:p>
        </w:tc>
      </w:tr>
      <w:tr w14:paraId="2D94BD36">
        <w:tblPrEx>
          <w:tblCellMar>
            <w:top w:w="0" w:type="dxa"/>
            <w:left w:w="0" w:type="dxa"/>
            <w:bottom w:w="0" w:type="dxa"/>
            <w:right w:w="0" w:type="dxa"/>
          </w:tblCellMar>
        </w:tblPrEx>
        <w:trPr>
          <w:trHeight w:val="557" w:hRule="atLeast"/>
          <w:jc w:val="center"/>
        </w:trPr>
        <w:tc>
          <w:tcPr>
            <w:tcW w:w="244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5C0F07D">
            <w:pPr>
              <w:keepNext w:val="0"/>
              <w:keepLines w:val="0"/>
              <w:pageBreakBefore w:val="0"/>
              <w:widowControl/>
              <w:suppressLineNumbers w:val="0"/>
              <w:wordWrap/>
              <w:overflowPunct/>
              <w:topLinePunct w:val="0"/>
              <w:bidi w:val="0"/>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园地</w:t>
            </w:r>
          </w:p>
        </w:tc>
        <w:tc>
          <w:tcPr>
            <w:tcW w:w="185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4DA62AD">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36.3375</w:t>
            </w:r>
          </w:p>
        </w:tc>
        <w:tc>
          <w:tcPr>
            <w:tcW w:w="20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476B12B2">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36.4500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B45F652">
            <w:pPr>
              <w:keepNext w:val="0"/>
              <w:keepLines w:val="0"/>
              <w:pageBreakBefore w:val="0"/>
              <w:widowControl/>
              <w:suppressLineNumbers w:val="0"/>
              <w:wordWrap/>
              <w:overflowPunct/>
              <w:topLinePunct w:val="0"/>
              <w:bidi w:val="0"/>
              <w:spacing w:line="240" w:lineRule="auto"/>
              <w:jc w:val="center"/>
              <w:textAlignment w:val="center"/>
              <w:rPr>
                <w:rFonts w:hint="default" w:ascii="宋体" w:hAnsi="宋体" w:cs="宋体" w:eastAsiaTheme="minorEastAsia"/>
                <w:color w:val="000000"/>
                <w:kern w:val="0"/>
                <w:szCs w:val="21"/>
                <w:u w:val="none"/>
                <w:lang w:val="en-US" w:eastAsia="zh-CN" w:bidi="ar"/>
              </w:rPr>
            </w:pPr>
            <w:r>
              <w:rPr>
                <w:rFonts w:hint="eastAsia" w:ascii="宋体" w:hAnsi="宋体" w:cs="宋体"/>
                <w:color w:val="000000"/>
                <w:kern w:val="0"/>
                <w:szCs w:val="21"/>
                <w:u w:val="none"/>
                <w:lang w:val="en-US" w:eastAsia="zh-CN" w:bidi="ar"/>
              </w:rPr>
              <w:t>72.7875</w:t>
            </w:r>
          </w:p>
        </w:tc>
      </w:tr>
      <w:tr w14:paraId="76BC64F6">
        <w:tblPrEx>
          <w:shd w:val="clear" w:color="auto" w:fill="auto"/>
          <w:tblCellMar>
            <w:top w:w="0" w:type="dxa"/>
            <w:left w:w="0" w:type="dxa"/>
            <w:bottom w:w="0" w:type="dxa"/>
            <w:right w:w="0" w:type="dxa"/>
          </w:tblCellMar>
        </w:tblPrEx>
        <w:trPr>
          <w:trHeight w:val="557" w:hRule="atLeast"/>
          <w:jc w:val="center"/>
        </w:trPr>
        <w:tc>
          <w:tcPr>
            <w:tcW w:w="244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0C59C23">
            <w:pPr>
              <w:keepNext w:val="0"/>
              <w:keepLines w:val="0"/>
              <w:pageBreakBefore w:val="0"/>
              <w:widowControl/>
              <w:suppressLineNumbers w:val="0"/>
              <w:wordWrap/>
              <w:overflowPunct/>
              <w:topLinePunct w:val="0"/>
              <w:bidi w:val="0"/>
              <w:spacing w:line="240" w:lineRule="auto"/>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林地</w:t>
            </w:r>
          </w:p>
        </w:tc>
        <w:tc>
          <w:tcPr>
            <w:tcW w:w="185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6AA9C62D">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21.8025</w:t>
            </w:r>
          </w:p>
        </w:tc>
        <w:tc>
          <w:tcPr>
            <w:tcW w:w="20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05BF383">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21.8700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528F6BF1">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cs="宋体"/>
                <w:color w:val="000000"/>
                <w:kern w:val="0"/>
                <w:szCs w:val="21"/>
                <w:u w:val="none"/>
                <w:lang w:bidi="ar"/>
              </w:rPr>
            </w:pPr>
            <w:r>
              <w:rPr>
                <w:rFonts w:hint="eastAsia" w:ascii="宋体" w:hAnsi="宋体" w:cs="宋体"/>
                <w:color w:val="000000"/>
                <w:kern w:val="0"/>
                <w:szCs w:val="21"/>
                <w:u w:val="none"/>
                <w:lang w:bidi="ar"/>
              </w:rPr>
              <w:t>43.6725</w:t>
            </w:r>
          </w:p>
        </w:tc>
      </w:tr>
      <w:tr w14:paraId="73D1F222">
        <w:tblPrEx>
          <w:shd w:val="clear" w:color="auto" w:fill="auto"/>
          <w:tblCellMar>
            <w:top w:w="0" w:type="dxa"/>
            <w:left w:w="0" w:type="dxa"/>
            <w:bottom w:w="0" w:type="dxa"/>
            <w:right w:w="0" w:type="dxa"/>
          </w:tblCellMar>
        </w:tblPrEx>
        <w:trPr>
          <w:trHeight w:val="557" w:hRule="atLeast"/>
          <w:jc w:val="center"/>
        </w:trPr>
        <w:tc>
          <w:tcPr>
            <w:tcW w:w="244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092D61B">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lang w:eastAsia="zh-CN"/>
              </w:rPr>
            </w:pPr>
            <w:r>
              <w:rPr>
                <w:rFonts w:hint="eastAsia" w:ascii="宋体" w:hAnsi="宋体" w:eastAsia="宋体" w:cs="宋体"/>
                <w:i w:val="0"/>
                <w:color w:val="000000"/>
                <w:sz w:val="21"/>
                <w:szCs w:val="21"/>
                <w:u w:val="none"/>
                <w:lang w:eastAsia="zh-CN"/>
              </w:rPr>
              <w:t>草地</w:t>
            </w:r>
          </w:p>
        </w:tc>
        <w:tc>
          <w:tcPr>
            <w:tcW w:w="185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C6E5E44">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21.8025</w:t>
            </w:r>
          </w:p>
        </w:tc>
        <w:tc>
          <w:tcPr>
            <w:tcW w:w="20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3F81340">
            <w:pPr>
              <w:keepNext w:val="0"/>
              <w:keepLines w:val="0"/>
              <w:pageBreakBefore w:val="0"/>
              <w:widowControl/>
              <w:suppressLineNumbers w:val="0"/>
              <w:wordWrap/>
              <w:overflowPunct/>
              <w:topLinePunct w:val="0"/>
              <w:bidi w:val="0"/>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21.8700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2681BFFC">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color w:val="000000"/>
                <w:kern w:val="0"/>
                <w:szCs w:val="21"/>
                <w:u w:val="none"/>
                <w:lang w:bidi="ar"/>
              </w:rPr>
              <w:t>43.6725</w:t>
            </w:r>
          </w:p>
        </w:tc>
      </w:tr>
      <w:tr w14:paraId="36CDBA2C">
        <w:tblPrEx>
          <w:tblCellMar>
            <w:top w:w="0" w:type="dxa"/>
            <w:left w:w="0" w:type="dxa"/>
            <w:bottom w:w="0" w:type="dxa"/>
            <w:right w:w="0" w:type="dxa"/>
          </w:tblCellMar>
        </w:tblPrEx>
        <w:trPr>
          <w:trHeight w:val="557" w:hRule="atLeast"/>
          <w:jc w:val="center"/>
        </w:trPr>
        <w:tc>
          <w:tcPr>
            <w:tcW w:w="244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CA4F299">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sz w:val="21"/>
                <w:szCs w:val="21"/>
                <w:u w:val="none"/>
              </w:rPr>
              <w:t>养殖水面</w:t>
            </w:r>
          </w:p>
        </w:tc>
        <w:tc>
          <w:tcPr>
            <w:tcW w:w="185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66F71743">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48.4500</w:t>
            </w:r>
          </w:p>
        </w:tc>
        <w:tc>
          <w:tcPr>
            <w:tcW w:w="20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A59216D">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48.6</w:t>
            </w: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00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4FD27C5F">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color w:val="000000"/>
                <w:kern w:val="0"/>
                <w:szCs w:val="21"/>
                <w:u w:val="none"/>
                <w:lang w:bidi="ar"/>
              </w:rPr>
              <w:t>97.05</w:t>
            </w:r>
            <w:r>
              <w:rPr>
                <w:rFonts w:hint="eastAsia" w:ascii="宋体" w:hAnsi="宋体" w:eastAsia="宋体" w:cs="宋体"/>
                <w:i w:val="0"/>
                <w:color w:val="000000"/>
                <w:kern w:val="0"/>
                <w:sz w:val="21"/>
                <w:szCs w:val="21"/>
                <w:u w:val="none"/>
                <w:lang w:val="en-US" w:eastAsia="zh-CN" w:bidi="ar"/>
              </w:rPr>
              <w:t>00</w:t>
            </w:r>
          </w:p>
        </w:tc>
      </w:tr>
      <w:tr w14:paraId="295E0113">
        <w:tblPrEx>
          <w:tblCellMar>
            <w:top w:w="0" w:type="dxa"/>
            <w:left w:w="0" w:type="dxa"/>
            <w:bottom w:w="0" w:type="dxa"/>
            <w:right w:w="0" w:type="dxa"/>
          </w:tblCellMar>
        </w:tblPrEx>
        <w:trPr>
          <w:trHeight w:val="557" w:hRule="atLeast"/>
          <w:jc w:val="center"/>
        </w:trPr>
        <w:tc>
          <w:tcPr>
            <w:tcW w:w="244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1049346">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其他农用地</w:t>
            </w:r>
          </w:p>
          <w:p w14:paraId="3A15FDD0">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（不含养殖水面）</w:t>
            </w:r>
          </w:p>
        </w:tc>
        <w:tc>
          <w:tcPr>
            <w:tcW w:w="185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6C96A59B">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21.8025</w:t>
            </w:r>
          </w:p>
        </w:tc>
        <w:tc>
          <w:tcPr>
            <w:tcW w:w="20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629F558">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21.87</w:t>
            </w:r>
            <w:r>
              <w:rPr>
                <w:rFonts w:hint="eastAsia" w:ascii="宋体" w:hAnsi="宋体" w:cs="宋体"/>
                <w:i w:val="0"/>
                <w:color w:val="000000"/>
                <w:kern w:val="0"/>
                <w:sz w:val="21"/>
                <w:szCs w:val="21"/>
                <w:u w:val="none"/>
                <w:lang w:val="en-US" w:eastAsia="zh-CN" w:bidi="ar"/>
              </w:rPr>
              <w:t>00</w:t>
            </w:r>
          </w:p>
        </w:tc>
        <w:tc>
          <w:tcPr>
            <w:tcW w:w="223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5FB68E20">
            <w:pPr>
              <w:keepNext w:val="0"/>
              <w:keepLines w:val="0"/>
              <w:pageBreakBefore w:val="0"/>
              <w:widowControl/>
              <w:suppressLineNumbers w:val="0"/>
              <w:wordWrap/>
              <w:overflowPunct/>
              <w:topLinePunct w:val="0"/>
              <w:bidi w:val="0"/>
              <w:spacing w:line="240" w:lineRule="auto"/>
              <w:jc w:val="center"/>
              <w:textAlignment w:val="center"/>
              <w:rPr>
                <w:rFonts w:hint="eastAsia" w:ascii="宋体" w:hAnsi="宋体" w:cs="宋体"/>
                <w:color w:val="000000"/>
                <w:kern w:val="0"/>
                <w:szCs w:val="21"/>
                <w:u w:val="none"/>
                <w:lang w:bidi="ar"/>
              </w:rPr>
            </w:pPr>
            <w:r>
              <w:rPr>
                <w:rFonts w:hint="eastAsia" w:ascii="宋体" w:hAnsi="宋体" w:cs="宋体"/>
                <w:color w:val="000000"/>
                <w:kern w:val="0"/>
                <w:szCs w:val="21"/>
                <w:u w:val="none"/>
                <w:lang w:bidi="ar"/>
              </w:rPr>
              <w:t>43.6725</w:t>
            </w:r>
          </w:p>
        </w:tc>
      </w:tr>
    </w:tbl>
    <w:p w14:paraId="7207CC1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（二）其他地上附着物和青苗补偿</w:t>
      </w:r>
    </w:p>
    <w:p w14:paraId="7AF57CD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其他地上附着物补偿和青苗补偿按《韶关市浈江区、武江区征收集体土地地上附着物和青苗补偿标准》（韶府规审〔2024〕3号）的规定执行。</w:t>
      </w:r>
    </w:p>
    <w:p w14:paraId="31EDC67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napToGrid w:val="0"/>
          <w:color w:val="auto"/>
          <w:kern w:val="0"/>
          <w:sz w:val="32"/>
          <w:szCs w:val="21"/>
        </w:rPr>
      </w:pPr>
      <w:r>
        <w:rPr>
          <w:rFonts w:hint="eastAsia" w:ascii="黑体" w:hAnsi="黑体" w:eastAsia="黑体" w:cs="黑体"/>
          <w:snapToGrid w:val="0"/>
          <w:color w:val="auto"/>
          <w:kern w:val="0"/>
          <w:sz w:val="32"/>
          <w:szCs w:val="21"/>
        </w:rPr>
        <w:t>五、安置方式和社会保障</w:t>
      </w:r>
    </w:p>
    <w:p w14:paraId="09E3F3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（一）货币安置。有关费用已包含在土地补偿费与安置补助费中。</w:t>
      </w:r>
    </w:p>
    <w:p w14:paraId="08F178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lang w:eastAsia="zh-CN"/>
        </w:rPr>
        <w:t>（二）留用地安置。根据《广东省人民政府办公厅关于加强征收农村集体土地留用地安置管理工作的意见》（粤府办〔2016〕30号）和《韶关市人民政府办公室关于加强</w:t>
      </w:r>
      <w:r>
        <w:rPr>
          <w:rFonts w:hint="eastAsia" w:ascii="仿宋_GB2312" w:hAnsi="仿宋_GB2312" w:eastAsia="仿宋_GB2312" w:cs="仿宋_GB2312"/>
          <w:sz w:val="32"/>
          <w:szCs w:val="32"/>
          <w:lang w:val="en-US" w:eastAsia="zh-CN"/>
        </w:rPr>
        <w:t>韶关市</w:t>
      </w:r>
      <w:r>
        <w:rPr>
          <w:rFonts w:hint="eastAsia" w:ascii="仿宋_GB2312" w:hAnsi="仿宋_GB2312" w:eastAsia="仿宋_GB2312" w:cs="仿宋_GB2312"/>
          <w:sz w:val="32"/>
          <w:szCs w:val="32"/>
          <w:lang w:eastAsia="zh-CN"/>
        </w:rPr>
        <w:t>浈江区、武江区征收农村集体土地留用地安置管理工作的意见》（韶府办〔2016〕</w:t>
      </w: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lang w:eastAsia="zh-CN"/>
        </w:rPr>
        <w:t>号）的规定，按实际征收土地面积的15%</w:t>
      </w:r>
      <w:r>
        <w:rPr>
          <w:rFonts w:hint="eastAsia" w:ascii="仿宋_GB2312" w:hAnsi="仿宋_GB2312" w:eastAsia="仿宋_GB2312" w:cs="仿宋_GB2312"/>
          <w:sz w:val="32"/>
          <w:szCs w:val="32"/>
          <w:highlight w:val="none"/>
          <w:lang w:eastAsia="zh-CN"/>
        </w:rPr>
        <w:t>，韶关市武江区西联镇甘棠股份经济联合社按照</w:t>
      </w:r>
      <w:r>
        <w:rPr>
          <w:rFonts w:hint="eastAsia" w:ascii="仿宋_GB2312" w:hAnsi="仿宋_GB2312" w:eastAsia="仿宋_GB2312" w:cs="仿宋_GB2312"/>
          <w:sz w:val="32"/>
          <w:szCs w:val="32"/>
          <w:highlight w:val="none"/>
          <w:lang w:val="en-US" w:eastAsia="zh-CN"/>
        </w:rPr>
        <w:t>30</w:t>
      </w:r>
      <w:r>
        <w:rPr>
          <w:rFonts w:hint="eastAsia" w:ascii="仿宋_GB2312" w:hAnsi="仿宋_GB2312" w:eastAsia="仿宋_GB2312" w:cs="仿宋_GB2312"/>
          <w:sz w:val="32"/>
          <w:szCs w:val="32"/>
          <w:highlight w:val="none"/>
          <w:lang w:eastAsia="zh-CN"/>
        </w:rPr>
        <w:t>万元/亩，</w:t>
      </w:r>
      <w:r>
        <w:rPr>
          <w:rFonts w:hint="eastAsia" w:ascii="仿宋_GB2312" w:hAnsi="仿宋_GB2312" w:eastAsia="仿宋_GB2312" w:cs="仿宋_GB2312"/>
          <w:sz w:val="32"/>
          <w:szCs w:val="32"/>
          <w:highlight w:val="none"/>
          <w:lang w:val="en-US" w:eastAsia="zh-CN"/>
        </w:rPr>
        <w:t>韶关市武江区</w:t>
      </w:r>
      <w:r>
        <w:rPr>
          <w:rFonts w:hint="eastAsia" w:ascii="仿宋_GB2312" w:hAnsi="仿宋_GB2312" w:eastAsia="仿宋_GB2312" w:cs="仿宋_GB2312"/>
          <w:sz w:val="32"/>
          <w:szCs w:val="32"/>
          <w:highlight w:val="none"/>
          <w:lang w:eastAsia="zh-CN"/>
        </w:rPr>
        <w:t>龙归镇龙归经济联合社按照</w:t>
      </w:r>
      <w:r>
        <w:rPr>
          <w:rFonts w:hint="eastAsia" w:ascii="仿宋_GB2312" w:hAnsi="仿宋_GB2312" w:eastAsia="仿宋_GB2312" w:cs="仿宋_GB2312"/>
          <w:sz w:val="32"/>
          <w:szCs w:val="32"/>
          <w:highlight w:val="none"/>
          <w:lang w:val="en-US" w:eastAsia="zh-CN"/>
        </w:rPr>
        <w:t>20</w:t>
      </w:r>
      <w:r>
        <w:rPr>
          <w:rFonts w:hint="eastAsia" w:ascii="仿宋_GB2312" w:hAnsi="仿宋_GB2312" w:eastAsia="仿宋_GB2312" w:cs="仿宋_GB2312"/>
          <w:sz w:val="32"/>
          <w:szCs w:val="32"/>
          <w:highlight w:val="none"/>
          <w:lang w:eastAsia="zh-CN"/>
        </w:rPr>
        <w:t>万元/亩，折算货币补偿</w:t>
      </w:r>
      <w:r>
        <w:rPr>
          <w:rFonts w:hint="eastAsia" w:ascii="仿宋_GB2312" w:hAnsi="仿宋_GB2312" w:eastAsia="仿宋_GB2312" w:cs="仿宋_GB2312"/>
          <w:sz w:val="32"/>
          <w:szCs w:val="32"/>
          <w:highlight w:val="none"/>
          <w:lang w:val="en-US" w:eastAsia="zh-CN"/>
        </w:rPr>
        <w:t>方式</w:t>
      </w:r>
      <w:r>
        <w:rPr>
          <w:rFonts w:hint="eastAsia" w:ascii="仿宋_GB2312" w:hAnsi="仿宋_GB2312" w:eastAsia="仿宋_GB2312" w:cs="仿宋_GB2312"/>
          <w:sz w:val="32"/>
          <w:szCs w:val="32"/>
          <w:highlight w:val="none"/>
          <w:lang w:eastAsia="zh-CN"/>
        </w:rPr>
        <w:t>安排留用地。</w:t>
      </w:r>
    </w:p>
    <w:p w14:paraId="653BE8B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社会保障。根据《广东省人民政府办公厅转发省人力资源社会保障厅关于进一步完善我省被征地农民养老保障政策意见的通知》（粤府办〔2021〕22号）、《韶关市人民政府办公室关于进一步明确韶关市被征地农民养老保障工作的通知》（韶府办发函〔2021〕179号）等有关规定，对韶关市武江区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年度第十三批次城镇建设用地项目涉及的被征地农民实施养老保障。涉及应参加养老保障的被征地农民人数为</w:t>
      </w: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lang w:eastAsia="zh-CN"/>
        </w:rPr>
        <w:t>人，其中韶关市武江区西联镇甘棠股份经济联合社</w:t>
      </w:r>
      <w:r>
        <w:rPr>
          <w:rFonts w:hint="eastAsia" w:ascii="仿宋_GB2312" w:hAnsi="仿宋_GB2312" w:eastAsia="仿宋_GB2312" w:cs="仿宋_GB2312"/>
          <w:sz w:val="32"/>
          <w:szCs w:val="32"/>
          <w:lang w:val="en-US" w:eastAsia="zh-CN"/>
        </w:rPr>
        <w:t>13人、</w:t>
      </w:r>
      <w:r>
        <w:rPr>
          <w:rFonts w:hint="eastAsia" w:ascii="仿宋_GB2312" w:hAnsi="仿宋_GB2312" w:eastAsia="仿宋_GB2312" w:cs="仿宋_GB2312"/>
          <w:sz w:val="32"/>
          <w:szCs w:val="32"/>
          <w:lang w:eastAsia="zh-CN"/>
        </w:rPr>
        <w:t>韶关市武江区龙归镇龙归经济联合社</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人，被征地农民个人最低缴费标准为每人每月110元，缴费年限为15年，按个人最低缴费标准缴纳15年的被征地农民养老保障资金为1.98万元。预存入“收缴被征地农民养老保障资金过渡户”，费用合计</w:t>
      </w:r>
      <w:r>
        <w:rPr>
          <w:rFonts w:hint="eastAsia" w:ascii="仿宋_GB2312" w:hAnsi="仿宋_GB2312" w:eastAsia="仿宋_GB2312" w:cs="仿宋_GB2312"/>
          <w:sz w:val="32"/>
          <w:szCs w:val="32"/>
          <w:lang w:val="en-US" w:eastAsia="zh-CN"/>
        </w:rPr>
        <w:t>63.36</w:t>
      </w:r>
      <w:r>
        <w:rPr>
          <w:rFonts w:hint="eastAsia" w:ascii="仿宋_GB2312" w:hAnsi="仿宋_GB2312" w:eastAsia="仿宋_GB2312" w:cs="仿宋_GB2312"/>
          <w:sz w:val="32"/>
          <w:szCs w:val="32"/>
          <w:lang w:eastAsia="zh-CN"/>
        </w:rPr>
        <w:t>万元，专款用于被征地农民的基本养老保险补贴。</w:t>
      </w:r>
    </w:p>
    <w:p w14:paraId="020D1D6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napToGrid w:val="0"/>
          <w:color w:val="auto"/>
          <w:kern w:val="0"/>
          <w:sz w:val="32"/>
          <w:szCs w:val="21"/>
        </w:rPr>
      </w:pPr>
      <w:r>
        <w:rPr>
          <w:rFonts w:hint="eastAsia" w:ascii="黑体" w:hAnsi="黑体" w:eastAsia="黑体" w:cs="黑体"/>
          <w:snapToGrid w:val="0"/>
          <w:color w:val="auto"/>
          <w:kern w:val="0"/>
          <w:sz w:val="32"/>
          <w:szCs w:val="21"/>
        </w:rPr>
        <w:t>六、其他事项</w:t>
      </w:r>
    </w:p>
    <w:p w14:paraId="7AB20E92">
      <w:pPr>
        <w:pStyle w:val="3"/>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z w:val="32"/>
          <w:szCs w:val="32"/>
        </w:rPr>
      </w:pPr>
      <w:r>
        <w:rPr>
          <w:rFonts w:hint="eastAsia" w:ascii="仿宋_GB2312" w:hAnsi="仿宋_GB2312" w:eastAsia="仿宋_GB2312" w:cs="仿宋_GB2312"/>
          <w:sz w:val="32"/>
          <w:szCs w:val="32"/>
          <w:lang w:eastAsia="zh-CN"/>
        </w:rPr>
        <w:t>（一）公告时间：202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日至20</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日</w:t>
      </w:r>
      <w:r>
        <w:rPr>
          <w:rFonts w:hint="eastAsia" w:ascii="仿宋_GB2312" w:hAnsi="宋体" w:eastAsia="仿宋_GB2312" w:cs="宋体"/>
          <w:bCs/>
          <w:sz w:val="32"/>
          <w:szCs w:val="32"/>
          <w:lang w:val="en-US" w:eastAsia="zh-CN"/>
        </w:rPr>
        <w:t>（不少于30日）。</w:t>
      </w:r>
    </w:p>
    <w:p w14:paraId="7C57275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（二）补偿登记期限和方式。被征收土地所有权人及相关权利人应当在202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日至202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日内，持集体土地所有权证、集体土地使用权证、集体土地承包合同及身份证等证明材料至韶关市武江区土地和房屋征收事务中心（地址：韶关市武江区建设路</w:t>
      </w:r>
      <w:r>
        <w:rPr>
          <w:rFonts w:hint="eastAsia" w:ascii="仿宋_GB2312" w:hAnsi="仿宋_GB2312" w:eastAsia="仿宋_GB2312" w:cs="仿宋_GB2312"/>
          <w:sz w:val="32"/>
          <w:szCs w:val="32"/>
          <w:lang w:val="en-US" w:eastAsia="zh-CN"/>
        </w:rPr>
        <w:t>49号；</w:t>
      </w:r>
      <w:r>
        <w:rPr>
          <w:rFonts w:hint="eastAsia" w:ascii="仿宋_GB2312" w:hAnsi="宋体" w:eastAsia="仿宋_GB2312" w:cs="宋体"/>
          <w:bCs/>
          <w:color w:val="auto"/>
          <w:sz w:val="32"/>
          <w:szCs w:val="32"/>
          <w:highlight w:val="none"/>
          <w:lang w:val="en-US" w:eastAsia="zh-CN"/>
        </w:rPr>
        <w:t>联系人：</w:t>
      </w:r>
      <w:r>
        <w:rPr>
          <w:rFonts w:hint="eastAsia" w:ascii="仿宋_GB2312" w:hAnsi="仿宋_GB2312" w:eastAsia="仿宋_GB2312" w:cs="仿宋_GB2312"/>
          <w:sz w:val="32"/>
          <w:szCs w:val="32"/>
          <w:lang w:val="en-US" w:eastAsia="zh-CN"/>
        </w:rPr>
        <w:t>丘石明</w:t>
      </w:r>
      <w:r>
        <w:rPr>
          <w:rFonts w:hint="eastAsia" w:ascii="仿宋_GB2312" w:hAnsi="宋体" w:eastAsia="仿宋_GB2312" w:cs="宋体"/>
          <w:bCs/>
          <w:color w:val="auto"/>
          <w:sz w:val="32"/>
          <w:szCs w:val="32"/>
          <w:highlight w:val="none"/>
          <w:lang w:val="en-US" w:eastAsia="zh-CN"/>
        </w:rPr>
        <w:t>；电话：</w:t>
      </w:r>
      <w:r>
        <w:rPr>
          <w:rFonts w:hint="eastAsia" w:ascii="仿宋_GB2312" w:hAnsi="仿宋_GB2312" w:eastAsia="仿宋_GB2312" w:cs="仿宋_GB2312"/>
          <w:sz w:val="32"/>
          <w:szCs w:val="32"/>
          <w:highlight w:val="none"/>
          <w:lang w:eastAsia="zh-CN"/>
        </w:rPr>
        <w:t>0751-86</w:t>
      </w:r>
      <w:r>
        <w:rPr>
          <w:rFonts w:hint="eastAsia" w:ascii="仿宋_GB2312" w:hAnsi="仿宋_GB2312" w:eastAsia="仿宋_GB2312" w:cs="仿宋_GB2312"/>
          <w:sz w:val="32"/>
          <w:szCs w:val="32"/>
          <w:highlight w:val="none"/>
          <w:lang w:val="en-US" w:eastAsia="zh-CN"/>
        </w:rPr>
        <w:t>39901</w:t>
      </w:r>
      <w:r>
        <w:rPr>
          <w:rFonts w:hint="eastAsia" w:ascii="仿宋_GB2312" w:hAnsi="仿宋_GB2312" w:eastAsia="仿宋_GB2312" w:cs="仿宋_GB2312"/>
          <w:sz w:val="32"/>
          <w:szCs w:val="32"/>
          <w:lang w:eastAsia="zh-CN"/>
        </w:rPr>
        <w:t>）办理征地补偿登记手续，请相互转告。未按期办理补偿登记的，其补偿内容以经确认或者公示的土地现状调查结果为准。</w:t>
      </w:r>
    </w:p>
    <w:p w14:paraId="18502EB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（三）异议反馈渠道。对本征地补偿安置方案有异议的，请于202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日至202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日内持土地权属证明材料等向韶关市武江区自然资源局提交书面意见。异议提交地址为：韶关市武江区惠民南路42幢，（联系人：李健，联系电话：0751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8776597；邮编：512000）。在规定时间内未提交书面意见的，视为无异议。我区将在收取意见后，对符合</w:t>
      </w:r>
      <w:r>
        <w:rPr>
          <w:rFonts w:hint="eastAsia" w:ascii="仿宋_GB2312" w:hAnsi="仿宋_GB2312" w:eastAsia="仿宋_GB2312" w:cs="仿宋_GB2312"/>
          <w:sz w:val="32"/>
          <w:szCs w:val="32"/>
        </w:rPr>
        <w:t>《中华人民共和国土地管理法》</w:t>
      </w:r>
      <w:r>
        <w:rPr>
          <w:rFonts w:hint="eastAsia" w:ascii="仿宋_GB2312" w:hAnsi="宋体" w:eastAsia="仿宋_GB2312" w:cs="宋体"/>
          <w:bCs/>
          <w:sz w:val="32"/>
          <w:szCs w:val="32"/>
          <w:lang w:eastAsia="zh-CN"/>
        </w:rPr>
        <w:t>《中华人民共和国土地管理法实施条例》</w:t>
      </w:r>
      <w:r>
        <w:rPr>
          <w:rFonts w:hint="eastAsia" w:ascii="仿宋_GB2312" w:hAnsi="仿宋_GB2312" w:eastAsia="仿宋_GB2312" w:cs="仿宋_GB2312"/>
          <w:sz w:val="32"/>
          <w:szCs w:val="32"/>
          <w:lang w:eastAsia="zh-CN"/>
        </w:rPr>
        <w:t>《广东省土地管理条例》规定条件的，依法依规组织听证。</w:t>
      </w:r>
    </w:p>
    <w:p w14:paraId="3A755B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特此公告。</w:t>
      </w:r>
    </w:p>
    <w:p w14:paraId="7482F057">
      <w:pPr>
        <w:keepNext w:val="0"/>
        <w:keepLines w:val="0"/>
        <w:pageBreakBefore w:val="0"/>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eastAsia="zh-CN"/>
        </w:rPr>
      </w:pPr>
    </w:p>
    <w:p w14:paraId="24B294EB">
      <w:pPr>
        <w:keepNext w:val="0"/>
        <w:keepLines w:val="0"/>
        <w:pageBreakBefore w:val="0"/>
        <w:wordWrap/>
        <w:overflowPunct/>
        <w:topLinePunct w:val="0"/>
        <w:bidi w:val="0"/>
        <w:spacing w:line="560" w:lineRule="exact"/>
        <w:ind w:left="1617" w:leftChars="304" w:hanging="979" w:hangingChars="306"/>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附件：1.韶关市武江区202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年度第十三批次城镇建设用地项目征收土地补偿安置方案</w:t>
      </w:r>
    </w:p>
    <w:p w14:paraId="609644AB">
      <w:pPr>
        <w:keepNext w:val="0"/>
        <w:keepLines w:val="0"/>
        <w:pageBreakBefore w:val="0"/>
        <w:widowControl w:val="0"/>
        <w:kinsoku/>
        <w:wordWrap/>
        <w:overflowPunct/>
        <w:topLinePunct w:val="0"/>
        <w:autoSpaceDE/>
        <w:autoSpaceDN/>
        <w:bidi w:val="0"/>
        <w:adjustRightInd/>
        <w:snapToGrid/>
        <w:spacing w:line="560" w:lineRule="exact"/>
        <w:ind w:left="1615" w:leftChars="769" w:firstLine="3" w:firstLineChars="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highlight w:val="none"/>
          <w:lang w:val="en-US" w:eastAsia="zh-CN"/>
        </w:rPr>
        <w:t>关于</w:t>
      </w:r>
      <w:r>
        <w:rPr>
          <w:rFonts w:hint="eastAsia" w:ascii="仿宋_GB2312" w:hAnsi="仿宋_GB2312" w:eastAsia="仿宋_GB2312" w:cs="仿宋_GB2312"/>
          <w:sz w:val="32"/>
          <w:szCs w:val="32"/>
          <w:lang w:eastAsia="zh-CN"/>
        </w:rPr>
        <w:t>韶关市武江区202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年度第十三批次城镇建设用地项目被征地农民养老保障方案</w:t>
      </w:r>
    </w:p>
    <w:p w14:paraId="6ADFC683">
      <w:pPr>
        <w:keepNext w:val="0"/>
        <w:keepLines w:val="0"/>
        <w:pageBreakBefore w:val="0"/>
        <w:widowControl w:val="0"/>
        <w:kinsoku/>
        <w:wordWrap/>
        <w:overflowPunct/>
        <w:topLinePunct w:val="0"/>
        <w:autoSpaceDE/>
        <w:autoSpaceDN/>
        <w:bidi w:val="0"/>
        <w:adjustRightInd/>
        <w:snapToGrid/>
        <w:spacing w:line="560" w:lineRule="exact"/>
        <w:ind w:left="1615" w:leftChars="769" w:firstLine="3" w:firstLineChars="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3.韶关市武江区202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年度第十三批次城镇建设用地项目征收集体土地示意图</w:t>
      </w:r>
    </w:p>
    <w:p w14:paraId="4B2A36C3">
      <w:pPr>
        <w:keepNext w:val="0"/>
        <w:keepLines w:val="0"/>
        <w:pageBreakBefore w:val="0"/>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eastAsia="zh-CN"/>
        </w:rPr>
      </w:pPr>
    </w:p>
    <w:p w14:paraId="10671D27">
      <w:pPr>
        <w:keepNext w:val="0"/>
        <w:keepLines w:val="0"/>
        <w:pageBreakBefore w:val="0"/>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eastAsia="zh-CN"/>
        </w:rPr>
      </w:pPr>
    </w:p>
    <w:p w14:paraId="2D83C3C9">
      <w:pPr>
        <w:keepNext w:val="0"/>
        <w:keepLines w:val="0"/>
        <w:pageBreakBefore w:val="0"/>
        <w:wordWrap w:val="0"/>
        <w:overflowPunct/>
        <w:topLinePunct w:val="0"/>
        <w:bidi w:val="0"/>
        <w:spacing w:line="560" w:lineRule="exact"/>
        <w:ind w:firstLine="640" w:firstLineChars="20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韶关市武江区人民政府</w:t>
      </w:r>
      <w:r>
        <w:rPr>
          <w:rFonts w:hint="eastAsia" w:ascii="仿宋_GB2312" w:hAnsi="仿宋_GB2312" w:eastAsia="仿宋_GB2312" w:cs="仿宋_GB2312"/>
          <w:sz w:val="32"/>
          <w:szCs w:val="32"/>
          <w:lang w:val="en-US" w:eastAsia="zh-CN"/>
        </w:rPr>
        <w:t xml:space="preserve">     </w:t>
      </w:r>
    </w:p>
    <w:p w14:paraId="7AFB34EC">
      <w:pPr>
        <w:keepNext w:val="0"/>
        <w:keepLines w:val="0"/>
        <w:pageBreakBefore w:val="0"/>
        <w:widowControl w:val="0"/>
        <w:kinsoku/>
        <w:wordWrap/>
        <w:overflowPunct/>
        <w:topLinePunct w:val="0"/>
        <w:autoSpaceDE/>
        <w:autoSpaceDN/>
        <w:bidi w:val="0"/>
        <w:adjustRightInd/>
        <w:snapToGrid/>
        <w:spacing w:line="560" w:lineRule="exact"/>
        <w:ind w:firstLine="5440" w:firstLineChars="1700"/>
        <w:jc w:val="left"/>
        <w:textAlignment w:val="auto"/>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en-US"/>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en-US"/>
        </w:rPr>
        <w:t>月</w:t>
      </w:r>
      <w:r>
        <w:rPr>
          <w:rFonts w:hint="eastAsia" w:ascii="仿宋_GB2312" w:hAnsi="仿宋_GB2312" w:eastAsia="仿宋_GB2312" w:cs="仿宋_GB2312"/>
          <w:sz w:val="32"/>
          <w:szCs w:val="32"/>
          <w:lang w:val="en-US" w:eastAsia="zh-CN"/>
        </w:rPr>
        <w:t>14</w:t>
      </w:r>
      <w:bookmarkStart w:id="1" w:name="_GoBack"/>
      <w:bookmarkEnd w:id="1"/>
      <w:r>
        <w:rPr>
          <w:rFonts w:hint="eastAsia" w:ascii="仿宋_GB2312" w:hAnsi="仿宋_GB2312" w:eastAsia="仿宋_GB2312" w:cs="仿宋_GB2312"/>
          <w:sz w:val="32"/>
          <w:szCs w:val="32"/>
          <w:lang w:eastAsia="en-US"/>
        </w:rPr>
        <w:t>日</w:t>
      </w:r>
    </w:p>
    <w:p w14:paraId="6E5D3366">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58A70F54">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5178ECA7">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78A9BCAE">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63D9A983">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4641202D">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59D40AC0">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30D70D49">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1AC93720">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2B0667BD">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636B64CF">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3BA9FDC4">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1A881414">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44F40690">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3F96A3EA">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27CB1923">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1B940708">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p>
    <w:p w14:paraId="3EB297E8">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Times New Roman" w:eastAsia="仿宋_GB2312" w:cs="Times New Roman"/>
          <w:snapToGrid/>
          <w:color w:val="auto"/>
          <w:kern w:val="2"/>
          <w:sz w:val="32"/>
          <w:szCs w:val="32"/>
          <w:lang w:val="en-US" w:eastAsia="zh-CN" w:bidi="ar-SA"/>
        </w:rPr>
      </w:pPr>
      <w:r>
        <w:rPr>
          <w:rFonts w:hint="eastAsia" w:ascii="仿宋_GB2312" w:hAnsi="Times New Roman" w:eastAsia="仿宋_GB2312" w:cs="Times New Roman"/>
          <w:snapToGrid/>
          <w:color w:val="auto"/>
          <w:kern w:val="2"/>
          <w:sz w:val="32"/>
          <w:szCs w:val="32"/>
          <w:lang w:val="en-US" w:eastAsia="zh-CN" w:bidi="ar-SA"/>
        </w:rPr>
        <w:t>附件1</w:t>
      </w:r>
    </w:p>
    <w:p w14:paraId="7E2B514F">
      <w:pPr>
        <w:keepNext w:val="0"/>
        <w:keepLines w:val="0"/>
        <w:pageBreakBefore w:val="0"/>
        <w:widowControl/>
        <w:wordWrap/>
        <w:overflowPunct/>
        <w:topLinePunct w:val="0"/>
        <w:bidi w:val="0"/>
        <w:spacing w:line="560" w:lineRule="exact"/>
        <w:jc w:val="left"/>
        <w:rPr>
          <w:rFonts w:hint="default" w:ascii="方正小标宋简体" w:hAnsi="方正小标宋简体" w:eastAsia="方正小标宋简体" w:cs="方正小标宋简体"/>
          <w:bCs/>
          <w:sz w:val="44"/>
          <w:szCs w:val="44"/>
          <w:lang w:val="en-US" w:eastAsia="zh-CN"/>
        </w:rPr>
      </w:pPr>
    </w:p>
    <w:p w14:paraId="69C34A25">
      <w:pPr>
        <w:keepNext w:val="0"/>
        <w:keepLines w:val="0"/>
        <w:pageBreakBefore w:val="0"/>
        <w:widowControl/>
        <w:wordWrap/>
        <w:overflowPunct/>
        <w:topLinePunct w:val="0"/>
        <w:bidi w:val="0"/>
        <w:spacing w:line="5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韶关市武江区202</w:t>
      </w:r>
      <w:r>
        <w:rPr>
          <w:rFonts w:hint="eastAsia" w:ascii="方正小标宋简体" w:hAnsi="方正小标宋简体" w:eastAsia="方正小标宋简体" w:cs="方正小标宋简体"/>
          <w:b w:val="0"/>
          <w:bCs/>
          <w:sz w:val="44"/>
          <w:szCs w:val="44"/>
          <w:lang w:val="en-US" w:eastAsia="zh-CN"/>
        </w:rPr>
        <w:t>4</w:t>
      </w:r>
      <w:r>
        <w:rPr>
          <w:rFonts w:hint="eastAsia" w:ascii="方正小标宋简体" w:hAnsi="方正小标宋简体" w:eastAsia="方正小标宋简体" w:cs="方正小标宋简体"/>
          <w:b w:val="0"/>
          <w:bCs/>
          <w:sz w:val="44"/>
          <w:szCs w:val="44"/>
        </w:rPr>
        <w:t>年度第</w:t>
      </w:r>
      <w:r>
        <w:rPr>
          <w:rFonts w:hint="eastAsia" w:ascii="方正小标宋简体" w:hAnsi="方正小标宋简体" w:eastAsia="方正小标宋简体" w:cs="方正小标宋简体"/>
          <w:b w:val="0"/>
          <w:bCs/>
          <w:sz w:val="44"/>
          <w:szCs w:val="44"/>
          <w:lang w:eastAsia="zh-CN"/>
        </w:rPr>
        <w:t>十三</w:t>
      </w:r>
      <w:r>
        <w:rPr>
          <w:rFonts w:hint="eastAsia" w:ascii="方正小标宋简体" w:hAnsi="方正小标宋简体" w:eastAsia="方正小标宋简体" w:cs="方正小标宋简体"/>
          <w:b w:val="0"/>
          <w:bCs/>
          <w:sz w:val="44"/>
          <w:szCs w:val="44"/>
        </w:rPr>
        <w:t>批次城镇建设</w:t>
      </w:r>
    </w:p>
    <w:p w14:paraId="149FC283">
      <w:pPr>
        <w:keepNext w:val="0"/>
        <w:keepLines w:val="0"/>
        <w:pageBreakBefore w:val="0"/>
        <w:widowControl/>
        <w:wordWrap/>
        <w:overflowPunct/>
        <w:topLinePunct w:val="0"/>
        <w:bidi w:val="0"/>
        <w:spacing w:line="560" w:lineRule="exact"/>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用地项目征</w:t>
      </w:r>
      <w:r>
        <w:rPr>
          <w:rFonts w:hint="eastAsia" w:ascii="方正小标宋简体" w:hAnsi="方正小标宋简体" w:eastAsia="方正小标宋简体" w:cs="方正小标宋简体"/>
          <w:b w:val="0"/>
          <w:bCs/>
          <w:sz w:val="44"/>
          <w:szCs w:val="44"/>
          <w:lang w:eastAsia="zh-CN"/>
        </w:rPr>
        <w:t>收土</w:t>
      </w:r>
      <w:r>
        <w:rPr>
          <w:rFonts w:hint="eastAsia" w:ascii="方正小标宋简体" w:hAnsi="方正小标宋简体" w:eastAsia="方正小标宋简体" w:cs="方正小标宋简体"/>
          <w:b w:val="0"/>
          <w:bCs/>
          <w:sz w:val="44"/>
          <w:szCs w:val="44"/>
        </w:rPr>
        <w:t>地补偿安置方案</w:t>
      </w:r>
    </w:p>
    <w:p w14:paraId="5805F545">
      <w:pPr>
        <w:keepNext w:val="0"/>
        <w:keepLines w:val="0"/>
        <w:pageBreakBefore w:val="0"/>
        <w:widowControl/>
        <w:wordWrap/>
        <w:overflowPunct/>
        <w:topLinePunct w:val="0"/>
        <w:bidi w:val="0"/>
        <w:spacing w:line="560" w:lineRule="exact"/>
        <w:jc w:val="center"/>
        <w:rPr>
          <w:rFonts w:eastAsia="方正仿宋_GB2312"/>
          <w:b/>
          <w:sz w:val="32"/>
          <w:szCs w:val="32"/>
        </w:rPr>
      </w:pPr>
    </w:p>
    <w:p w14:paraId="66D122F1">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为实施韶关市武江区</w:t>
      </w:r>
      <w:r>
        <w:rPr>
          <w:rFonts w:hint="eastAsia" w:ascii="仿宋_GB2312" w:hAnsi="宋体" w:eastAsia="仿宋_GB2312" w:cs="宋体"/>
          <w:bCs/>
          <w:sz w:val="32"/>
          <w:szCs w:val="32"/>
        </w:rPr>
        <w:t>城镇</w:t>
      </w:r>
      <w:r>
        <w:rPr>
          <w:rFonts w:ascii="仿宋_GB2312" w:hAnsi="仿宋_GB2312" w:eastAsia="仿宋_GB2312" w:cs="仿宋_GB2312"/>
          <w:sz w:val="32"/>
          <w:szCs w:val="32"/>
        </w:rPr>
        <w:t>建设规划，</w:t>
      </w:r>
      <w:r>
        <w:rPr>
          <w:rFonts w:hint="eastAsia" w:ascii="仿宋_GB2312" w:hAnsi="仿宋_GB2312" w:eastAsia="仿宋_GB2312" w:cs="仿宋_GB2312"/>
          <w:sz w:val="32"/>
          <w:szCs w:val="32"/>
          <w:lang w:eastAsia="zh-CN"/>
        </w:rPr>
        <w:t>进一步</w:t>
      </w:r>
      <w:r>
        <w:rPr>
          <w:rFonts w:ascii="仿宋_GB2312" w:hAnsi="仿宋_GB2312" w:eastAsia="仿宋_GB2312" w:cs="仿宋_GB2312"/>
          <w:sz w:val="32"/>
          <w:szCs w:val="32"/>
        </w:rPr>
        <w:t>完善城市功能，改善城市环境，促进经济</w:t>
      </w:r>
      <w:r>
        <w:rPr>
          <w:rFonts w:hint="eastAsia" w:ascii="仿宋_GB2312" w:hAnsi="仿宋_GB2312" w:eastAsia="仿宋_GB2312" w:cs="仿宋_GB2312"/>
          <w:sz w:val="32"/>
          <w:szCs w:val="32"/>
          <w:lang w:eastAsia="zh-CN"/>
        </w:rPr>
        <w:t>社会</w:t>
      </w:r>
      <w:r>
        <w:rPr>
          <w:rFonts w:ascii="仿宋_GB2312" w:hAnsi="仿宋_GB2312" w:eastAsia="仿宋_GB2312" w:cs="仿宋_GB2312"/>
          <w:sz w:val="32"/>
          <w:szCs w:val="32"/>
        </w:rPr>
        <w:t>发展，我</w:t>
      </w:r>
      <w:r>
        <w:rPr>
          <w:rFonts w:hint="eastAsia" w:ascii="仿宋_GB2312" w:hAnsi="仿宋_GB2312" w:eastAsia="仿宋_GB2312" w:cs="仿宋_GB2312"/>
          <w:sz w:val="32"/>
          <w:szCs w:val="32"/>
          <w:lang w:eastAsia="zh-CN"/>
        </w:rPr>
        <w:t>区</w:t>
      </w:r>
      <w:r>
        <w:rPr>
          <w:rFonts w:ascii="仿宋_GB2312" w:hAnsi="仿宋_GB2312" w:eastAsia="仿宋_GB2312" w:cs="仿宋_GB2312"/>
          <w:sz w:val="32"/>
          <w:szCs w:val="32"/>
        </w:rPr>
        <w:t>拟征收韶关市武江区</w:t>
      </w:r>
      <w:r>
        <w:rPr>
          <w:rFonts w:hint="eastAsia" w:ascii="仿宋_GB2312" w:hAnsi="仿宋_GB2312" w:eastAsia="仿宋_GB2312" w:cs="仿宋_GB2312"/>
          <w:sz w:val="32"/>
          <w:szCs w:val="32"/>
          <w:lang w:eastAsia="zh-CN"/>
        </w:rPr>
        <w:t>西联镇甘棠股份</w:t>
      </w:r>
      <w:r>
        <w:rPr>
          <w:rFonts w:hint="eastAsia" w:ascii="仿宋_GB2312" w:hAnsi="仿宋_GB2312" w:eastAsia="仿宋_GB2312" w:cs="仿宋_GB2312"/>
          <w:sz w:val="32"/>
          <w:szCs w:val="32"/>
        </w:rPr>
        <w:t>经济联合社</w:t>
      </w:r>
      <w:r>
        <w:rPr>
          <w:rFonts w:hint="eastAsia" w:ascii="仿宋_GB2312" w:hAnsi="仿宋_GB2312" w:eastAsia="仿宋_GB2312" w:cs="仿宋_GB2312"/>
          <w:sz w:val="32"/>
          <w:szCs w:val="32"/>
          <w:lang w:eastAsia="zh-CN"/>
        </w:rPr>
        <w:t>和韶关市武江区龙归镇龙归经济联合社</w:t>
      </w:r>
      <w:r>
        <w:rPr>
          <w:rFonts w:ascii="仿宋_GB2312" w:hAnsi="仿宋_GB2312" w:eastAsia="仿宋_GB2312" w:cs="仿宋_GB2312"/>
          <w:sz w:val="32"/>
          <w:szCs w:val="32"/>
        </w:rPr>
        <w:t>属下的集体土地</w:t>
      </w:r>
      <w:r>
        <w:rPr>
          <w:rFonts w:hint="eastAsia" w:ascii="仿宋_GB2312" w:hAnsi="仿宋_GB2312" w:eastAsia="仿宋_GB2312" w:cs="仿宋_GB2312"/>
          <w:sz w:val="32"/>
          <w:szCs w:val="32"/>
          <w:lang w:val="en-US" w:eastAsia="zh-CN"/>
        </w:rPr>
        <w:t>12.8606</w:t>
      </w:r>
      <w:r>
        <w:rPr>
          <w:rFonts w:ascii="仿宋_GB2312" w:hAnsi="仿宋_GB2312" w:eastAsia="仿宋_GB2312" w:cs="仿宋_GB2312"/>
          <w:sz w:val="32"/>
          <w:szCs w:val="32"/>
        </w:rPr>
        <w:t>公顷。</w:t>
      </w:r>
      <w:r>
        <w:rPr>
          <w:rFonts w:hint="eastAsia" w:ascii="仿宋_GB2312" w:hAnsi="仿宋_GB2312" w:eastAsia="仿宋_GB2312" w:cs="仿宋_GB2312"/>
          <w:sz w:val="32"/>
          <w:szCs w:val="32"/>
          <w:lang w:eastAsia="zh-CN"/>
        </w:rPr>
        <w:t>根据</w:t>
      </w:r>
      <w:r>
        <w:rPr>
          <w:rFonts w:ascii="仿宋_GB2312" w:hAnsi="仿宋_GB2312" w:eastAsia="仿宋_GB2312" w:cs="仿宋_GB2312"/>
          <w:sz w:val="32"/>
          <w:szCs w:val="32"/>
        </w:rPr>
        <w:t>《中华人民共和国土地管理法》第二条、第四十五条、第四十七条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以及</w:t>
      </w:r>
      <w:r>
        <w:rPr>
          <w:rFonts w:hint="eastAsia" w:ascii="仿宋_GB2312" w:hAnsi="仿宋_GB2312" w:eastAsia="仿宋_GB2312" w:cs="仿宋_GB2312"/>
          <w:sz w:val="32"/>
          <w:szCs w:val="32"/>
        </w:rPr>
        <w:t>《广东省土地管理条例》等精神，结合我区实际情况，制定本征地补偿安置方案，具体如下：</w:t>
      </w:r>
    </w:p>
    <w:p w14:paraId="6044E460">
      <w:pPr>
        <w:keepNext w:val="0"/>
        <w:keepLines w:val="0"/>
        <w:pageBreakBefore w:val="0"/>
        <w:wordWrap/>
        <w:overflowPunct/>
        <w:topLinePunct w:val="0"/>
        <w:bidi w:val="0"/>
        <w:spacing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一、征收集体土地情况</w:t>
      </w:r>
    </w:p>
    <w:p w14:paraId="048B128C">
      <w:pPr>
        <w:keepNext w:val="0"/>
        <w:keepLines w:val="0"/>
        <w:pageBreakBefore w:val="0"/>
        <w:tabs>
          <w:tab w:val="left" w:pos="3990"/>
        </w:tabs>
        <w:wordWrap/>
        <w:overflowPunct/>
        <w:topLinePunct w:val="0"/>
        <w:bidi w:val="0"/>
        <w:spacing w:line="560" w:lineRule="exact"/>
        <w:ind w:firstLine="640" w:firstLineChars="200"/>
        <w:rPr>
          <w:rFonts w:ascii="仿宋_GB2312" w:hAnsi="宋体" w:eastAsia="仿宋_GB2312" w:cs="宋体"/>
          <w:bCs/>
          <w:sz w:val="32"/>
          <w:szCs w:val="32"/>
          <w:highlight w:val="none"/>
        </w:rPr>
      </w:pPr>
      <w:r>
        <w:rPr>
          <w:rFonts w:ascii="仿宋_GB2312" w:hAnsi="宋体" w:eastAsia="仿宋_GB2312" w:cs="宋体"/>
          <w:bCs/>
          <w:sz w:val="32"/>
          <w:szCs w:val="32"/>
          <w:highlight w:val="none"/>
          <w:lang w:val="zh-CN"/>
        </w:rPr>
        <w:t>（</w:t>
      </w:r>
      <w:r>
        <w:rPr>
          <w:rFonts w:ascii="仿宋_GB2312" w:hAnsi="宋体" w:eastAsia="仿宋_GB2312" w:cs="宋体"/>
          <w:bCs/>
          <w:sz w:val="32"/>
          <w:szCs w:val="32"/>
          <w:highlight w:val="none"/>
        </w:rPr>
        <w:t>一</w:t>
      </w:r>
      <w:r>
        <w:rPr>
          <w:rFonts w:ascii="仿宋_GB2312" w:hAnsi="宋体" w:eastAsia="仿宋_GB2312" w:cs="宋体"/>
          <w:bCs/>
          <w:sz w:val="32"/>
          <w:szCs w:val="32"/>
          <w:highlight w:val="none"/>
          <w:lang w:val="zh-CN"/>
        </w:rPr>
        <w:t>）</w:t>
      </w:r>
      <w:r>
        <w:rPr>
          <w:rFonts w:ascii="仿宋_GB2312" w:hAnsi="宋体" w:eastAsia="仿宋_GB2312" w:cs="宋体"/>
          <w:bCs/>
          <w:sz w:val="32"/>
          <w:szCs w:val="32"/>
          <w:highlight w:val="none"/>
        </w:rPr>
        <w:t>拟征收</w:t>
      </w:r>
      <w:r>
        <w:rPr>
          <w:rFonts w:ascii="仿宋_GB2312" w:hAnsi="仿宋_GB2312" w:eastAsia="仿宋_GB2312" w:cs="仿宋_GB2312"/>
          <w:sz w:val="32"/>
          <w:szCs w:val="32"/>
          <w:highlight w:val="none"/>
        </w:rPr>
        <w:t>韶关市武江区</w:t>
      </w:r>
      <w:r>
        <w:rPr>
          <w:rFonts w:hint="eastAsia" w:ascii="仿宋_GB2312" w:hAnsi="仿宋_GB2312" w:eastAsia="仿宋_GB2312" w:cs="仿宋_GB2312"/>
          <w:sz w:val="32"/>
          <w:szCs w:val="32"/>
          <w:highlight w:val="none"/>
          <w:lang w:eastAsia="zh-CN"/>
        </w:rPr>
        <w:t>西联镇甘棠股份</w:t>
      </w:r>
      <w:r>
        <w:rPr>
          <w:rFonts w:hint="eastAsia" w:ascii="仿宋_GB2312" w:hAnsi="仿宋_GB2312" w:eastAsia="仿宋_GB2312" w:cs="仿宋_GB2312"/>
          <w:sz w:val="32"/>
          <w:szCs w:val="32"/>
          <w:highlight w:val="none"/>
        </w:rPr>
        <w:t>经济联合社</w:t>
      </w:r>
      <w:r>
        <w:rPr>
          <w:rFonts w:hint="eastAsia" w:ascii="仿宋_GB2312" w:hAnsi="仿宋_GB2312" w:eastAsia="仿宋_GB2312" w:cs="仿宋_GB2312"/>
          <w:sz w:val="32"/>
          <w:szCs w:val="32"/>
          <w:highlight w:val="none"/>
          <w:lang w:eastAsia="zh-CN"/>
        </w:rPr>
        <w:t>和韶关市武江区龙归镇龙归经济联合社</w:t>
      </w:r>
      <w:r>
        <w:rPr>
          <w:rFonts w:ascii="仿宋_GB2312" w:hAnsi="仿宋_GB2312" w:eastAsia="仿宋_GB2312" w:cs="仿宋_GB2312"/>
          <w:sz w:val="32"/>
          <w:szCs w:val="32"/>
          <w:highlight w:val="none"/>
        </w:rPr>
        <w:t>属下的集体土地</w:t>
      </w:r>
      <w:r>
        <w:rPr>
          <w:rFonts w:ascii="仿宋_GB2312" w:hAnsi="宋体" w:eastAsia="仿宋_GB2312" w:cs="宋体"/>
          <w:bCs/>
          <w:sz w:val="32"/>
          <w:szCs w:val="32"/>
          <w:highlight w:val="none"/>
        </w:rPr>
        <w:t>总面积</w:t>
      </w:r>
      <w:r>
        <w:rPr>
          <w:rFonts w:hint="eastAsia" w:ascii="仿宋_GB2312" w:hAnsi="仿宋_GB2312" w:eastAsia="仿宋_GB2312" w:cs="仿宋_GB2312"/>
          <w:sz w:val="32"/>
          <w:szCs w:val="32"/>
          <w:highlight w:val="none"/>
          <w:lang w:val="en-US" w:eastAsia="zh-CN"/>
        </w:rPr>
        <w:t>12.8606</w:t>
      </w:r>
      <w:r>
        <w:rPr>
          <w:rFonts w:ascii="仿宋_GB2312" w:hAnsi="宋体" w:eastAsia="仿宋_GB2312" w:cs="宋体"/>
          <w:bCs/>
          <w:sz w:val="32"/>
          <w:szCs w:val="32"/>
          <w:highlight w:val="none"/>
        </w:rPr>
        <w:t>公顷，现状地类为</w:t>
      </w:r>
      <w:r>
        <w:rPr>
          <w:rFonts w:hint="eastAsia" w:ascii="仿宋_GB2312" w:hAnsi="宋体" w:eastAsia="仿宋_GB2312" w:cs="宋体"/>
          <w:bCs/>
          <w:sz w:val="32"/>
          <w:szCs w:val="32"/>
          <w:highlight w:val="none"/>
        </w:rPr>
        <w:t>农用地</w:t>
      </w:r>
      <w:r>
        <w:rPr>
          <w:rFonts w:hint="eastAsia" w:ascii="仿宋_GB2312" w:hAnsi="宋体" w:eastAsia="仿宋_GB2312" w:cs="宋体"/>
          <w:bCs/>
          <w:sz w:val="32"/>
          <w:szCs w:val="32"/>
          <w:highlight w:val="none"/>
          <w:lang w:val="en-US" w:eastAsia="zh-CN"/>
        </w:rPr>
        <w:t>12.4979</w:t>
      </w:r>
      <w:r>
        <w:rPr>
          <w:rFonts w:hint="eastAsia" w:ascii="仿宋_GB2312" w:hAnsi="宋体" w:eastAsia="仿宋_GB2312" w:cs="宋体"/>
          <w:bCs/>
          <w:sz w:val="32"/>
          <w:szCs w:val="32"/>
          <w:highlight w:val="none"/>
        </w:rPr>
        <w:t>公顷</w:t>
      </w:r>
      <w:r>
        <w:rPr>
          <w:rFonts w:hint="eastAsia" w:ascii="仿宋_GB2312" w:hAnsi="宋体" w:cs="宋体"/>
          <w:bCs/>
          <w:snapToGrid/>
          <w:color w:val="auto"/>
          <w:kern w:val="2"/>
          <w:sz w:val="32"/>
          <w:szCs w:val="32"/>
          <w:highlight w:val="none"/>
          <w:lang w:val="en-US" w:eastAsia="zh-CN" w:bidi="ar-SA"/>
        </w:rPr>
        <w:t>[</w:t>
      </w:r>
      <w:r>
        <w:rPr>
          <w:rFonts w:hint="eastAsia" w:ascii="仿宋_GB2312" w:hAnsi="宋体" w:eastAsia="仿宋_GB2312" w:cs="宋体"/>
          <w:bCs/>
          <w:sz w:val="32"/>
          <w:szCs w:val="32"/>
          <w:highlight w:val="none"/>
        </w:rPr>
        <w:t>其中耕地1.87</w:t>
      </w:r>
      <w:r>
        <w:rPr>
          <w:rFonts w:hint="eastAsia" w:ascii="仿宋_GB2312" w:hAnsi="宋体" w:eastAsia="仿宋_GB2312" w:cs="宋体"/>
          <w:bCs/>
          <w:sz w:val="32"/>
          <w:szCs w:val="32"/>
          <w:highlight w:val="none"/>
          <w:lang w:val="en-US" w:eastAsia="zh-CN"/>
        </w:rPr>
        <w:t>72</w:t>
      </w:r>
      <w:r>
        <w:rPr>
          <w:rFonts w:hint="eastAsia" w:ascii="仿宋_GB2312" w:hAnsi="宋体" w:eastAsia="仿宋_GB2312" w:cs="宋体"/>
          <w:bCs/>
          <w:sz w:val="32"/>
          <w:szCs w:val="32"/>
          <w:highlight w:val="none"/>
        </w:rPr>
        <w:t>公顷、林地</w:t>
      </w:r>
      <w:r>
        <w:rPr>
          <w:rFonts w:hint="eastAsia" w:ascii="仿宋_GB2312" w:hAnsi="宋体" w:eastAsia="仿宋_GB2312" w:cs="宋体"/>
          <w:bCs/>
          <w:sz w:val="32"/>
          <w:szCs w:val="32"/>
          <w:highlight w:val="none"/>
          <w:lang w:val="en-US" w:eastAsia="zh-CN"/>
        </w:rPr>
        <w:t>10.2537</w:t>
      </w:r>
      <w:r>
        <w:rPr>
          <w:rFonts w:hint="eastAsia" w:ascii="仿宋_GB2312" w:hAnsi="宋体" w:eastAsia="仿宋_GB2312" w:cs="宋体"/>
          <w:bCs/>
          <w:sz w:val="32"/>
          <w:szCs w:val="32"/>
          <w:highlight w:val="none"/>
        </w:rPr>
        <w:t>公顷、草地0.</w:t>
      </w:r>
      <w:r>
        <w:rPr>
          <w:rFonts w:hint="eastAsia" w:ascii="仿宋_GB2312" w:hAnsi="宋体" w:eastAsia="仿宋_GB2312" w:cs="宋体"/>
          <w:bCs/>
          <w:sz w:val="32"/>
          <w:szCs w:val="32"/>
          <w:highlight w:val="none"/>
          <w:lang w:val="en-US" w:eastAsia="zh-CN"/>
        </w:rPr>
        <w:t>3450</w:t>
      </w:r>
      <w:r>
        <w:rPr>
          <w:rFonts w:hint="eastAsia" w:ascii="仿宋_GB2312" w:hAnsi="宋体" w:eastAsia="仿宋_GB2312" w:cs="宋体"/>
          <w:bCs/>
          <w:sz w:val="32"/>
          <w:szCs w:val="32"/>
          <w:highlight w:val="none"/>
        </w:rPr>
        <w:t>公顷、</w:t>
      </w:r>
      <w:r>
        <w:rPr>
          <w:rFonts w:hint="eastAsia" w:ascii="仿宋_GB2312" w:hAnsi="宋体" w:eastAsia="仿宋_GB2312" w:cs="宋体"/>
          <w:bCs/>
          <w:sz w:val="32"/>
          <w:szCs w:val="32"/>
          <w:highlight w:val="none"/>
          <w:lang w:eastAsia="zh-CN"/>
        </w:rPr>
        <w:t>养殖水面</w:t>
      </w:r>
      <w:r>
        <w:rPr>
          <w:rFonts w:hint="eastAsia" w:ascii="仿宋_GB2312" w:hAnsi="宋体" w:eastAsia="仿宋_GB2312" w:cs="宋体"/>
          <w:bCs/>
          <w:sz w:val="32"/>
          <w:szCs w:val="32"/>
          <w:highlight w:val="none"/>
          <w:lang w:val="en-US" w:eastAsia="zh-CN"/>
        </w:rPr>
        <w:t>0.0081公顷、</w:t>
      </w:r>
      <w:r>
        <w:rPr>
          <w:rFonts w:hint="eastAsia" w:ascii="仿宋_GB2312" w:hAnsi="宋体" w:eastAsia="仿宋_GB2312" w:cs="宋体"/>
          <w:bCs/>
          <w:sz w:val="32"/>
          <w:szCs w:val="32"/>
          <w:highlight w:val="none"/>
        </w:rPr>
        <w:t>其他农用地</w:t>
      </w:r>
      <w:r>
        <w:rPr>
          <w:rFonts w:hint="eastAsia" w:ascii="仿宋_GB2312" w:hAnsi="仿宋_GB2312" w:eastAsia="仿宋_GB2312" w:cs="仿宋_GB2312"/>
          <w:sz w:val="32"/>
          <w:szCs w:val="32"/>
          <w:highlight w:val="none"/>
          <w:lang w:val="en-US" w:eastAsia="zh-CN"/>
        </w:rPr>
        <w:t>（不含养殖水面）</w:t>
      </w:r>
      <w:r>
        <w:rPr>
          <w:rFonts w:hint="eastAsia" w:ascii="仿宋_GB2312" w:hAnsi="宋体" w:eastAsia="仿宋_GB2312" w:cs="宋体"/>
          <w:bCs/>
          <w:sz w:val="32"/>
          <w:szCs w:val="32"/>
          <w:highlight w:val="none"/>
        </w:rPr>
        <w:t>0.0</w:t>
      </w:r>
      <w:r>
        <w:rPr>
          <w:rFonts w:hint="eastAsia" w:ascii="仿宋_GB2312" w:hAnsi="宋体" w:eastAsia="仿宋_GB2312" w:cs="宋体"/>
          <w:bCs/>
          <w:sz w:val="32"/>
          <w:szCs w:val="32"/>
          <w:highlight w:val="none"/>
          <w:lang w:val="en-US" w:eastAsia="zh-CN"/>
        </w:rPr>
        <w:t>139</w:t>
      </w:r>
      <w:r>
        <w:rPr>
          <w:rFonts w:hint="eastAsia" w:ascii="仿宋_GB2312" w:hAnsi="宋体" w:eastAsia="仿宋_GB2312" w:cs="宋体"/>
          <w:bCs/>
          <w:sz w:val="32"/>
          <w:szCs w:val="32"/>
          <w:highlight w:val="none"/>
        </w:rPr>
        <w:t>公顷</w:t>
      </w:r>
      <w:r>
        <w:rPr>
          <w:rFonts w:hint="eastAsia" w:ascii="仿宋_GB2312" w:hAnsi="宋体" w:cs="宋体"/>
          <w:bCs/>
          <w:snapToGrid/>
          <w:color w:val="auto"/>
          <w:kern w:val="2"/>
          <w:sz w:val="32"/>
          <w:szCs w:val="32"/>
          <w:highlight w:val="none"/>
          <w:lang w:val="en-US" w:eastAsia="zh-CN" w:bidi="ar-SA"/>
        </w:rPr>
        <w:t>]</w:t>
      </w:r>
      <w:r>
        <w:rPr>
          <w:rFonts w:hint="eastAsia" w:ascii="仿宋_GB2312" w:hAnsi="宋体" w:eastAsia="仿宋_GB2312" w:cs="宋体"/>
          <w:bCs/>
          <w:sz w:val="32"/>
          <w:szCs w:val="32"/>
          <w:highlight w:val="none"/>
          <w:lang w:eastAsia="zh-CN"/>
        </w:rPr>
        <w:t>，</w:t>
      </w:r>
      <w:r>
        <w:rPr>
          <w:rFonts w:hint="eastAsia" w:ascii="仿宋_GB2312" w:hAnsi="宋体" w:eastAsia="仿宋_GB2312" w:cs="宋体"/>
          <w:bCs/>
          <w:sz w:val="32"/>
          <w:szCs w:val="32"/>
          <w:highlight w:val="none"/>
        </w:rPr>
        <w:t>建设用地0.3</w:t>
      </w:r>
      <w:r>
        <w:rPr>
          <w:rFonts w:hint="eastAsia" w:ascii="仿宋_GB2312" w:hAnsi="宋体" w:eastAsia="仿宋_GB2312" w:cs="宋体"/>
          <w:bCs/>
          <w:sz w:val="32"/>
          <w:szCs w:val="32"/>
          <w:highlight w:val="none"/>
          <w:lang w:val="en-US" w:eastAsia="zh-CN"/>
        </w:rPr>
        <w:t>627</w:t>
      </w:r>
      <w:r>
        <w:rPr>
          <w:rFonts w:hint="eastAsia" w:ascii="仿宋_GB2312" w:hAnsi="宋体" w:eastAsia="仿宋_GB2312" w:cs="宋体"/>
          <w:bCs/>
          <w:sz w:val="32"/>
          <w:szCs w:val="32"/>
          <w:highlight w:val="none"/>
        </w:rPr>
        <w:t>公顷</w:t>
      </w:r>
      <w:r>
        <w:rPr>
          <w:rFonts w:hint="eastAsia" w:ascii="仿宋_GB2312" w:hAnsi="宋体" w:eastAsia="仿宋_GB2312" w:cs="宋体"/>
          <w:bCs/>
          <w:sz w:val="32"/>
          <w:szCs w:val="32"/>
          <w:highlight w:val="none"/>
          <w:lang w:eastAsia="zh-CN"/>
        </w:rPr>
        <w:t>，不占用永久基本农田</w:t>
      </w:r>
      <w:r>
        <w:rPr>
          <w:rFonts w:ascii="仿宋_GB2312" w:hAnsi="宋体" w:eastAsia="仿宋_GB2312" w:cs="宋体"/>
          <w:bCs/>
          <w:sz w:val="32"/>
          <w:szCs w:val="32"/>
          <w:highlight w:val="none"/>
        </w:rPr>
        <w:t>。</w:t>
      </w:r>
    </w:p>
    <w:p w14:paraId="0B3EAAC8">
      <w:pPr>
        <w:keepNext w:val="0"/>
        <w:keepLines w:val="0"/>
        <w:pageBreakBefore w:val="0"/>
        <w:wordWrap/>
        <w:overflowPunct/>
        <w:topLinePunct w:val="0"/>
        <w:bidi w:val="0"/>
        <w:spacing w:line="560" w:lineRule="exact"/>
        <w:ind w:firstLine="640" w:firstLineChars="200"/>
        <w:rPr>
          <w:rFonts w:ascii="仿宋_GB2312" w:hAnsi="宋体" w:eastAsia="仿宋_GB2312" w:cs="宋体"/>
          <w:bCs/>
          <w:sz w:val="32"/>
          <w:szCs w:val="32"/>
        </w:rPr>
      </w:pPr>
      <w:r>
        <w:rPr>
          <w:rFonts w:ascii="仿宋_GB2312" w:hAnsi="宋体" w:eastAsia="仿宋_GB2312" w:cs="宋体"/>
          <w:bCs/>
          <w:sz w:val="32"/>
          <w:szCs w:val="32"/>
          <w:highlight w:val="none"/>
          <w:lang w:val="zh-CN"/>
        </w:rPr>
        <w:t>（</w:t>
      </w:r>
      <w:r>
        <w:rPr>
          <w:rFonts w:ascii="仿宋_GB2312" w:hAnsi="宋体" w:eastAsia="仿宋_GB2312" w:cs="宋体"/>
          <w:bCs/>
          <w:sz w:val="32"/>
          <w:szCs w:val="32"/>
          <w:highlight w:val="none"/>
        </w:rPr>
        <w:t>二</w:t>
      </w:r>
      <w:r>
        <w:rPr>
          <w:rFonts w:ascii="仿宋_GB2312" w:hAnsi="宋体" w:eastAsia="仿宋_GB2312" w:cs="宋体"/>
          <w:bCs/>
          <w:sz w:val="32"/>
          <w:szCs w:val="32"/>
          <w:highlight w:val="none"/>
          <w:lang w:val="zh-CN"/>
        </w:rPr>
        <w:t>）</w:t>
      </w:r>
      <w:r>
        <w:rPr>
          <w:rFonts w:ascii="仿宋_GB2312" w:hAnsi="宋体" w:eastAsia="仿宋_GB2312" w:cs="宋体"/>
          <w:bCs/>
          <w:sz w:val="32"/>
          <w:szCs w:val="32"/>
          <w:highlight w:val="none"/>
        </w:rPr>
        <w:t>根据用地报批要求，上述</w:t>
      </w:r>
      <w:r>
        <w:rPr>
          <w:rFonts w:hint="eastAsia" w:ascii="仿宋_GB2312" w:hAnsi="仿宋_GB2312" w:eastAsia="仿宋_GB2312" w:cs="仿宋_GB2312"/>
          <w:sz w:val="32"/>
          <w:szCs w:val="32"/>
          <w:highlight w:val="none"/>
          <w:lang w:val="en-US" w:eastAsia="zh-CN"/>
        </w:rPr>
        <w:t>12.8606</w:t>
      </w:r>
      <w:r>
        <w:rPr>
          <w:rFonts w:ascii="仿宋_GB2312" w:hAnsi="宋体" w:eastAsia="仿宋_GB2312" w:cs="宋体"/>
          <w:bCs/>
          <w:sz w:val="32"/>
          <w:szCs w:val="32"/>
          <w:highlight w:val="none"/>
        </w:rPr>
        <w:t>公顷的</w:t>
      </w:r>
      <w:r>
        <w:rPr>
          <w:rFonts w:hint="eastAsia" w:ascii="仿宋_GB2312" w:hAnsi="宋体" w:eastAsia="仿宋_GB2312" w:cs="宋体"/>
          <w:bCs/>
          <w:sz w:val="32"/>
          <w:szCs w:val="32"/>
          <w:highlight w:val="none"/>
        </w:rPr>
        <w:t>报批</w:t>
      </w:r>
      <w:r>
        <w:rPr>
          <w:rFonts w:ascii="仿宋_GB2312" w:hAnsi="宋体" w:eastAsia="仿宋_GB2312" w:cs="宋体"/>
          <w:bCs/>
          <w:sz w:val="32"/>
          <w:szCs w:val="32"/>
          <w:highlight w:val="none"/>
        </w:rPr>
        <w:t>地类为农用地</w:t>
      </w:r>
      <w:r>
        <w:rPr>
          <w:rFonts w:hint="eastAsia" w:ascii="仿宋_GB2312" w:hAnsi="仿宋_GB2312" w:eastAsia="仿宋_GB2312" w:cs="仿宋_GB2312"/>
          <w:sz w:val="32"/>
          <w:szCs w:val="32"/>
          <w:highlight w:val="none"/>
          <w:lang w:val="en-US" w:eastAsia="zh-CN"/>
        </w:rPr>
        <w:t>12.8606公顷</w:t>
      </w:r>
      <w:r>
        <w:rPr>
          <w:rFonts w:hint="eastAsia" w:ascii="仿宋_GB2312" w:hAnsi="宋体" w:cs="宋体"/>
          <w:bCs/>
          <w:snapToGrid/>
          <w:color w:val="auto"/>
          <w:kern w:val="2"/>
          <w:sz w:val="32"/>
          <w:szCs w:val="32"/>
          <w:highlight w:val="none"/>
          <w:lang w:val="en-US" w:eastAsia="zh-CN" w:bidi="ar-SA"/>
        </w:rPr>
        <w:t>[</w:t>
      </w:r>
      <w:r>
        <w:rPr>
          <w:rFonts w:hint="eastAsia" w:ascii="仿宋_GB2312" w:hAnsi="仿宋_GB2312" w:eastAsia="仿宋_GB2312" w:cs="仿宋_GB2312"/>
          <w:sz w:val="32"/>
          <w:szCs w:val="32"/>
          <w:highlight w:val="none"/>
          <w:lang w:val="en-US" w:eastAsia="zh-CN"/>
        </w:rPr>
        <w:t>其中耕地2.0647公顷、林地10.2830公顷、园地0.0999、草地0.3450公顷、养殖水面0.0391公顷、其他农用地（不含养殖水面）0.0289公顷</w:t>
      </w:r>
      <w:r>
        <w:rPr>
          <w:rFonts w:hint="eastAsia" w:ascii="仿宋_GB2312" w:hAnsi="宋体" w:cs="宋体"/>
          <w:bCs/>
          <w:snapToGrid/>
          <w:color w:val="auto"/>
          <w:kern w:val="2"/>
          <w:sz w:val="32"/>
          <w:szCs w:val="32"/>
          <w:highlight w:val="none"/>
          <w:lang w:val="en-US" w:eastAsia="zh-CN" w:bidi="ar-SA"/>
        </w:rPr>
        <w:t>]</w:t>
      </w:r>
      <w:r>
        <w:rPr>
          <w:rFonts w:hint="eastAsia" w:ascii="仿宋_GB2312" w:hAnsi="仿宋_GB2312" w:eastAsia="仿宋_GB2312" w:cs="仿宋_GB2312"/>
          <w:sz w:val="32"/>
          <w:szCs w:val="32"/>
          <w:highlight w:val="none"/>
          <w:lang w:val="en-US" w:eastAsia="zh-CN"/>
        </w:rPr>
        <w:t>。</w:t>
      </w:r>
      <w:r>
        <w:rPr>
          <w:rFonts w:ascii="仿宋_GB2312" w:hAnsi="宋体" w:eastAsia="仿宋_GB2312" w:cs="宋体"/>
          <w:bCs/>
          <w:sz w:val="32"/>
          <w:szCs w:val="32"/>
          <w:highlight w:val="none"/>
        </w:rPr>
        <w:t>征地</w:t>
      </w:r>
      <w:r>
        <w:rPr>
          <w:rFonts w:ascii="仿宋_GB2312" w:hAnsi="宋体" w:eastAsia="仿宋_GB2312" w:cs="宋体"/>
          <w:bCs/>
          <w:sz w:val="32"/>
          <w:szCs w:val="32"/>
        </w:rPr>
        <w:t>补偿费用根据报批地类确定。</w:t>
      </w:r>
    </w:p>
    <w:p w14:paraId="622FF049">
      <w:pPr>
        <w:keepNext w:val="0"/>
        <w:keepLines w:val="0"/>
        <w:pageBreakBefore w:val="0"/>
        <w:wordWrap/>
        <w:overflowPunct/>
        <w:topLinePunct w:val="0"/>
        <w:bidi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二、征地补偿标准及费用</w:t>
      </w:r>
    </w:p>
    <w:p w14:paraId="35526925">
      <w:pPr>
        <w:keepNext w:val="0"/>
        <w:keepLines w:val="0"/>
        <w:pageBreakBefore w:val="0"/>
        <w:overflowPunct/>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土地补偿</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安置补助标准及费用</w:t>
      </w:r>
      <w:r>
        <w:rPr>
          <w:rFonts w:hint="eastAsia" w:ascii="仿宋_GB2312" w:hAnsi="仿宋_GB2312" w:eastAsia="仿宋_GB2312" w:cs="仿宋_GB2312"/>
          <w:sz w:val="32"/>
          <w:szCs w:val="32"/>
          <w:lang w:val="en-US" w:eastAsia="zh-CN"/>
        </w:rPr>
        <w:t>明细：</w:t>
      </w:r>
    </w:p>
    <w:tbl>
      <w:tblPr>
        <w:tblStyle w:val="6"/>
        <w:tblW w:w="8806" w:type="dxa"/>
        <w:tblInd w:w="0" w:type="dxa"/>
        <w:tblLayout w:type="fixed"/>
        <w:tblCellMar>
          <w:top w:w="0" w:type="dxa"/>
          <w:left w:w="0" w:type="dxa"/>
          <w:bottom w:w="0" w:type="dxa"/>
          <w:right w:w="0" w:type="dxa"/>
        </w:tblCellMar>
      </w:tblPr>
      <w:tblGrid>
        <w:gridCol w:w="611"/>
        <w:gridCol w:w="1182"/>
        <w:gridCol w:w="914"/>
        <w:gridCol w:w="976"/>
        <w:gridCol w:w="1420"/>
        <w:gridCol w:w="1012"/>
        <w:gridCol w:w="1341"/>
        <w:gridCol w:w="1350"/>
      </w:tblGrid>
      <w:tr w14:paraId="7265B2CC">
        <w:tblPrEx>
          <w:tblCellMar>
            <w:top w:w="0" w:type="dxa"/>
            <w:left w:w="0" w:type="dxa"/>
            <w:bottom w:w="0" w:type="dxa"/>
            <w:right w:w="0" w:type="dxa"/>
          </w:tblCellMar>
        </w:tblPrEx>
        <w:trPr>
          <w:trHeight w:val="272" w:hRule="atLeast"/>
        </w:trPr>
        <w:tc>
          <w:tcPr>
            <w:tcW w:w="8806" w:type="dxa"/>
            <w:gridSpan w:val="8"/>
            <w:tcBorders>
              <w:top w:val="nil"/>
              <w:left w:val="nil"/>
              <w:bottom w:val="nil"/>
              <w:right w:val="nil"/>
            </w:tcBorders>
            <w:tcMar>
              <w:top w:w="15" w:type="dxa"/>
              <w:left w:w="15" w:type="dxa"/>
              <w:right w:w="15" w:type="dxa"/>
            </w:tcMar>
            <w:vAlign w:val="center"/>
          </w:tcPr>
          <w:p w14:paraId="1B43C478">
            <w:pPr>
              <w:keepNext w:val="0"/>
              <w:keepLines w:val="0"/>
              <w:pageBreakBefore w:val="0"/>
              <w:widowControl/>
              <w:overflowPunct/>
              <w:bidi w:val="0"/>
              <w:spacing w:line="240" w:lineRule="auto"/>
              <w:jc w:val="right"/>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单位：公顷、万元/公顷、万元</w:t>
            </w:r>
          </w:p>
        </w:tc>
      </w:tr>
      <w:tr w14:paraId="3BF0B92D">
        <w:tblPrEx>
          <w:tblCellMar>
            <w:top w:w="0" w:type="dxa"/>
            <w:left w:w="0" w:type="dxa"/>
            <w:bottom w:w="0" w:type="dxa"/>
            <w:right w:w="0" w:type="dxa"/>
          </w:tblCellMar>
        </w:tblPrEx>
        <w:trPr>
          <w:trHeight w:val="270" w:hRule="atLeast"/>
        </w:trPr>
        <w:tc>
          <w:tcPr>
            <w:tcW w:w="6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1DA9E">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单位</w:t>
            </w:r>
          </w:p>
        </w:tc>
        <w:tc>
          <w:tcPr>
            <w:tcW w:w="11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232A2">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土地类别</w:t>
            </w:r>
          </w:p>
        </w:tc>
        <w:tc>
          <w:tcPr>
            <w:tcW w:w="91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355D3">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面积</w:t>
            </w:r>
          </w:p>
        </w:tc>
        <w:tc>
          <w:tcPr>
            <w:tcW w:w="23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3499D">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土地补偿费</w:t>
            </w:r>
          </w:p>
        </w:tc>
        <w:tc>
          <w:tcPr>
            <w:tcW w:w="235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BDB01">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安置补助费</w:t>
            </w:r>
          </w:p>
        </w:tc>
        <w:tc>
          <w:tcPr>
            <w:tcW w:w="13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D25A17">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小计</w:t>
            </w:r>
          </w:p>
        </w:tc>
      </w:tr>
      <w:tr w14:paraId="60D9F0DC">
        <w:tblPrEx>
          <w:tblCellMar>
            <w:top w:w="0" w:type="dxa"/>
            <w:left w:w="0" w:type="dxa"/>
            <w:bottom w:w="0" w:type="dxa"/>
            <w:right w:w="0" w:type="dxa"/>
          </w:tblCellMar>
        </w:tblPrEx>
        <w:trPr>
          <w:trHeight w:val="400" w:hRule="atLeast"/>
        </w:trPr>
        <w:tc>
          <w:tcPr>
            <w:tcW w:w="6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2E4C5">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11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2A1C9">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91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87DA3">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62319">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补偿标准</w:t>
            </w:r>
          </w:p>
        </w:tc>
        <w:tc>
          <w:tcPr>
            <w:tcW w:w="14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2A7B8">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补偿金额</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C0086C">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补偿标准</w:t>
            </w:r>
          </w:p>
        </w:tc>
        <w:tc>
          <w:tcPr>
            <w:tcW w:w="13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3F6D2D">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补偿金额</w:t>
            </w:r>
          </w:p>
        </w:tc>
        <w:tc>
          <w:tcPr>
            <w:tcW w:w="13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E012F">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r>
      <w:tr w14:paraId="1573913D">
        <w:tblPrEx>
          <w:tblCellMar>
            <w:top w:w="0" w:type="dxa"/>
            <w:left w:w="0" w:type="dxa"/>
            <w:bottom w:w="0" w:type="dxa"/>
            <w:right w:w="0" w:type="dxa"/>
          </w:tblCellMar>
        </w:tblPrEx>
        <w:trPr>
          <w:trHeight w:val="400" w:hRule="atLeast"/>
        </w:trPr>
        <w:tc>
          <w:tcPr>
            <w:tcW w:w="61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1C23699">
            <w:pPr>
              <w:keepNext w:val="0"/>
              <w:keepLines w:val="0"/>
              <w:pageBreakBefore w:val="0"/>
              <w:overflowPunct/>
              <w:bidi w:val="0"/>
              <w:spacing w:line="240" w:lineRule="auto"/>
              <w:jc w:val="center"/>
              <w:rPr>
                <w:rFonts w:hint="eastAsia" w:ascii="仿宋_GB2312" w:hAnsi="仿宋_GB2312" w:eastAsia="仿宋_GB2312" w:cs="仿宋_GB2312"/>
                <w:color w:val="000000"/>
                <w:szCs w:val="21"/>
                <w:highlight w:val="none"/>
                <w:lang w:eastAsia="zh-CN"/>
              </w:rPr>
            </w:pPr>
            <w:r>
              <w:rPr>
                <w:rFonts w:hint="eastAsia" w:ascii="仿宋_GB2312" w:hAnsi="仿宋_GB2312" w:eastAsia="仿宋_GB2312" w:cs="仿宋_GB2312"/>
                <w:color w:val="000000"/>
                <w:kern w:val="0"/>
                <w:szCs w:val="21"/>
                <w:highlight w:val="none"/>
                <w:lang w:bidi="ar"/>
              </w:rPr>
              <w:t>韶关市武江区</w:t>
            </w:r>
            <w:r>
              <w:rPr>
                <w:rFonts w:hint="eastAsia" w:ascii="仿宋_GB2312" w:hAnsi="仿宋_GB2312" w:eastAsia="仿宋_GB2312" w:cs="仿宋_GB2312"/>
                <w:color w:val="000000"/>
                <w:kern w:val="0"/>
                <w:szCs w:val="21"/>
                <w:highlight w:val="none"/>
                <w:lang w:eastAsia="zh-CN" w:bidi="ar"/>
              </w:rPr>
              <w:t>西联镇甘棠股份</w:t>
            </w:r>
            <w:r>
              <w:rPr>
                <w:rFonts w:hint="eastAsia" w:ascii="仿宋_GB2312" w:hAnsi="仿宋_GB2312" w:eastAsia="仿宋_GB2312" w:cs="仿宋_GB2312"/>
                <w:color w:val="000000"/>
                <w:kern w:val="0"/>
                <w:szCs w:val="21"/>
                <w:highlight w:val="none"/>
                <w:lang w:bidi="ar"/>
              </w:rPr>
              <w:t>经济联合社</w:t>
            </w:r>
            <w:r>
              <w:rPr>
                <w:rFonts w:hint="eastAsia" w:ascii="仿宋_GB2312" w:hAnsi="仿宋_GB2312" w:eastAsia="仿宋_GB2312" w:cs="仿宋_GB2312"/>
                <w:color w:val="000000"/>
                <w:kern w:val="0"/>
                <w:szCs w:val="21"/>
                <w:highlight w:val="none"/>
                <w:lang w:eastAsia="zh-CN" w:bidi="ar"/>
              </w:rPr>
              <w:t>、韶关市武江区龙归镇龙归经济联合社</w:t>
            </w:r>
          </w:p>
        </w:tc>
        <w:tc>
          <w:tcPr>
            <w:tcW w:w="1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4A6761">
            <w:pPr>
              <w:widowControl/>
              <w:spacing w:line="240" w:lineRule="auto"/>
              <w:jc w:val="center"/>
              <w:textAlignment w:val="center"/>
              <w:rPr>
                <w:rFonts w:hint="eastAsia" w:ascii="仿宋_GB2312" w:hAnsi="仿宋_GB2312" w:eastAsia="仿宋_GB2312" w:cs="仿宋_GB2312"/>
                <w:color w:val="000000"/>
                <w:kern w:val="0"/>
                <w:szCs w:val="21"/>
                <w:highlight w:val="none"/>
                <w:lang w:eastAsia="zh-CN" w:bidi="ar"/>
              </w:rPr>
            </w:pPr>
            <w:r>
              <w:rPr>
                <w:rFonts w:hint="eastAsia" w:ascii="仿宋_GB2312" w:hAnsi="仿宋_GB2312" w:eastAsia="仿宋_GB2312" w:cs="仿宋_GB2312"/>
                <w:color w:val="000000"/>
                <w:kern w:val="0"/>
                <w:szCs w:val="21"/>
                <w:highlight w:val="none"/>
                <w:lang w:eastAsia="zh-CN" w:bidi="ar"/>
              </w:rPr>
              <w:t>耕地</w:t>
            </w:r>
          </w:p>
        </w:tc>
        <w:tc>
          <w:tcPr>
            <w:tcW w:w="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318DA">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2.0647</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CC71F">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48.4500</w:t>
            </w:r>
          </w:p>
        </w:tc>
        <w:tc>
          <w:tcPr>
            <w:tcW w:w="14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FB350">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100.0347</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18754">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48.6000</w:t>
            </w:r>
          </w:p>
        </w:tc>
        <w:tc>
          <w:tcPr>
            <w:tcW w:w="13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FE5C9">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100.3444</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6C4B7">
            <w:pPr>
              <w:widowControl/>
              <w:spacing w:line="240" w:lineRule="auto"/>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szCs w:val="21"/>
                <w:highlight w:val="none"/>
                <w:lang w:val="en-US" w:eastAsia="zh-CN"/>
              </w:rPr>
              <w:t>200.3791</w:t>
            </w:r>
          </w:p>
        </w:tc>
      </w:tr>
      <w:tr w14:paraId="052BB588">
        <w:tblPrEx>
          <w:tblCellMar>
            <w:top w:w="0" w:type="dxa"/>
            <w:left w:w="0" w:type="dxa"/>
            <w:bottom w:w="0" w:type="dxa"/>
            <w:right w:w="0" w:type="dxa"/>
          </w:tblCellMar>
        </w:tblPrEx>
        <w:trPr>
          <w:trHeight w:val="400"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07541B71">
            <w:pPr>
              <w:keepNext w:val="0"/>
              <w:keepLines w:val="0"/>
              <w:pageBreakBefore w:val="0"/>
              <w:overflowPunct/>
              <w:bidi w:val="0"/>
              <w:spacing w:line="240" w:lineRule="auto"/>
              <w:jc w:val="center"/>
              <w:rPr>
                <w:rFonts w:hint="eastAsia" w:ascii="仿宋_GB2312" w:hAnsi="仿宋_GB2312" w:eastAsia="仿宋_GB2312" w:cs="仿宋_GB2312"/>
                <w:color w:val="000000"/>
                <w:kern w:val="0"/>
                <w:szCs w:val="21"/>
                <w:highlight w:val="none"/>
                <w:lang w:bidi="ar"/>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3112B">
            <w:pPr>
              <w:widowControl/>
              <w:spacing w:line="240" w:lineRule="auto"/>
              <w:jc w:val="center"/>
              <w:textAlignment w:val="center"/>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Cs w:val="21"/>
                <w:highlight w:val="none"/>
                <w:lang w:eastAsia="zh-CN" w:bidi="ar"/>
              </w:rPr>
              <w:t>园地</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C0F91">
            <w:pPr>
              <w:widowControl/>
              <w:spacing w:line="240" w:lineRule="auto"/>
              <w:jc w:val="center"/>
              <w:textAlignment w:val="center"/>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Cs w:val="21"/>
                <w:highlight w:val="none"/>
                <w:lang w:val="en-US" w:eastAsia="zh-CN" w:bidi="ar"/>
              </w:rPr>
              <w:t>0.0999</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F6DAF">
            <w:pPr>
              <w:widowControl/>
              <w:spacing w:line="240" w:lineRule="auto"/>
              <w:jc w:val="center"/>
              <w:textAlignment w:val="center"/>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Cs w:val="21"/>
                <w:highlight w:val="none"/>
                <w:lang w:val="en-US" w:eastAsia="zh-CN" w:bidi="ar"/>
              </w:rPr>
              <w:t>36.3375</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E83AC">
            <w:pPr>
              <w:widowControl/>
              <w:spacing w:line="240" w:lineRule="auto"/>
              <w:jc w:val="center"/>
              <w:textAlignment w:val="center"/>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3.6301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BEA56">
            <w:pPr>
              <w:widowControl/>
              <w:spacing w:line="240" w:lineRule="auto"/>
              <w:jc w:val="center"/>
              <w:textAlignment w:val="center"/>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Cs w:val="21"/>
                <w:highlight w:val="none"/>
                <w:lang w:val="en-US" w:eastAsia="zh-CN" w:bidi="ar"/>
              </w:rPr>
              <w:t>36.4500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FC17C">
            <w:pPr>
              <w:widowControl/>
              <w:spacing w:line="240" w:lineRule="auto"/>
              <w:jc w:val="center"/>
              <w:textAlignment w:val="center"/>
              <w:rPr>
                <w:rFonts w:hint="default"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3.6414</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206C2">
            <w:pPr>
              <w:widowControl/>
              <w:spacing w:line="240" w:lineRule="auto"/>
              <w:jc w:val="center"/>
              <w:textAlignment w:val="center"/>
              <w:rPr>
                <w:rFonts w:hint="default" w:ascii="仿宋_GB2312" w:hAnsi="仿宋_GB2312" w:eastAsia="仿宋_GB2312" w:cs="仿宋_GB2312"/>
                <w:color w:val="000000"/>
                <w:kern w:val="2"/>
                <w:sz w:val="21"/>
                <w:szCs w:val="21"/>
                <w:highlight w:val="none"/>
                <w:lang w:val="en-US" w:eastAsia="zh-CN" w:bidi="ar-SA"/>
              </w:rPr>
            </w:pPr>
            <w:r>
              <w:rPr>
                <w:rFonts w:hint="eastAsia" w:ascii="仿宋_GB2312" w:hAnsi="仿宋_GB2312" w:eastAsia="仿宋_GB2312" w:cs="仿宋_GB2312"/>
                <w:color w:val="000000"/>
                <w:szCs w:val="21"/>
                <w:highlight w:val="none"/>
                <w:lang w:val="en-US" w:eastAsia="zh-CN"/>
              </w:rPr>
              <w:t>7.2715</w:t>
            </w:r>
          </w:p>
        </w:tc>
      </w:tr>
      <w:tr w14:paraId="39F5DA5D">
        <w:tblPrEx>
          <w:tblCellMar>
            <w:top w:w="0" w:type="dxa"/>
            <w:left w:w="0" w:type="dxa"/>
            <w:bottom w:w="0" w:type="dxa"/>
            <w:right w:w="0" w:type="dxa"/>
          </w:tblCellMar>
        </w:tblPrEx>
        <w:trPr>
          <w:trHeight w:val="400"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4A8684DA">
            <w:pPr>
              <w:keepNext w:val="0"/>
              <w:keepLines w:val="0"/>
              <w:pageBreakBefore w:val="0"/>
              <w:overflowPunct/>
              <w:bidi w:val="0"/>
              <w:spacing w:line="240" w:lineRule="auto"/>
              <w:jc w:val="center"/>
              <w:rPr>
                <w:rFonts w:hint="eastAsia" w:ascii="仿宋_GB2312" w:hAnsi="仿宋_GB2312" w:eastAsia="仿宋_GB2312" w:cs="仿宋_GB2312"/>
                <w:color w:val="000000"/>
                <w:kern w:val="0"/>
                <w:szCs w:val="21"/>
                <w:highlight w:val="none"/>
                <w:lang w:bidi="ar"/>
              </w:rPr>
            </w:pPr>
          </w:p>
        </w:tc>
        <w:tc>
          <w:tcPr>
            <w:tcW w:w="1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91060">
            <w:pPr>
              <w:widowControl/>
              <w:spacing w:line="240" w:lineRule="auto"/>
              <w:jc w:val="center"/>
              <w:textAlignment w:val="center"/>
              <w:rPr>
                <w:rFonts w:hint="eastAsia" w:ascii="仿宋_GB2312" w:hAnsi="仿宋_GB2312" w:eastAsia="仿宋_GB2312" w:cs="仿宋_GB2312"/>
                <w:color w:val="000000"/>
                <w:kern w:val="0"/>
                <w:szCs w:val="21"/>
                <w:highlight w:val="none"/>
                <w:lang w:eastAsia="zh-CN" w:bidi="ar"/>
              </w:rPr>
            </w:pPr>
            <w:r>
              <w:rPr>
                <w:rFonts w:hint="eastAsia" w:ascii="仿宋_GB2312" w:hAnsi="仿宋_GB2312" w:eastAsia="仿宋_GB2312" w:cs="仿宋_GB2312"/>
                <w:color w:val="000000"/>
                <w:kern w:val="0"/>
                <w:szCs w:val="21"/>
                <w:highlight w:val="none"/>
                <w:lang w:bidi="ar"/>
              </w:rPr>
              <w:t>林地</w:t>
            </w:r>
          </w:p>
        </w:tc>
        <w:tc>
          <w:tcPr>
            <w:tcW w:w="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2F0F8">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10.2830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AC553">
            <w:pPr>
              <w:widowControl/>
              <w:spacing w:line="240" w:lineRule="auto"/>
              <w:jc w:val="center"/>
              <w:textAlignment w:val="center"/>
              <w:rPr>
                <w:rFonts w:hint="eastAsia"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bidi="ar"/>
              </w:rPr>
              <w:t xml:space="preserve">21.8025 </w:t>
            </w:r>
          </w:p>
        </w:tc>
        <w:tc>
          <w:tcPr>
            <w:tcW w:w="14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F56AB">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224.1951</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31AB9">
            <w:pPr>
              <w:widowControl/>
              <w:spacing w:line="240" w:lineRule="auto"/>
              <w:jc w:val="center"/>
              <w:textAlignment w:val="center"/>
              <w:rPr>
                <w:rFonts w:hint="eastAsia"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bidi="ar"/>
              </w:rPr>
              <w:t xml:space="preserve">21.8700 </w:t>
            </w:r>
          </w:p>
        </w:tc>
        <w:tc>
          <w:tcPr>
            <w:tcW w:w="13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E4D53">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224.8892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A40787">
            <w:pPr>
              <w:widowControl/>
              <w:spacing w:line="240" w:lineRule="auto"/>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kern w:val="2"/>
                <w:sz w:val="21"/>
                <w:szCs w:val="21"/>
                <w:highlight w:val="none"/>
                <w:lang w:val="en-US" w:eastAsia="zh-CN" w:bidi="ar-SA"/>
              </w:rPr>
              <w:t>449.0843</w:t>
            </w:r>
          </w:p>
        </w:tc>
      </w:tr>
      <w:tr w14:paraId="2F4AEAB9">
        <w:tblPrEx>
          <w:tblCellMar>
            <w:top w:w="0" w:type="dxa"/>
            <w:left w:w="0" w:type="dxa"/>
            <w:bottom w:w="0" w:type="dxa"/>
            <w:right w:w="0" w:type="dxa"/>
          </w:tblCellMar>
        </w:tblPrEx>
        <w:trPr>
          <w:trHeight w:val="400"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7F16B889">
            <w:pPr>
              <w:keepNext w:val="0"/>
              <w:keepLines w:val="0"/>
              <w:pageBreakBefore w:val="0"/>
              <w:overflowPunct/>
              <w:bidi w:val="0"/>
              <w:spacing w:line="240" w:lineRule="auto"/>
              <w:jc w:val="center"/>
              <w:rPr>
                <w:rFonts w:hint="eastAsia" w:ascii="仿宋_GB2312" w:hAnsi="仿宋_GB2312" w:eastAsia="仿宋_GB2312" w:cs="仿宋_GB2312"/>
                <w:color w:val="000000"/>
                <w:kern w:val="0"/>
                <w:szCs w:val="21"/>
                <w:highlight w:val="none"/>
                <w:lang w:bidi="ar"/>
              </w:rPr>
            </w:pPr>
          </w:p>
        </w:tc>
        <w:tc>
          <w:tcPr>
            <w:tcW w:w="1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962FE">
            <w:pPr>
              <w:widowControl/>
              <w:spacing w:line="240" w:lineRule="auto"/>
              <w:jc w:val="center"/>
              <w:textAlignment w:val="center"/>
              <w:rPr>
                <w:rFonts w:hint="eastAsia" w:ascii="仿宋_GB2312" w:hAnsi="仿宋_GB2312" w:eastAsia="仿宋_GB2312" w:cs="仿宋_GB2312"/>
                <w:color w:val="000000"/>
                <w:kern w:val="0"/>
                <w:szCs w:val="21"/>
                <w:highlight w:val="none"/>
                <w:lang w:eastAsia="zh-CN" w:bidi="ar"/>
              </w:rPr>
            </w:pPr>
            <w:r>
              <w:rPr>
                <w:rFonts w:hint="eastAsia" w:ascii="仿宋_GB2312" w:hAnsi="仿宋_GB2312" w:eastAsia="仿宋_GB2312" w:cs="仿宋_GB2312"/>
                <w:color w:val="000000"/>
                <w:kern w:val="0"/>
                <w:szCs w:val="21"/>
                <w:highlight w:val="none"/>
                <w:lang w:eastAsia="zh-CN" w:bidi="ar"/>
              </w:rPr>
              <w:t>草地</w:t>
            </w:r>
          </w:p>
        </w:tc>
        <w:tc>
          <w:tcPr>
            <w:tcW w:w="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6AC0A">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val="en-US" w:eastAsia="zh-CN" w:bidi="ar"/>
              </w:rPr>
              <w:t>0.3450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61AB2">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bidi="ar"/>
              </w:rPr>
              <w:t xml:space="preserve">21.8025 </w:t>
            </w:r>
          </w:p>
        </w:tc>
        <w:tc>
          <w:tcPr>
            <w:tcW w:w="14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C8A5C">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7.5219</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6DF81">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bidi="ar"/>
              </w:rPr>
              <w:t>21.8700</w:t>
            </w:r>
          </w:p>
        </w:tc>
        <w:tc>
          <w:tcPr>
            <w:tcW w:w="13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A363C">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7.5452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4C1E52">
            <w:pPr>
              <w:widowControl/>
              <w:spacing w:line="240" w:lineRule="auto"/>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szCs w:val="21"/>
                <w:highlight w:val="none"/>
                <w:lang w:val="en-US" w:eastAsia="zh-CN"/>
              </w:rPr>
              <w:t>15.0671</w:t>
            </w:r>
          </w:p>
        </w:tc>
      </w:tr>
      <w:tr w14:paraId="75AE836C">
        <w:tblPrEx>
          <w:tblCellMar>
            <w:top w:w="0" w:type="dxa"/>
            <w:left w:w="0" w:type="dxa"/>
            <w:bottom w:w="0" w:type="dxa"/>
            <w:right w:w="0" w:type="dxa"/>
          </w:tblCellMar>
        </w:tblPrEx>
        <w:trPr>
          <w:trHeight w:val="443"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539324E2">
            <w:pPr>
              <w:keepNext w:val="0"/>
              <w:keepLines w:val="0"/>
              <w:pageBreakBefore w:val="0"/>
              <w:overflowPunct/>
              <w:bidi w:val="0"/>
              <w:spacing w:line="240" w:lineRule="auto"/>
              <w:jc w:val="center"/>
              <w:rPr>
                <w:rFonts w:hint="eastAsia" w:ascii="仿宋_GB2312" w:hAnsi="仿宋_GB2312" w:eastAsia="仿宋_GB2312" w:cs="仿宋_GB2312"/>
                <w:color w:val="000000"/>
                <w:kern w:val="0"/>
                <w:szCs w:val="21"/>
                <w:highlight w:val="none"/>
                <w:lang w:bidi="ar"/>
              </w:rPr>
            </w:pPr>
          </w:p>
        </w:tc>
        <w:tc>
          <w:tcPr>
            <w:tcW w:w="1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DA75F">
            <w:pPr>
              <w:widowControl/>
              <w:spacing w:line="240" w:lineRule="auto"/>
              <w:jc w:val="center"/>
              <w:textAlignment w:val="center"/>
              <w:rPr>
                <w:rFonts w:hint="eastAsia" w:ascii="仿宋_GB2312" w:hAnsi="仿宋_GB2312" w:eastAsia="仿宋_GB2312" w:cs="仿宋_GB2312"/>
                <w:color w:val="000000"/>
                <w:kern w:val="0"/>
                <w:szCs w:val="21"/>
                <w:highlight w:val="none"/>
                <w:lang w:eastAsia="zh-CN" w:bidi="ar"/>
              </w:rPr>
            </w:pPr>
            <w:r>
              <w:rPr>
                <w:rFonts w:hint="eastAsia" w:ascii="仿宋_GB2312" w:hAnsi="仿宋_GB2312" w:eastAsia="仿宋_GB2312" w:cs="仿宋_GB2312"/>
                <w:color w:val="000000"/>
                <w:kern w:val="0"/>
                <w:szCs w:val="21"/>
                <w:highlight w:val="none"/>
                <w:lang w:eastAsia="zh-CN" w:bidi="ar"/>
              </w:rPr>
              <w:t>养殖水面</w:t>
            </w:r>
          </w:p>
        </w:tc>
        <w:tc>
          <w:tcPr>
            <w:tcW w:w="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621B8">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val="en-US" w:eastAsia="zh-CN" w:bidi="ar"/>
              </w:rPr>
              <w:t>0.0391</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2A75B">
            <w:pPr>
              <w:widowControl/>
              <w:spacing w:line="240" w:lineRule="auto"/>
              <w:jc w:val="center"/>
              <w:textAlignment w:val="center"/>
              <w:rPr>
                <w:rFonts w:hint="eastAsia"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val="en-US" w:eastAsia="zh-CN" w:bidi="ar"/>
              </w:rPr>
              <w:t>48.4500</w:t>
            </w:r>
          </w:p>
        </w:tc>
        <w:tc>
          <w:tcPr>
            <w:tcW w:w="14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7632D">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1.8944</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F2844">
            <w:pPr>
              <w:widowControl/>
              <w:spacing w:line="240" w:lineRule="auto"/>
              <w:jc w:val="center"/>
              <w:textAlignment w:val="center"/>
              <w:rPr>
                <w:rFonts w:hint="eastAsia"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val="en-US" w:eastAsia="zh-CN" w:bidi="ar"/>
              </w:rPr>
              <w:t>48.6000</w:t>
            </w:r>
          </w:p>
        </w:tc>
        <w:tc>
          <w:tcPr>
            <w:tcW w:w="13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52DFB">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1.9003</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2B3D9">
            <w:pPr>
              <w:widowControl/>
              <w:spacing w:line="240" w:lineRule="auto"/>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szCs w:val="21"/>
                <w:highlight w:val="none"/>
                <w:lang w:val="en-US" w:eastAsia="zh-CN"/>
              </w:rPr>
              <w:t>3.7947</w:t>
            </w:r>
          </w:p>
        </w:tc>
      </w:tr>
      <w:tr w14:paraId="31F7A53F">
        <w:tblPrEx>
          <w:tblCellMar>
            <w:top w:w="0" w:type="dxa"/>
            <w:left w:w="0" w:type="dxa"/>
            <w:bottom w:w="0" w:type="dxa"/>
            <w:right w:w="0" w:type="dxa"/>
          </w:tblCellMar>
        </w:tblPrEx>
        <w:trPr>
          <w:trHeight w:val="658"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2AEA9342">
            <w:pPr>
              <w:keepNext w:val="0"/>
              <w:keepLines w:val="0"/>
              <w:pageBreakBefore w:val="0"/>
              <w:overflowPunct/>
              <w:bidi w:val="0"/>
              <w:spacing w:line="240" w:lineRule="auto"/>
              <w:jc w:val="center"/>
              <w:rPr>
                <w:rFonts w:hint="eastAsia" w:ascii="仿宋_GB2312" w:hAnsi="仿宋_GB2312" w:eastAsia="仿宋_GB2312" w:cs="仿宋_GB2312"/>
                <w:color w:val="000000"/>
                <w:kern w:val="0"/>
                <w:szCs w:val="21"/>
                <w:highlight w:val="none"/>
                <w:lang w:bidi="ar"/>
              </w:rPr>
            </w:pPr>
          </w:p>
        </w:tc>
        <w:tc>
          <w:tcPr>
            <w:tcW w:w="1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58A5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000000"/>
                <w:kern w:val="0"/>
                <w:szCs w:val="21"/>
                <w:highlight w:val="none"/>
                <w:lang w:eastAsia="zh-CN" w:bidi="ar"/>
              </w:rPr>
            </w:pPr>
            <w:r>
              <w:rPr>
                <w:rFonts w:hint="eastAsia" w:ascii="仿宋_GB2312" w:hAnsi="仿宋_GB2312" w:eastAsia="仿宋_GB2312" w:cs="仿宋_GB2312"/>
                <w:color w:val="000000"/>
                <w:kern w:val="0"/>
                <w:szCs w:val="21"/>
                <w:highlight w:val="none"/>
                <w:lang w:eastAsia="zh-CN" w:bidi="ar"/>
              </w:rPr>
              <w:t>其他农用地（不含养殖水面）</w:t>
            </w:r>
          </w:p>
        </w:tc>
        <w:tc>
          <w:tcPr>
            <w:tcW w:w="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A12EE">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val="en-US" w:eastAsia="zh-CN" w:bidi="ar"/>
              </w:rPr>
              <w:t>0.0289</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C08CE9">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bidi="ar"/>
              </w:rPr>
              <w:t xml:space="preserve">21.8025 </w:t>
            </w:r>
          </w:p>
        </w:tc>
        <w:tc>
          <w:tcPr>
            <w:tcW w:w="14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E1CC3">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0.6301</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2B254">
            <w:pPr>
              <w:widowControl/>
              <w:spacing w:line="240" w:lineRule="auto"/>
              <w:jc w:val="center"/>
              <w:textAlignment w:val="center"/>
              <w:rPr>
                <w:rFonts w:hint="default" w:ascii="仿宋_GB2312" w:hAnsi="宋体" w:eastAsia="仿宋_GB2312" w:cs="仿宋_GB2312"/>
                <w:color w:val="000000"/>
                <w:kern w:val="0"/>
                <w:szCs w:val="21"/>
                <w:highlight w:val="none"/>
                <w:lang w:val="en-US" w:eastAsia="zh-CN" w:bidi="ar"/>
              </w:rPr>
            </w:pPr>
            <w:r>
              <w:rPr>
                <w:rFonts w:hint="eastAsia" w:ascii="仿宋_GB2312" w:hAnsi="宋体" w:eastAsia="仿宋_GB2312" w:cs="仿宋_GB2312"/>
                <w:color w:val="000000"/>
                <w:kern w:val="0"/>
                <w:szCs w:val="21"/>
                <w:highlight w:val="none"/>
                <w:lang w:bidi="ar"/>
              </w:rPr>
              <w:t>21.8700</w:t>
            </w:r>
          </w:p>
        </w:tc>
        <w:tc>
          <w:tcPr>
            <w:tcW w:w="13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ABB3A">
            <w:pPr>
              <w:widowControl/>
              <w:spacing w:line="240" w:lineRule="auto"/>
              <w:jc w:val="center"/>
              <w:textAlignment w:val="center"/>
              <w:rPr>
                <w:rFonts w:hint="default" w:ascii="仿宋_GB2312" w:hAnsi="仿宋_GB2312" w:eastAsia="仿宋_GB2312" w:cs="仿宋_GB2312"/>
                <w:color w:val="000000"/>
                <w:kern w:val="0"/>
                <w:szCs w:val="21"/>
                <w:highlight w:val="none"/>
                <w:lang w:val="en-US" w:eastAsia="zh-CN" w:bidi="ar"/>
              </w:rPr>
            </w:pPr>
            <w:r>
              <w:rPr>
                <w:rFonts w:hint="eastAsia" w:ascii="仿宋_GB2312" w:hAnsi="仿宋_GB2312" w:eastAsia="仿宋_GB2312" w:cs="仿宋_GB2312"/>
                <w:color w:val="000000"/>
                <w:kern w:val="0"/>
                <w:szCs w:val="21"/>
                <w:highlight w:val="none"/>
                <w:lang w:val="en-US" w:eastAsia="zh-CN" w:bidi="ar"/>
              </w:rPr>
              <w:t>0.6320</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B63E4">
            <w:pPr>
              <w:widowControl/>
              <w:spacing w:line="240" w:lineRule="auto"/>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szCs w:val="21"/>
                <w:highlight w:val="none"/>
                <w:lang w:val="en-US" w:eastAsia="zh-CN"/>
              </w:rPr>
              <w:t>1.2621</w:t>
            </w:r>
          </w:p>
        </w:tc>
      </w:tr>
      <w:tr w14:paraId="7C7647CF">
        <w:tblPrEx>
          <w:tblCellMar>
            <w:top w:w="0" w:type="dxa"/>
            <w:left w:w="0" w:type="dxa"/>
            <w:bottom w:w="0" w:type="dxa"/>
            <w:right w:w="0" w:type="dxa"/>
          </w:tblCellMar>
        </w:tblPrEx>
        <w:trPr>
          <w:trHeight w:val="799"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73A8A09F">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20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FD75D">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土地补偿费与安置补助费</w:t>
            </w:r>
          </w:p>
        </w:tc>
        <w:tc>
          <w:tcPr>
            <w:tcW w:w="34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1ED8C">
            <w:pPr>
              <w:widowControl/>
              <w:spacing w:line="540" w:lineRule="exact"/>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kern w:val="0"/>
                <w:szCs w:val="21"/>
                <w:highlight w:val="none"/>
                <w:lang w:val="en-US" w:eastAsia="zh-CN" w:bidi="ar"/>
              </w:rPr>
              <w:t>676.8588</w:t>
            </w:r>
          </w:p>
        </w:tc>
        <w:tc>
          <w:tcPr>
            <w:tcW w:w="2691"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C1418">
            <w:pPr>
              <w:keepNext w:val="0"/>
              <w:keepLines w:val="0"/>
              <w:pageBreakBefore w:val="0"/>
              <w:widowControl/>
              <w:overflowPunct/>
              <w:bidi w:val="0"/>
              <w:spacing w:line="240" w:lineRule="auto"/>
              <w:jc w:val="both"/>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补偿方式为货币，土地补偿费补偿支付对象为韶关市武江区</w:t>
            </w:r>
            <w:r>
              <w:rPr>
                <w:rFonts w:hint="eastAsia" w:ascii="仿宋_GB2312" w:hAnsi="仿宋_GB2312" w:eastAsia="仿宋_GB2312" w:cs="仿宋_GB2312"/>
                <w:color w:val="000000"/>
                <w:kern w:val="0"/>
                <w:szCs w:val="21"/>
                <w:highlight w:val="none"/>
                <w:lang w:eastAsia="zh-CN" w:bidi="ar"/>
              </w:rPr>
              <w:t>西联镇甘棠股份</w:t>
            </w:r>
            <w:r>
              <w:rPr>
                <w:rFonts w:hint="eastAsia" w:ascii="仿宋_GB2312" w:hAnsi="仿宋_GB2312" w:eastAsia="仿宋_GB2312" w:cs="仿宋_GB2312"/>
                <w:color w:val="000000"/>
                <w:kern w:val="0"/>
                <w:szCs w:val="21"/>
                <w:highlight w:val="none"/>
                <w:lang w:bidi="ar"/>
              </w:rPr>
              <w:t>经济联合社</w:t>
            </w:r>
            <w:r>
              <w:rPr>
                <w:rFonts w:hint="eastAsia" w:ascii="仿宋_GB2312" w:hAnsi="仿宋_GB2312" w:eastAsia="仿宋_GB2312" w:cs="仿宋_GB2312"/>
                <w:color w:val="000000"/>
                <w:kern w:val="0"/>
                <w:szCs w:val="21"/>
                <w:highlight w:val="none"/>
                <w:lang w:eastAsia="zh-CN" w:bidi="ar"/>
              </w:rPr>
              <w:t>和韶关市武江区龙归镇龙归经济联合社</w:t>
            </w:r>
            <w:r>
              <w:rPr>
                <w:rFonts w:hint="eastAsia" w:ascii="仿宋_GB2312" w:hAnsi="仿宋_GB2312" w:eastAsia="仿宋_GB2312" w:cs="仿宋_GB2312"/>
                <w:color w:val="000000"/>
                <w:kern w:val="0"/>
                <w:szCs w:val="21"/>
                <w:highlight w:val="none"/>
                <w:lang w:bidi="ar"/>
              </w:rPr>
              <w:t>转付需安置补偿对象</w:t>
            </w:r>
          </w:p>
        </w:tc>
      </w:tr>
      <w:tr w14:paraId="03590386">
        <w:tblPrEx>
          <w:tblCellMar>
            <w:top w:w="0" w:type="dxa"/>
            <w:left w:w="0" w:type="dxa"/>
            <w:bottom w:w="0" w:type="dxa"/>
            <w:right w:w="0" w:type="dxa"/>
          </w:tblCellMar>
        </w:tblPrEx>
        <w:trPr>
          <w:trHeight w:val="600"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210754E3">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20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9BCDC">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青苗补偿费</w:t>
            </w:r>
          </w:p>
        </w:tc>
        <w:tc>
          <w:tcPr>
            <w:tcW w:w="34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223D0">
            <w:pPr>
              <w:widowControl/>
              <w:spacing w:line="540" w:lineRule="exact"/>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lang w:eastAsia="zh-CN"/>
              </w:rPr>
              <w:t>青苗补偿</w:t>
            </w:r>
            <w:r>
              <w:rPr>
                <w:rFonts w:hint="eastAsia" w:ascii="仿宋_GB2312" w:hAnsi="仿宋_GB2312" w:eastAsia="仿宋_GB2312" w:cs="仿宋_GB2312"/>
                <w:color w:val="000000"/>
                <w:szCs w:val="21"/>
                <w:highlight w:val="none"/>
              </w:rPr>
              <w:t>以实际清点为准</w:t>
            </w:r>
          </w:p>
        </w:tc>
        <w:tc>
          <w:tcPr>
            <w:tcW w:w="2691"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A9683">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r>
      <w:tr w14:paraId="69EA5D9D">
        <w:tblPrEx>
          <w:tblCellMar>
            <w:top w:w="0" w:type="dxa"/>
            <w:left w:w="0" w:type="dxa"/>
            <w:bottom w:w="0" w:type="dxa"/>
            <w:right w:w="0" w:type="dxa"/>
          </w:tblCellMar>
        </w:tblPrEx>
        <w:trPr>
          <w:trHeight w:val="600"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03585146">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20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D90B6">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地上附着物补偿</w:t>
            </w:r>
          </w:p>
        </w:tc>
        <w:tc>
          <w:tcPr>
            <w:tcW w:w="34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BE35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lang w:eastAsia="zh-CN"/>
              </w:rPr>
              <w:t>经现场踏勘，该项目用地无地上附着物，不涉及地上附着物补偿</w:t>
            </w:r>
          </w:p>
        </w:tc>
        <w:tc>
          <w:tcPr>
            <w:tcW w:w="2691"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1990C">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r>
      <w:tr w14:paraId="499E64BC">
        <w:tblPrEx>
          <w:tblCellMar>
            <w:top w:w="0" w:type="dxa"/>
            <w:left w:w="0" w:type="dxa"/>
            <w:bottom w:w="0" w:type="dxa"/>
            <w:right w:w="0" w:type="dxa"/>
          </w:tblCellMar>
        </w:tblPrEx>
        <w:trPr>
          <w:trHeight w:val="600" w:hRule="atLeast"/>
        </w:trPr>
        <w:tc>
          <w:tcPr>
            <w:tcW w:w="611" w:type="dxa"/>
            <w:vMerge w:val="continue"/>
            <w:tcBorders>
              <w:left w:val="single" w:color="000000" w:sz="4" w:space="0"/>
              <w:right w:val="single" w:color="000000" w:sz="4" w:space="0"/>
            </w:tcBorders>
            <w:tcMar>
              <w:top w:w="15" w:type="dxa"/>
              <w:left w:w="15" w:type="dxa"/>
              <w:right w:w="15" w:type="dxa"/>
            </w:tcMar>
            <w:vAlign w:val="center"/>
          </w:tcPr>
          <w:p w14:paraId="5265317A">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20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6BF27E">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以上土地面积合计</w:t>
            </w:r>
          </w:p>
        </w:tc>
        <w:tc>
          <w:tcPr>
            <w:tcW w:w="34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60987">
            <w:pPr>
              <w:widowControl/>
              <w:spacing w:line="540" w:lineRule="exact"/>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kern w:val="0"/>
                <w:szCs w:val="21"/>
                <w:highlight w:val="none"/>
                <w:lang w:val="en-US" w:eastAsia="zh-CN" w:bidi="ar"/>
              </w:rPr>
              <w:t>12.8606</w:t>
            </w:r>
          </w:p>
        </w:tc>
        <w:tc>
          <w:tcPr>
            <w:tcW w:w="2691"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1AB49">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r>
      <w:tr w14:paraId="3A642646">
        <w:tblPrEx>
          <w:tblCellMar>
            <w:top w:w="0" w:type="dxa"/>
            <w:left w:w="0" w:type="dxa"/>
            <w:bottom w:w="0" w:type="dxa"/>
            <w:right w:w="0" w:type="dxa"/>
          </w:tblCellMar>
        </w:tblPrEx>
        <w:trPr>
          <w:trHeight w:val="600" w:hRule="atLeast"/>
        </w:trPr>
        <w:tc>
          <w:tcPr>
            <w:tcW w:w="611"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284A2B3C">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c>
          <w:tcPr>
            <w:tcW w:w="20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107D8">
            <w:pPr>
              <w:keepNext w:val="0"/>
              <w:keepLines w:val="0"/>
              <w:pageBreakBefore w:val="0"/>
              <w:widowControl/>
              <w:overflowPunct/>
              <w:bidi w:val="0"/>
              <w:spacing w:line="240" w:lineRule="auto"/>
              <w:jc w:val="center"/>
              <w:textAlignment w:val="center"/>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kern w:val="0"/>
                <w:szCs w:val="21"/>
                <w:highlight w:val="none"/>
                <w:lang w:bidi="ar"/>
              </w:rPr>
              <w:t>以上补偿金额合计</w:t>
            </w:r>
          </w:p>
        </w:tc>
        <w:tc>
          <w:tcPr>
            <w:tcW w:w="34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DA9F1">
            <w:pPr>
              <w:widowControl/>
              <w:spacing w:line="540" w:lineRule="exact"/>
              <w:jc w:val="center"/>
              <w:textAlignment w:val="center"/>
              <w:rPr>
                <w:rFonts w:hint="default" w:ascii="仿宋_GB2312" w:hAnsi="仿宋_GB2312" w:eastAsia="仿宋_GB2312" w:cs="仿宋_GB2312"/>
                <w:color w:val="000000"/>
                <w:szCs w:val="21"/>
                <w:highlight w:val="none"/>
                <w:lang w:val="en-US" w:eastAsia="zh-CN"/>
              </w:rPr>
            </w:pPr>
            <w:r>
              <w:rPr>
                <w:rFonts w:hint="eastAsia" w:ascii="仿宋_GB2312" w:hAnsi="仿宋_GB2312" w:eastAsia="仿宋_GB2312" w:cs="仿宋_GB2312"/>
                <w:color w:val="000000"/>
                <w:kern w:val="0"/>
                <w:szCs w:val="21"/>
                <w:highlight w:val="none"/>
                <w:lang w:val="en-US" w:eastAsia="zh-CN" w:bidi="ar"/>
              </w:rPr>
              <w:t>676.8588</w:t>
            </w:r>
          </w:p>
        </w:tc>
        <w:tc>
          <w:tcPr>
            <w:tcW w:w="2691"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6B944">
            <w:pPr>
              <w:keepNext w:val="0"/>
              <w:keepLines w:val="0"/>
              <w:pageBreakBefore w:val="0"/>
              <w:overflowPunct/>
              <w:bidi w:val="0"/>
              <w:spacing w:line="240" w:lineRule="auto"/>
              <w:jc w:val="center"/>
              <w:rPr>
                <w:rFonts w:ascii="仿宋_GB2312" w:hAnsi="仿宋_GB2312" w:eastAsia="仿宋_GB2312" w:cs="仿宋_GB2312"/>
                <w:color w:val="000000"/>
                <w:szCs w:val="21"/>
                <w:highlight w:val="none"/>
              </w:rPr>
            </w:pPr>
          </w:p>
        </w:tc>
      </w:tr>
    </w:tbl>
    <w:p w14:paraId="44F339DB">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bookmarkStart w:id="0" w:name="OLE_LINK2"/>
      <w:r>
        <w:rPr>
          <w:rFonts w:hint="eastAsia" w:ascii="黑体" w:hAnsi="黑体" w:eastAsia="黑体" w:cs="黑体"/>
          <w:sz w:val="32"/>
          <w:szCs w:val="32"/>
        </w:rPr>
        <w:t>三、安置措施情况说明</w:t>
      </w:r>
    </w:p>
    <w:bookmarkEnd w:id="0"/>
    <w:p w14:paraId="208C652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为妥善安置被征地农民，</w:t>
      </w:r>
      <w:r>
        <w:rPr>
          <w:rFonts w:hint="eastAsia" w:ascii="仿宋_GB2312" w:hAnsi="仿宋_GB2312" w:eastAsia="仿宋_GB2312" w:cs="仿宋_GB2312"/>
          <w:sz w:val="32"/>
          <w:szCs w:val="32"/>
          <w:lang w:eastAsia="zh-CN"/>
        </w:rPr>
        <w:t>保障被征地农民的生产生活</w:t>
      </w:r>
      <w:r>
        <w:rPr>
          <w:rFonts w:hint="eastAsia" w:ascii="仿宋_GB2312" w:hAnsi="仿宋_GB2312" w:eastAsia="仿宋_GB2312" w:cs="仿宋_GB2312"/>
          <w:sz w:val="32"/>
          <w:szCs w:val="32"/>
        </w:rPr>
        <w:t>，本项目将根据《韶关市人民政府办公室关于加强韶关市浈江区、武江区征收农村集体土地留用地安置管理工作的意见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（韶府办〔2016〕82号）</w:t>
      </w:r>
      <w:r>
        <w:rPr>
          <w:rFonts w:hint="eastAsia" w:ascii="仿宋_GB2312" w:hAnsi="仿宋_GB2312" w:eastAsia="仿宋_GB2312" w:cs="仿宋_GB2312"/>
          <w:bCs/>
          <w:sz w:val="32"/>
          <w:szCs w:val="32"/>
          <w:lang w:val="zh-CN" w:eastAsia="zh-CN"/>
        </w:rPr>
        <w:t>的规定</w:t>
      </w:r>
      <w:r>
        <w:rPr>
          <w:rFonts w:hint="eastAsia" w:ascii="仿宋_GB2312" w:hAnsi="仿宋_GB2312" w:eastAsia="仿宋_GB2312" w:cs="仿宋_GB2312"/>
          <w:sz w:val="32"/>
          <w:szCs w:val="32"/>
        </w:rPr>
        <w:t>，在建设用地批准后按征地面积15%的比例以折算货币方式进行留用地安置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eastAsia="zh-CN"/>
        </w:rPr>
        <w:t>保障</w:t>
      </w:r>
      <w:r>
        <w:rPr>
          <w:rFonts w:hint="eastAsia" w:ascii="仿宋_GB2312" w:hAnsi="仿宋_GB2312" w:eastAsia="仿宋_GB2312" w:cs="仿宋_GB2312"/>
          <w:sz w:val="32"/>
          <w:szCs w:val="32"/>
        </w:rPr>
        <w:t>被征地农民的原有生活水平不降低，长远生计有保障。</w:t>
      </w:r>
    </w:p>
    <w:p w14:paraId="1A0429C2">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568FE505">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51FFB57D">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26E2089D">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54F04040">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73FB3A91">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1C3C2EF8">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6D6F0E3E">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4EC8D11B">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06A5E98B">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7535E409">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230F7B96">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7F46C8F5">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3704D8C3">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6F5AB89F">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2D6DF846">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35BBDCA1">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31723BCC">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74952287">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6DD5711C">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p>
    <w:p w14:paraId="14A6BB95">
      <w:pPr>
        <w:keepNext w:val="0"/>
        <w:keepLines w:val="0"/>
        <w:pageBreakBefore w:val="0"/>
        <w:widowControl w:val="0"/>
        <w:wordWrap/>
        <w:overflowPunct/>
        <w:topLinePunct w:val="0"/>
        <w:bidi w:val="0"/>
        <w:spacing w:line="560" w:lineRule="exact"/>
        <w:jc w:val="both"/>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附件2：</w:t>
      </w:r>
    </w:p>
    <w:p w14:paraId="44497B17">
      <w:pPr>
        <w:pStyle w:val="2"/>
        <w:keepNext w:val="0"/>
        <w:keepLines w:val="0"/>
        <w:pageBreakBefore w:val="0"/>
        <w:wordWrap/>
        <w:overflowPunct/>
        <w:topLinePunct w:val="0"/>
        <w:bidi w:val="0"/>
        <w:spacing w:line="560" w:lineRule="exact"/>
        <w:ind w:firstLine="480"/>
        <w:jc w:val="left"/>
        <w:rPr>
          <w:rFonts w:hint="eastAsia" w:ascii="方正小标宋简体" w:hAnsi="方正小标宋简体" w:eastAsia="方正小标宋简体" w:cs="方正小标宋简体"/>
          <w:color w:val="000000"/>
          <w:spacing w:val="-6"/>
          <w:kern w:val="0"/>
          <w:sz w:val="44"/>
          <w:szCs w:val="44"/>
          <w:shd w:val="clear" w:color="auto" w:fill="FFFFFF"/>
          <w:lang w:val="en-US" w:eastAsia="zh-CN" w:bidi="ar"/>
        </w:rPr>
      </w:pPr>
    </w:p>
    <w:p w14:paraId="02E93A9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spacing w:val="-6"/>
          <w:kern w:val="0"/>
          <w:sz w:val="44"/>
          <w:szCs w:val="44"/>
          <w:shd w:val="clear" w:color="auto" w:fill="FFFFFF"/>
          <w:lang w:bidi="ar"/>
        </w:rPr>
      </w:pPr>
      <w:r>
        <w:rPr>
          <w:rFonts w:hint="eastAsia" w:ascii="方正小标宋简体" w:hAnsi="方正小标宋简体" w:eastAsia="方正小标宋简体" w:cs="方正小标宋简体"/>
          <w:color w:val="000000"/>
          <w:spacing w:val="-6"/>
          <w:kern w:val="0"/>
          <w:sz w:val="44"/>
          <w:szCs w:val="44"/>
          <w:shd w:val="clear" w:color="auto" w:fill="FFFFFF"/>
          <w:lang w:eastAsia="zh-CN" w:bidi="ar"/>
        </w:rPr>
        <w:t>关于</w:t>
      </w:r>
      <w:r>
        <w:rPr>
          <w:rFonts w:hint="eastAsia" w:ascii="方正小标宋简体" w:hAnsi="方正小标宋简体" w:eastAsia="方正小标宋简体" w:cs="方正小标宋简体"/>
          <w:color w:val="000000"/>
          <w:spacing w:val="-6"/>
          <w:kern w:val="0"/>
          <w:sz w:val="44"/>
          <w:szCs w:val="44"/>
          <w:shd w:val="clear" w:color="auto" w:fill="FFFFFF"/>
          <w:lang w:bidi="ar"/>
        </w:rPr>
        <w:t>韶关市武江区202</w:t>
      </w:r>
      <w:r>
        <w:rPr>
          <w:rFonts w:hint="eastAsia" w:ascii="方正小标宋简体" w:hAnsi="方正小标宋简体" w:eastAsia="方正小标宋简体" w:cs="方正小标宋简体"/>
          <w:color w:val="000000"/>
          <w:spacing w:val="-6"/>
          <w:kern w:val="0"/>
          <w:sz w:val="44"/>
          <w:szCs w:val="44"/>
          <w:shd w:val="clear" w:color="auto" w:fill="FFFFFF"/>
          <w:lang w:val="en-US" w:eastAsia="zh-CN" w:bidi="ar"/>
        </w:rPr>
        <w:t>4</w:t>
      </w:r>
      <w:r>
        <w:rPr>
          <w:rFonts w:hint="eastAsia" w:ascii="方正小标宋简体" w:hAnsi="方正小标宋简体" w:eastAsia="方正小标宋简体" w:cs="方正小标宋简体"/>
          <w:color w:val="000000"/>
          <w:spacing w:val="-6"/>
          <w:kern w:val="0"/>
          <w:sz w:val="44"/>
          <w:szCs w:val="44"/>
          <w:shd w:val="clear" w:color="auto" w:fill="FFFFFF"/>
          <w:lang w:bidi="ar"/>
        </w:rPr>
        <w:t>年度第</w:t>
      </w:r>
      <w:r>
        <w:rPr>
          <w:rFonts w:hint="eastAsia" w:ascii="方正小标宋简体" w:hAnsi="方正小标宋简体" w:eastAsia="方正小标宋简体" w:cs="方正小标宋简体"/>
          <w:color w:val="000000"/>
          <w:spacing w:val="-6"/>
          <w:kern w:val="0"/>
          <w:sz w:val="44"/>
          <w:szCs w:val="44"/>
          <w:shd w:val="clear" w:color="auto" w:fill="FFFFFF"/>
          <w:lang w:eastAsia="zh-CN" w:bidi="ar"/>
        </w:rPr>
        <w:t>十三</w:t>
      </w:r>
      <w:r>
        <w:rPr>
          <w:rFonts w:hint="eastAsia" w:ascii="方正小标宋简体" w:hAnsi="方正小标宋简体" w:eastAsia="方正小标宋简体" w:cs="方正小标宋简体"/>
          <w:color w:val="000000"/>
          <w:spacing w:val="-6"/>
          <w:kern w:val="0"/>
          <w:sz w:val="44"/>
          <w:szCs w:val="44"/>
          <w:shd w:val="clear" w:color="auto" w:fill="FFFFFF"/>
          <w:lang w:bidi="ar"/>
        </w:rPr>
        <w:t>批次城镇</w:t>
      </w:r>
    </w:p>
    <w:p w14:paraId="17ED445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color w:val="000000"/>
          <w:spacing w:val="-6"/>
          <w:kern w:val="0"/>
          <w:sz w:val="44"/>
          <w:szCs w:val="44"/>
          <w:shd w:val="clear" w:color="auto" w:fill="FFFFFF"/>
          <w:lang w:bidi="ar"/>
        </w:rPr>
      </w:pPr>
      <w:r>
        <w:rPr>
          <w:rFonts w:hint="eastAsia" w:ascii="方正小标宋简体" w:hAnsi="方正小标宋简体" w:eastAsia="方正小标宋简体" w:cs="方正小标宋简体"/>
          <w:color w:val="000000"/>
          <w:spacing w:val="-6"/>
          <w:kern w:val="0"/>
          <w:sz w:val="44"/>
          <w:szCs w:val="44"/>
          <w:shd w:val="clear" w:color="auto" w:fill="FFFFFF"/>
          <w:lang w:bidi="ar"/>
        </w:rPr>
        <w:t>建设用地项目被征地农民养老保障方案</w:t>
      </w:r>
    </w:p>
    <w:p w14:paraId="16115325">
      <w:pPr>
        <w:pStyle w:val="2"/>
        <w:keepNext w:val="0"/>
        <w:keepLines w:val="0"/>
        <w:pageBreakBefore w:val="0"/>
        <w:wordWrap/>
        <w:overflowPunct/>
        <w:topLinePunct w:val="0"/>
        <w:bidi w:val="0"/>
        <w:spacing w:line="560" w:lineRule="exact"/>
        <w:ind w:firstLine="480"/>
        <w:rPr>
          <w:lang w:bidi="ar"/>
        </w:rPr>
      </w:pPr>
    </w:p>
    <w:p w14:paraId="74114E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依照《中华人民共和国土地管理法》、《关于切实做好被征地农民社会保障工作有关问题的通知》（劳社部发〔2007〕14号）、《广东省人民政府办公厅转发省人力资源社会保障厅关于进一步完善我省被征地农民养老保障政策意见的通知》（粤府办〔2021〕22号）和《韶关市人民政府办公室关于进一步明确韶关市被征地农民养老保障工作的通知》（韶府办发函〔2021〕179号）等有关规定精神，拟定韶关市武江区2024年度第十三批次城镇建设用地项目被征地农民养老保障方案如下：</w:t>
      </w:r>
    </w:p>
    <w:p w14:paraId="266861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一、对韶关市武江区2024年度第十三批次城镇建设用地项目涉及的被征地农民实施社会养老保障。</w:t>
      </w:r>
    </w:p>
    <w:p w14:paraId="7166E5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二、纳入本次被征地农民养老保障的对象人数。韶关市武江区2024年度第十三批次城镇建设用地项目涉及应参加养老保障的被征地农民人数为32人，其中韶关市武江区西联镇甘棠股份经济联合社13人，韶关市武江区龙归镇龙归经济联合社19人，具体名单经村民（股东）大会或村民（股东）代表大会讨论，由村委会报镇人民政府核准，并公示5个工作日后，上报区人社部门审核确定。</w:t>
      </w:r>
    </w:p>
    <w:p w14:paraId="6AFB3C59">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三、费用标准。按粤府办〔2021〕22号</w:t>
      </w:r>
      <w:r>
        <w:rPr>
          <w:rFonts w:hint="eastAsia" w:ascii="仿宋_GB2312" w:hAnsi="仿宋_GB2312" w:eastAsia="仿宋_GB2312" w:cs="仿宋_GB2312"/>
          <w:color w:val="000000"/>
          <w:kern w:val="0"/>
          <w:sz w:val="32"/>
          <w:szCs w:val="32"/>
          <w:lang w:val="zh-CN"/>
        </w:rPr>
        <w:t>、</w:t>
      </w:r>
      <w:r>
        <w:rPr>
          <w:rFonts w:hint="eastAsia" w:ascii="仿宋_GB2312" w:hAnsi="仿宋_GB2312" w:eastAsia="仿宋_GB2312" w:cs="仿宋_GB2312"/>
          <w:color w:val="000000"/>
          <w:kern w:val="0"/>
          <w:sz w:val="32"/>
          <w:szCs w:val="32"/>
        </w:rPr>
        <w:t>韶府办发函〔2021〕179号</w:t>
      </w:r>
      <w:r>
        <w:rPr>
          <w:rFonts w:hint="eastAsia" w:ascii="仿宋_GB2312" w:hAnsi="仿宋_GB2312" w:eastAsia="仿宋_GB2312" w:cs="仿宋_GB2312"/>
          <w:color w:val="000000"/>
          <w:kern w:val="0"/>
          <w:sz w:val="32"/>
          <w:szCs w:val="32"/>
          <w:lang w:val="zh-CN"/>
        </w:rPr>
        <w:t>有关规定，</w:t>
      </w:r>
      <w:r>
        <w:rPr>
          <w:rFonts w:hint="eastAsia" w:ascii="仿宋_GB2312" w:hAnsi="仿宋_GB2312" w:eastAsia="仿宋_GB2312" w:cs="仿宋_GB2312"/>
          <w:color w:val="000000"/>
          <w:kern w:val="0"/>
          <w:sz w:val="32"/>
          <w:szCs w:val="32"/>
        </w:rPr>
        <w:t>被征地农民个人最低缴费标准为每人每月110元，缴费年限为15年，按个人最低缴费标准缴纳15年的被征地农民养老保障资金为1.98万元。</w:t>
      </w:r>
    </w:p>
    <w:p w14:paraId="79E86E58">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四、筹资办法。按粤府办〔2021〕22号</w:t>
      </w:r>
      <w:r>
        <w:rPr>
          <w:rFonts w:hint="eastAsia" w:ascii="仿宋_GB2312" w:hAnsi="仿宋_GB2312" w:eastAsia="仿宋_GB2312" w:cs="仿宋_GB2312"/>
          <w:color w:val="000000"/>
          <w:kern w:val="0"/>
          <w:sz w:val="32"/>
          <w:szCs w:val="32"/>
          <w:lang w:val="zh-CN"/>
        </w:rPr>
        <w:t>、</w:t>
      </w:r>
      <w:r>
        <w:rPr>
          <w:rFonts w:hint="eastAsia" w:ascii="仿宋_GB2312" w:hAnsi="仿宋_GB2312" w:eastAsia="仿宋_GB2312" w:cs="仿宋_GB2312"/>
          <w:color w:val="000000"/>
          <w:kern w:val="0"/>
          <w:sz w:val="32"/>
          <w:szCs w:val="32"/>
        </w:rPr>
        <w:t>韶府办发函〔2021〕179号</w:t>
      </w:r>
      <w:r>
        <w:rPr>
          <w:rFonts w:hint="eastAsia" w:ascii="仿宋_GB2312" w:hAnsi="仿宋_GB2312" w:eastAsia="仿宋_GB2312" w:cs="仿宋_GB2312"/>
          <w:color w:val="000000"/>
          <w:kern w:val="0"/>
          <w:sz w:val="32"/>
          <w:szCs w:val="32"/>
          <w:lang w:val="zh-CN"/>
        </w:rPr>
        <w:t>有关规定，</w:t>
      </w:r>
      <w:r>
        <w:rPr>
          <w:rFonts w:hint="eastAsia" w:ascii="仿宋_GB2312" w:hAnsi="仿宋_GB2312" w:eastAsia="仿宋_GB2312" w:cs="仿宋_GB2312"/>
          <w:color w:val="000000"/>
          <w:kern w:val="0"/>
          <w:sz w:val="32"/>
          <w:szCs w:val="32"/>
        </w:rPr>
        <w:t>单列计提的被征地农民养老保障资金列入征地成本。</w:t>
      </w:r>
    </w:p>
    <w:p w14:paraId="248CB84B">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23B9299B">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4183A0D8">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00AE5CB4">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1B6AE058">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157D2D75">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444FFFD5">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2AF91D3C">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3A73E775">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0171B3F8">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28A087A3">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4B2A84D3">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421E4E11">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0362B444">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kern w:val="0"/>
          <w:sz w:val="32"/>
          <w:szCs w:val="32"/>
        </w:rPr>
      </w:pPr>
    </w:p>
    <w:p w14:paraId="73609301">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kern w:val="0"/>
          <w:sz w:val="32"/>
          <w:szCs w:val="32"/>
        </w:rPr>
        <w:sectPr>
          <w:footerReference r:id="rId3" w:type="default"/>
          <w:pgSz w:w="11906" w:h="16838"/>
          <w:pgMar w:top="2098" w:right="1474" w:bottom="1984" w:left="1587" w:header="0" w:footer="992" w:gutter="0"/>
          <w:cols w:space="0" w:num="1"/>
          <w:rtlGutter w:val="0"/>
          <w:docGrid w:type="lines" w:linePitch="312" w:charSpace="0"/>
        </w:sectPr>
      </w:pPr>
    </w:p>
    <w:p w14:paraId="23C601A7">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附件3：</w:t>
      </w:r>
    </w:p>
    <w:p w14:paraId="1DC4EC9F">
      <w:pPr>
        <w:pStyle w:val="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868410" cy="6276340"/>
            <wp:effectExtent l="0" t="0" r="8890" b="10160"/>
            <wp:docPr id="1" name="图片 1" descr="附件3：韶关市武江区2024年度第十三批次城镇建设用地项目征收集体土地示意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3：韶关市武江区2024年度第十三批次城镇建设用地项目征收集体土地示意图_01"/>
                    <pic:cNvPicPr>
                      <a:picLocks noChangeAspect="1"/>
                    </pic:cNvPicPr>
                  </pic:nvPicPr>
                  <pic:blipFill>
                    <a:blip r:embed="rId5"/>
                    <a:stretch>
                      <a:fillRect/>
                    </a:stretch>
                  </pic:blipFill>
                  <pic:spPr>
                    <a:xfrm>
                      <a:off x="0" y="0"/>
                      <a:ext cx="8868410" cy="6276340"/>
                    </a:xfrm>
                    <a:prstGeom prst="rect">
                      <a:avLst/>
                    </a:prstGeom>
                  </pic:spPr>
                </pic:pic>
              </a:graphicData>
            </a:graphic>
          </wp:inline>
        </w:drawing>
      </w:r>
    </w:p>
    <w:sectPr>
      <w:pgSz w:w="16838" w:h="11906" w:orient="landscape"/>
      <w:pgMar w:top="567" w:right="1417" w:bottom="567" w:left="1417" w:header="0" w:footer="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DB0CAA-006C-4BBD-952F-A7B31313EA5E}"/>
  </w:font>
  <w:font w:name="黑体">
    <w:panose1 w:val="02010609060101010101"/>
    <w:charset w:val="86"/>
    <w:family w:val="auto"/>
    <w:pitch w:val="default"/>
    <w:sig w:usb0="800002BF" w:usb1="38CF7CFA" w:usb2="00000016" w:usb3="00000000" w:csb0="00040001" w:csb1="00000000"/>
    <w:embedRegular r:id="rId2" w:fontKey="{B65C933C-3B2F-4A81-B881-BAD8E231B6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54A632E-64D0-42F6-B9AB-CC0A84EFFEEA}"/>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4446A9A-1909-4740-A6BE-71375D2CEC7B}"/>
  </w:font>
  <w:font w:name="方正仿宋_GB2312">
    <w:panose1 w:val="02000000000000000000"/>
    <w:charset w:val="86"/>
    <w:family w:val="auto"/>
    <w:pitch w:val="default"/>
    <w:sig w:usb0="A00002BF" w:usb1="184F6CFA" w:usb2="00000012" w:usb3="00000000" w:csb0="00040001" w:csb1="00000000"/>
    <w:embedRegular r:id="rId5" w:fontKey="{A9C9033B-96D5-421F-8A70-E7ED4DA235EE}"/>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2E398">
    <w:pPr>
      <w:widowControl/>
      <w:kinsoku w:val="0"/>
      <w:autoSpaceDE w:val="0"/>
      <w:autoSpaceDN w:val="0"/>
      <w:adjustRightInd w:val="0"/>
      <w:snapToGrid w:val="0"/>
      <w:spacing w:line="184" w:lineRule="auto"/>
      <w:ind w:left="4167"/>
      <w:jc w:val="left"/>
      <w:textAlignment w:val="baseline"/>
      <w:rPr>
        <w:rFonts w:ascii="Times New Roman" w:hAnsi="Times New Roman" w:eastAsia="Times New Roman" w:cs="Times New Roman"/>
        <w:snapToGrid w:val="0"/>
        <w:color w:val="000000"/>
        <w:kern w:val="0"/>
        <w:sz w:val="20"/>
        <w:szCs w:val="20"/>
        <w:lang w:eastAsia="en-US"/>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4317D6"/>
    <w:rsid w:val="000F41D4"/>
    <w:rsid w:val="002440C1"/>
    <w:rsid w:val="003F6CD4"/>
    <w:rsid w:val="00403786"/>
    <w:rsid w:val="00502E77"/>
    <w:rsid w:val="00533838"/>
    <w:rsid w:val="00B76D08"/>
    <w:rsid w:val="00DB4902"/>
    <w:rsid w:val="00E5263E"/>
    <w:rsid w:val="00F82297"/>
    <w:rsid w:val="00FE2D76"/>
    <w:rsid w:val="010112A6"/>
    <w:rsid w:val="052B4B9F"/>
    <w:rsid w:val="067673A1"/>
    <w:rsid w:val="0681360C"/>
    <w:rsid w:val="07DE0A1A"/>
    <w:rsid w:val="0A8A62E7"/>
    <w:rsid w:val="0B650ECF"/>
    <w:rsid w:val="0C104906"/>
    <w:rsid w:val="0C2A0562"/>
    <w:rsid w:val="0EF600FC"/>
    <w:rsid w:val="1032561E"/>
    <w:rsid w:val="12CE66A5"/>
    <w:rsid w:val="16737824"/>
    <w:rsid w:val="17B85436"/>
    <w:rsid w:val="19115075"/>
    <w:rsid w:val="1A965FAB"/>
    <w:rsid w:val="1AA1259A"/>
    <w:rsid w:val="1B172397"/>
    <w:rsid w:val="1C01254B"/>
    <w:rsid w:val="20A97693"/>
    <w:rsid w:val="24136D91"/>
    <w:rsid w:val="27DB3EDB"/>
    <w:rsid w:val="296D080F"/>
    <w:rsid w:val="2A1F7F8A"/>
    <w:rsid w:val="2B8C00D9"/>
    <w:rsid w:val="2C0C56AE"/>
    <w:rsid w:val="2CEF46B1"/>
    <w:rsid w:val="2E6A304B"/>
    <w:rsid w:val="30C05739"/>
    <w:rsid w:val="334317D6"/>
    <w:rsid w:val="37C31E3D"/>
    <w:rsid w:val="37EB2618"/>
    <w:rsid w:val="380A439A"/>
    <w:rsid w:val="3D03433F"/>
    <w:rsid w:val="3D110AF3"/>
    <w:rsid w:val="3E2D11FE"/>
    <w:rsid w:val="3E314D55"/>
    <w:rsid w:val="3E41293C"/>
    <w:rsid w:val="439C3BDF"/>
    <w:rsid w:val="47E36768"/>
    <w:rsid w:val="48CA2830"/>
    <w:rsid w:val="4A665F5D"/>
    <w:rsid w:val="4B736055"/>
    <w:rsid w:val="50DB426C"/>
    <w:rsid w:val="53A53734"/>
    <w:rsid w:val="56AB1DB4"/>
    <w:rsid w:val="59A3703C"/>
    <w:rsid w:val="5C9654EB"/>
    <w:rsid w:val="5CB93F45"/>
    <w:rsid w:val="5CDD7E4A"/>
    <w:rsid w:val="5D2C6486"/>
    <w:rsid w:val="60927BD3"/>
    <w:rsid w:val="628804BA"/>
    <w:rsid w:val="67EF18AB"/>
    <w:rsid w:val="6A321B93"/>
    <w:rsid w:val="6C125262"/>
    <w:rsid w:val="6D6E7132"/>
    <w:rsid w:val="6D807862"/>
    <w:rsid w:val="6DFF37F8"/>
    <w:rsid w:val="6E6702D9"/>
    <w:rsid w:val="71681BBD"/>
    <w:rsid w:val="72390D3B"/>
    <w:rsid w:val="74786307"/>
    <w:rsid w:val="754E64E9"/>
    <w:rsid w:val="77C67389"/>
    <w:rsid w:val="7B07552E"/>
    <w:rsid w:val="7B824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widowControl w:val="0"/>
      <w:ind w:firstLine="420" w:firstLineChars="200"/>
    </w:pPr>
    <w:rPr>
      <w:sz w:val="24"/>
    </w:r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footer"/>
    <w:basedOn w:val="1"/>
    <w:link w:val="8"/>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页脚 字符"/>
    <w:basedOn w:val="7"/>
    <w:link w:val="4"/>
    <w:qFormat/>
    <w:uiPriority w:val="0"/>
    <w:rPr>
      <w:kern w:val="2"/>
      <w:sz w:val="18"/>
      <w:szCs w:val="18"/>
    </w:rPr>
  </w:style>
  <w:style w:type="paragraph" w:customStyle="1" w:styleId="9">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中国微软</Company>
  <Pages>12</Pages>
  <Words>3723</Words>
  <Characters>4599</Characters>
  <Lines>17</Lines>
  <Paragraphs>4</Paragraphs>
  <TotalTime>2</TotalTime>
  <ScaleCrop>false</ScaleCrop>
  <LinksUpToDate>false</LinksUpToDate>
  <CharactersWithSpaces>4620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2025-01-06T03:32:00Z</dcterms:created>
  <dc:creator>汳。</dc:creator>
  <cp:lastModifiedBy>李健</cp:lastModifiedBy>
  <dcterms:modified xsi:type="dcterms:W3CDTF">2026-02-24T03:54:26Z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5A4B567757204EDCA278E786F045097B_13</vt:lpwstr>
  </property>
  <property fmtid="{D5CDD505-2E9C-101B-9397-08002B2CF9AE}" pid="4" name="KSOTemplateDocerSaveRecord">
    <vt:lpwstr>eyJoZGlkIjoiZGZhOTZhNmI5ZjBjM2M5MTBiZGY4OGNmM2U0ZDA1YjUiLCJ1c2VySWQiOiI3MTIxMzczNzAifQ==</vt:lpwstr>
  </property>
</Properties>
</file>