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570563">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187E3AB4">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5E13A6C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00BB71E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57BE567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3021"/>
        <w:textAlignment w:val="baseline"/>
      </w:pPr>
      <w:r>
        <w:rPr>
          <w:spacing w:val="5"/>
        </w:rPr>
        <w:t>韶武府办〔2022〕6</w:t>
      </w:r>
      <w:r>
        <w:rPr>
          <w:spacing w:val="-47"/>
        </w:rPr>
        <w:t xml:space="preserve"> </w:t>
      </w:r>
      <w:r>
        <w:rPr>
          <w:spacing w:val="5"/>
        </w:rPr>
        <w:t>号</w:t>
      </w:r>
    </w:p>
    <w:p w14:paraId="23AD62C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2A7A20DD">
      <w:pPr>
        <w:keepNext w:val="0"/>
        <w:keepLines w:val="0"/>
        <w:pageBreakBefore w:val="0"/>
        <w:widowControl/>
        <w:kinsoku w:val="0"/>
        <w:wordWrap/>
        <w:overflowPunct/>
        <w:topLinePunct w:val="0"/>
        <w:autoSpaceDE w:val="0"/>
        <w:autoSpaceDN w:val="0"/>
        <w:bidi w:val="0"/>
        <w:adjustRightInd w:val="0"/>
        <w:snapToGrid w:val="0"/>
        <w:spacing w:line="560" w:lineRule="exact"/>
        <w:ind w:left="1046"/>
        <w:textAlignment w:val="baseline"/>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9"/>
          <w:sz w:val="43"/>
          <w:szCs w:val="43"/>
        </w:rPr>
        <w:t>关于印发韶关市武江区市场监管体系</w:t>
      </w:r>
    </w:p>
    <w:p w14:paraId="0A9DB4BD">
      <w:pPr>
        <w:keepNext w:val="0"/>
        <w:keepLines w:val="0"/>
        <w:pageBreakBefore w:val="0"/>
        <w:widowControl/>
        <w:kinsoku w:val="0"/>
        <w:wordWrap/>
        <w:overflowPunct/>
        <w:topLinePunct w:val="0"/>
        <w:autoSpaceDE w:val="0"/>
        <w:autoSpaceDN w:val="0"/>
        <w:bidi w:val="0"/>
        <w:adjustRightInd w:val="0"/>
        <w:snapToGrid w:val="0"/>
        <w:spacing w:line="560" w:lineRule="exact"/>
        <w:ind w:left="1948"/>
        <w:textAlignment w:val="baseline"/>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7"/>
          <w:sz w:val="43"/>
          <w:szCs w:val="43"/>
        </w:rPr>
        <w:t>“十四五”发展规划的通知</w:t>
      </w:r>
    </w:p>
    <w:p w14:paraId="1E6BB12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2244A3D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24109E2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49"/>
        <w:textAlignment w:val="baseline"/>
      </w:pPr>
      <w:r>
        <w:rPr>
          <w:spacing w:val="7"/>
        </w:rPr>
        <w:t>各镇人民政府、街道办事处，</w:t>
      </w:r>
      <w:r>
        <w:rPr>
          <w:spacing w:val="-92"/>
        </w:rPr>
        <w:t xml:space="preserve"> </w:t>
      </w:r>
      <w:r>
        <w:rPr>
          <w:spacing w:val="7"/>
        </w:rPr>
        <w:t>区府直属各部门及驻区有关单</w:t>
      </w:r>
      <w:r>
        <w:rPr>
          <w:spacing w:val="6"/>
        </w:rPr>
        <w:t>位：</w:t>
      </w:r>
    </w:p>
    <w:p w14:paraId="158DB18D">
      <w:pPr>
        <w:pStyle w:val="2"/>
        <w:keepNext w:val="0"/>
        <w:keepLines w:val="0"/>
        <w:pageBreakBefore w:val="0"/>
        <w:widowControl/>
        <w:tabs>
          <w:tab w:val="left" w:pos="9295"/>
        </w:tabs>
        <w:kinsoku w:val="0"/>
        <w:wordWrap/>
        <w:overflowPunct/>
        <w:topLinePunct w:val="0"/>
        <w:autoSpaceDE w:val="0"/>
        <w:autoSpaceDN w:val="0"/>
        <w:bidi w:val="0"/>
        <w:adjustRightInd w:val="0"/>
        <w:snapToGrid w:val="0"/>
        <w:spacing w:line="560" w:lineRule="exact"/>
        <w:ind w:left="150" w:firstLine="648"/>
        <w:jc w:val="both"/>
        <w:textAlignment w:val="baseline"/>
      </w:pPr>
      <w:r>
        <w:rPr>
          <w:spacing w:val="5"/>
        </w:rPr>
        <w:t>经区政府同意，现将《韶关市武江区市场监</w:t>
      </w:r>
      <w:r>
        <w:rPr>
          <w:spacing w:val="4"/>
        </w:rPr>
        <w:t>管体系“十四五”</w:t>
      </w:r>
      <w:r>
        <w:t xml:space="preserve"> </w:t>
      </w:r>
      <w:r>
        <w:rPr>
          <w:spacing w:val="5"/>
        </w:rPr>
        <w:t>发展规划》印发给你们，请认真组织实施。实施过程中遇到的问</w:t>
      </w:r>
      <w:r>
        <w:tab/>
      </w:r>
      <w:r>
        <w:t xml:space="preserve"> </w:t>
      </w:r>
      <w:r>
        <w:rPr>
          <w:spacing w:val="8"/>
        </w:rPr>
        <w:t>题，请径向区市场监督管理局反映。</w:t>
      </w:r>
    </w:p>
    <w:p w14:paraId="3F6C39A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76D9AA7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6249772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3F2260E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59AE63B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3C356F6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6524C05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4363"/>
        <w:textAlignment w:val="baseline"/>
      </w:pPr>
      <w:r>
        <w:rPr>
          <w:spacing w:val="8"/>
        </w:rPr>
        <w:t>韶关市武江区人民政府办公室</w:t>
      </w:r>
    </w:p>
    <w:p w14:paraId="77ECD84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5088"/>
        <w:textAlignment w:val="baseline"/>
      </w:pPr>
      <w:r>
        <w:rPr>
          <w:spacing w:val="-7"/>
        </w:rPr>
        <w:t>2022</w:t>
      </w:r>
      <w:r>
        <w:rPr>
          <w:spacing w:val="-56"/>
        </w:rPr>
        <w:t xml:space="preserve"> </w:t>
      </w:r>
      <w:r>
        <w:rPr>
          <w:spacing w:val="-7"/>
        </w:rPr>
        <w:t>年</w:t>
      </w:r>
      <w:r>
        <w:rPr>
          <w:spacing w:val="-41"/>
        </w:rPr>
        <w:t xml:space="preserve"> </w:t>
      </w:r>
      <w:r>
        <w:rPr>
          <w:spacing w:val="-7"/>
        </w:rPr>
        <w:t>11</w:t>
      </w:r>
      <w:r>
        <w:rPr>
          <w:spacing w:val="-44"/>
        </w:rPr>
        <w:t xml:space="preserve"> </w:t>
      </w:r>
      <w:r>
        <w:rPr>
          <w:spacing w:val="-7"/>
        </w:rPr>
        <w:t>月</w:t>
      </w:r>
      <w:r>
        <w:rPr>
          <w:spacing w:val="-43"/>
        </w:rPr>
        <w:t xml:space="preserve"> </w:t>
      </w:r>
      <w:r>
        <w:rPr>
          <w:spacing w:val="-7"/>
        </w:rPr>
        <w:t>15 日</w:t>
      </w:r>
    </w:p>
    <w:p w14:paraId="0877A4B3">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sectPr>
          <w:footerReference r:id="rId5" w:type="default"/>
          <w:pgSz w:w="11906" w:h="16839"/>
          <w:pgMar w:top="1431" w:right="1160" w:bottom="1784" w:left="1448" w:header="0" w:footer="1419" w:gutter="0"/>
          <w:cols w:space="720" w:num="1"/>
        </w:sectPr>
      </w:pPr>
    </w:p>
    <w:p w14:paraId="3244A3CC">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232A5B10">
      <w:pPr>
        <w:keepNext w:val="0"/>
        <w:keepLines w:val="0"/>
        <w:pageBreakBefore w:val="0"/>
        <w:widowControl/>
        <w:kinsoku w:val="0"/>
        <w:wordWrap/>
        <w:overflowPunct/>
        <w:topLinePunct w:val="0"/>
        <w:autoSpaceDE w:val="0"/>
        <w:autoSpaceDN w:val="0"/>
        <w:bidi w:val="0"/>
        <w:adjustRightInd w:val="0"/>
        <w:snapToGrid w:val="0"/>
        <w:spacing w:line="560" w:lineRule="exact"/>
        <w:ind w:left="8"/>
        <w:textAlignment w:val="baseline"/>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9"/>
          <w:sz w:val="43"/>
          <w:szCs w:val="43"/>
        </w:rPr>
        <w:t>韶关市武江区市场监管体系“十四五”发展规划</w:t>
      </w:r>
    </w:p>
    <w:p w14:paraId="538CA8C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39133B6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73"/>
        <w:jc w:val="both"/>
        <w:textAlignment w:val="baseline"/>
      </w:pPr>
      <w:r>
        <w:rPr>
          <w:spacing w:val="4"/>
        </w:rPr>
        <w:t>“十四五”时期是我国开启全面建设社会主义现代化国家新</w:t>
      </w:r>
      <w:r>
        <w:rPr>
          <w:spacing w:val="2"/>
        </w:rPr>
        <w:t xml:space="preserve"> </w:t>
      </w:r>
      <w:r>
        <w:rPr>
          <w:spacing w:val="5"/>
        </w:rPr>
        <w:t>征程的第一个五年，是广东奋力在全面建设社会主义现代化国家</w:t>
      </w:r>
      <w:r>
        <w:rPr>
          <w:spacing w:val="17"/>
        </w:rPr>
        <w:t xml:space="preserve"> </w:t>
      </w:r>
      <w:r>
        <w:rPr>
          <w:spacing w:val="5"/>
        </w:rPr>
        <w:t>新征程中走在全国前列、创造性的辉煌的第一个五年，是我市由</w:t>
      </w:r>
      <w:r>
        <w:rPr>
          <w:spacing w:val="17"/>
        </w:rPr>
        <w:t xml:space="preserve"> </w:t>
      </w:r>
      <w:r>
        <w:rPr>
          <w:spacing w:val="7"/>
        </w:rPr>
        <w:t xml:space="preserve">全面建成小康社会向基本实现社会主义现代化迈进的关键时期。 </w:t>
      </w:r>
      <w:r>
        <w:rPr>
          <w:spacing w:val="5"/>
        </w:rPr>
        <w:t>为精心设计“十四五”</w:t>
      </w:r>
      <w:r>
        <w:rPr>
          <w:spacing w:val="-92"/>
        </w:rPr>
        <w:t xml:space="preserve"> </w:t>
      </w:r>
      <w:r>
        <w:rPr>
          <w:spacing w:val="5"/>
        </w:rPr>
        <w:t>时期我区市场监管事业发展的宏伟蓝图，</w:t>
      </w:r>
      <w:r>
        <w:t xml:space="preserve"> </w:t>
      </w:r>
      <w:r>
        <w:rPr>
          <w:spacing w:val="5"/>
        </w:rPr>
        <w:t>着力优化营商环境、强化竞争政策、防范市场风险、保护消费者</w:t>
      </w:r>
      <w:r>
        <w:rPr>
          <w:spacing w:val="17"/>
        </w:rPr>
        <w:t xml:space="preserve"> </w:t>
      </w:r>
      <w:r>
        <w:rPr>
          <w:spacing w:val="6"/>
        </w:rPr>
        <w:t>权益、推动高质量发展，不断增强人民群众获</w:t>
      </w:r>
      <w:r>
        <w:rPr>
          <w:spacing w:val="5"/>
        </w:rPr>
        <w:t>得感、幸福感、安</w:t>
      </w:r>
      <w:r>
        <w:t xml:space="preserve"> </w:t>
      </w:r>
      <w:r>
        <w:rPr>
          <w:spacing w:val="5"/>
        </w:rPr>
        <w:t>全感，保持经济持续健康发展和社会大局稳定，开启全面建设社</w:t>
      </w:r>
      <w:r>
        <w:rPr>
          <w:spacing w:val="17"/>
        </w:rPr>
        <w:t xml:space="preserve"> </w:t>
      </w:r>
      <w:r>
        <w:rPr>
          <w:spacing w:val="9"/>
        </w:rPr>
        <w:t>会主义现代化新征程，编制本规划。</w:t>
      </w:r>
    </w:p>
    <w:p w14:paraId="779056E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4E631838">
      <w:pPr>
        <w:keepNext w:val="0"/>
        <w:keepLines w:val="0"/>
        <w:pageBreakBefore w:val="0"/>
        <w:widowControl/>
        <w:kinsoku w:val="0"/>
        <w:wordWrap/>
        <w:overflowPunct/>
        <w:topLinePunct w:val="0"/>
        <w:autoSpaceDE w:val="0"/>
        <w:autoSpaceDN w:val="0"/>
        <w:bidi w:val="0"/>
        <w:adjustRightInd w:val="0"/>
        <w:snapToGrid w:val="0"/>
        <w:spacing w:line="560" w:lineRule="exact"/>
        <w:ind w:left="3157"/>
        <w:textAlignment w:val="baseline"/>
        <w:outlineLvl w:val="0"/>
        <w:rPr>
          <w:rFonts w:ascii="黑体" w:hAnsi="黑体" w:eastAsia="黑体" w:cs="黑体"/>
          <w:sz w:val="31"/>
          <w:szCs w:val="31"/>
        </w:rPr>
      </w:pPr>
      <w:r>
        <w:rPr>
          <w:rFonts w:ascii="黑体" w:hAnsi="黑体" w:eastAsia="黑体" w:cs="黑体"/>
          <w:spacing w:val="4"/>
          <w:sz w:val="31"/>
          <w:szCs w:val="31"/>
        </w:rPr>
        <w:t>第一章</w:t>
      </w:r>
      <w:r>
        <w:rPr>
          <w:rFonts w:ascii="黑体" w:hAnsi="黑体" w:eastAsia="黑体" w:cs="黑体"/>
          <w:spacing w:val="15"/>
          <w:sz w:val="31"/>
          <w:szCs w:val="31"/>
        </w:rPr>
        <w:t xml:space="preserve">  </w:t>
      </w:r>
      <w:r>
        <w:rPr>
          <w:rFonts w:ascii="黑体" w:hAnsi="黑体" w:eastAsia="黑体" w:cs="黑体"/>
          <w:spacing w:val="4"/>
          <w:sz w:val="31"/>
          <w:szCs w:val="31"/>
        </w:rPr>
        <w:t>总体要求</w:t>
      </w:r>
    </w:p>
    <w:p w14:paraId="51DF98D1">
      <w:pPr>
        <w:keepNext w:val="0"/>
        <w:keepLines w:val="0"/>
        <w:pageBreakBefore w:val="0"/>
        <w:widowControl/>
        <w:kinsoku w:val="0"/>
        <w:wordWrap/>
        <w:overflowPunct/>
        <w:topLinePunct w:val="0"/>
        <w:autoSpaceDE w:val="0"/>
        <w:autoSpaceDN w:val="0"/>
        <w:bidi w:val="0"/>
        <w:adjustRightInd w:val="0"/>
        <w:snapToGrid w:val="0"/>
        <w:spacing w:line="560" w:lineRule="exact"/>
        <w:ind w:left="3155"/>
        <w:textAlignment w:val="baseline"/>
        <w:outlineLvl w:val="1"/>
        <w:rPr>
          <w:rFonts w:ascii="KaiTi_GB2312" w:hAnsi="KaiTi_GB2312" w:eastAsia="KaiTi_GB2312" w:cs="KaiTi_GB2312"/>
          <w:sz w:val="31"/>
          <w:szCs w:val="31"/>
        </w:rPr>
      </w:pPr>
      <w:r>
        <w:rPr>
          <w:rFonts w:ascii="KaiTi_GB2312" w:hAnsi="KaiTi_GB2312" w:eastAsia="KaiTi_GB2312" w:cs="KaiTi_GB2312"/>
          <w:b/>
          <w:bCs/>
          <w:spacing w:val="4"/>
          <w:sz w:val="31"/>
          <w:szCs w:val="31"/>
        </w:rPr>
        <w:t>第一节</w:t>
      </w:r>
      <w:r>
        <w:rPr>
          <w:rFonts w:ascii="KaiTi_GB2312" w:hAnsi="KaiTi_GB2312" w:eastAsia="KaiTi_GB2312" w:cs="KaiTi_GB2312"/>
          <w:spacing w:val="4"/>
          <w:sz w:val="31"/>
          <w:szCs w:val="31"/>
        </w:rPr>
        <w:t xml:space="preserve">  </w:t>
      </w:r>
      <w:r>
        <w:rPr>
          <w:rFonts w:ascii="KaiTi_GB2312" w:hAnsi="KaiTi_GB2312" w:eastAsia="KaiTi_GB2312" w:cs="KaiTi_GB2312"/>
          <w:b/>
          <w:bCs/>
          <w:spacing w:val="4"/>
          <w:sz w:val="31"/>
          <w:szCs w:val="31"/>
        </w:rPr>
        <w:t>指导思想</w:t>
      </w:r>
    </w:p>
    <w:p w14:paraId="2B60DA5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7" w:right="7" w:firstLine="654"/>
        <w:jc w:val="both"/>
        <w:textAlignment w:val="baseline"/>
      </w:pPr>
      <w:r>
        <w:rPr>
          <w:spacing w:val="4"/>
        </w:rPr>
        <w:t>高举中国特色社会主义伟大旗帜，深入贯彻党的十九大、十</w:t>
      </w:r>
      <w:r>
        <w:rPr>
          <w:spacing w:val="14"/>
        </w:rPr>
        <w:t xml:space="preserve"> </w:t>
      </w:r>
      <w:r>
        <w:rPr>
          <w:spacing w:val="5"/>
        </w:rPr>
        <w:t>九届历次全会精神，坚持以习近平新时代中国特色社会主义思想</w:t>
      </w:r>
      <w:r>
        <w:rPr>
          <w:spacing w:val="10"/>
        </w:rPr>
        <w:t xml:space="preserve"> </w:t>
      </w:r>
      <w:r>
        <w:rPr>
          <w:spacing w:val="5"/>
        </w:rPr>
        <w:t>为指导，全面贯彻党的基本理论、基本路线、基本方略，深入贯</w:t>
      </w:r>
      <w:r>
        <w:rPr>
          <w:spacing w:val="12"/>
        </w:rPr>
        <w:t xml:space="preserve"> </w:t>
      </w:r>
      <w:r>
        <w:rPr>
          <w:spacing w:val="5"/>
        </w:rPr>
        <w:t>彻习近平总书记对广东系列重要讲话和重要指示批示精神，统筹</w:t>
      </w:r>
      <w:r>
        <w:rPr>
          <w:spacing w:val="10"/>
        </w:rPr>
        <w:t xml:space="preserve"> </w:t>
      </w:r>
      <w:r>
        <w:rPr>
          <w:spacing w:val="5"/>
        </w:rPr>
        <w:t>推进“五位一体”总体布局，协调推进“</w:t>
      </w:r>
      <w:r>
        <w:rPr>
          <w:spacing w:val="-105"/>
        </w:rPr>
        <w:t xml:space="preserve"> </w:t>
      </w:r>
      <w:r>
        <w:rPr>
          <w:spacing w:val="5"/>
        </w:rPr>
        <w:t>四个全面”战略布</w:t>
      </w:r>
      <w:r>
        <w:rPr>
          <w:spacing w:val="4"/>
        </w:rPr>
        <w:t>局，</w:t>
      </w:r>
      <w:r>
        <w:t xml:space="preserve"> </w:t>
      </w:r>
      <w:r>
        <w:rPr>
          <w:spacing w:val="5"/>
        </w:rPr>
        <w:t>立足新发展阶段，贯彻新发展理念，服务新发展格局，着力完善</w:t>
      </w:r>
      <w:r>
        <w:rPr>
          <w:spacing w:val="12"/>
        </w:rPr>
        <w:t xml:space="preserve"> </w:t>
      </w:r>
      <w:r>
        <w:rPr>
          <w:spacing w:val="5"/>
        </w:rPr>
        <w:t>市场准入基础性制度，着力维护市场公平竞争秩序，着力强化事</w:t>
      </w:r>
      <w:r>
        <w:rPr>
          <w:spacing w:val="10"/>
        </w:rPr>
        <w:t xml:space="preserve"> </w:t>
      </w:r>
      <w:r>
        <w:rPr>
          <w:spacing w:val="5"/>
        </w:rPr>
        <w:t>中事后监管长效机制，着力坚守安全底线、提升质量高线，深化</w:t>
      </w:r>
    </w:p>
    <w:p w14:paraId="64AA532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sectPr>
          <w:footerReference r:id="rId6" w:type="default"/>
          <w:pgSz w:w="11906" w:h="16839"/>
          <w:pgMar w:top="1431" w:right="1429" w:bottom="1784" w:left="1591" w:header="0" w:footer="1419" w:gutter="0"/>
          <w:cols w:space="720" w:num="1"/>
        </w:sectPr>
      </w:pPr>
    </w:p>
    <w:p w14:paraId="00C8FAC3">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05DAEEF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117AFB6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003AE1D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4" w:right="89" w:firstLine="38"/>
        <w:jc w:val="both"/>
        <w:textAlignment w:val="baseline"/>
      </w:pPr>
      <w:r>
        <w:rPr>
          <w:spacing w:val="4"/>
        </w:rPr>
        <w:t xml:space="preserve">改革不停步，对标最好、最优，以更高的效率，更优的服务，积 </w:t>
      </w:r>
      <w:r>
        <w:rPr>
          <w:spacing w:val="5"/>
        </w:rPr>
        <w:t>极探索新型服务模式，持续提升开办企业便利度，不断增强人民</w:t>
      </w:r>
      <w:r>
        <w:rPr>
          <w:spacing w:val="17"/>
        </w:rPr>
        <w:t xml:space="preserve"> </w:t>
      </w:r>
      <w:r>
        <w:rPr>
          <w:spacing w:val="5"/>
        </w:rPr>
        <w:t>群众的获得感和满意度，为武江致力打造与粤港澳大湾区接轨的</w:t>
      </w:r>
      <w:r>
        <w:rPr>
          <w:spacing w:val="15"/>
        </w:rPr>
        <w:t xml:space="preserve"> </w:t>
      </w:r>
      <w:r>
        <w:rPr>
          <w:spacing w:val="5"/>
        </w:rPr>
        <w:t>国际化、法治化营商环境，为建设韶关“双化双融”先行示范区</w:t>
      </w:r>
      <w:r>
        <w:rPr>
          <w:spacing w:val="15"/>
        </w:rPr>
        <w:t xml:space="preserve"> </w:t>
      </w:r>
      <w:r>
        <w:rPr>
          <w:spacing w:val="8"/>
        </w:rPr>
        <w:t>和高质量发展率先突破区作积极贡献。</w:t>
      </w:r>
    </w:p>
    <w:p w14:paraId="3179139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39F5D866">
      <w:pPr>
        <w:keepNext w:val="0"/>
        <w:keepLines w:val="0"/>
        <w:pageBreakBefore w:val="0"/>
        <w:widowControl/>
        <w:kinsoku w:val="0"/>
        <w:wordWrap/>
        <w:overflowPunct/>
        <w:topLinePunct w:val="0"/>
        <w:autoSpaceDE w:val="0"/>
        <w:autoSpaceDN w:val="0"/>
        <w:bidi w:val="0"/>
        <w:adjustRightInd w:val="0"/>
        <w:snapToGrid w:val="0"/>
        <w:spacing w:line="560" w:lineRule="exact"/>
        <w:ind w:left="3157"/>
        <w:textAlignment w:val="baseline"/>
        <w:rPr>
          <w:rFonts w:ascii="KaiTi_GB2312" w:hAnsi="KaiTi_GB2312" w:eastAsia="KaiTi_GB2312" w:cs="KaiTi_GB2312"/>
          <w:sz w:val="31"/>
          <w:szCs w:val="31"/>
        </w:rPr>
      </w:pPr>
      <w:r>
        <w:rPr>
          <w:rFonts w:ascii="KaiTi_GB2312" w:hAnsi="KaiTi_GB2312" w:eastAsia="KaiTi_GB2312" w:cs="KaiTi_GB2312"/>
          <w:b/>
          <w:bCs/>
          <w:spacing w:val="4"/>
          <w:sz w:val="31"/>
          <w:szCs w:val="31"/>
        </w:rPr>
        <w:t>第二节</w:t>
      </w:r>
      <w:r>
        <w:rPr>
          <w:rFonts w:ascii="KaiTi_GB2312" w:hAnsi="KaiTi_GB2312" w:eastAsia="KaiTi_GB2312" w:cs="KaiTi_GB2312"/>
          <w:spacing w:val="4"/>
          <w:sz w:val="31"/>
          <w:szCs w:val="31"/>
        </w:rPr>
        <w:t xml:space="preserve">  </w:t>
      </w:r>
      <w:r>
        <w:rPr>
          <w:rFonts w:ascii="KaiTi_GB2312" w:hAnsi="KaiTi_GB2312" w:eastAsia="KaiTi_GB2312" w:cs="KaiTi_GB2312"/>
          <w:b/>
          <w:bCs/>
          <w:spacing w:val="4"/>
          <w:sz w:val="31"/>
          <w:szCs w:val="31"/>
        </w:rPr>
        <w:t>基本原则</w:t>
      </w:r>
    </w:p>
    <w:p w14:paraId="564F10DF">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right"/>
        <w:textAlignment w:val="baseline"/>
        <w:outlineLvl w:val="1"/>
      </w:pPr>
      <w:r>
        <w:rPr>
          <w:spacing w:val="-4"/>
        </w:rPr>
        <w:t>“十四五”时期，全区市场监管事业发展必须</w:t>
      </w:r>
      <w:r>
        <w:rPr>
          <w:spacing w:val="-5"/>
        </w:rPr>
        <w:t>遵循以下原则。</w:t>
      </w:r>
    </w:p>
    <w:p w14:paraId="6A54010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8" w:right="25" w:firstLine="655"/>
        <w:textAlignment w:val="baseline"/>
        <w:outlineLvl w:val="1"/>
      </w:pPr>
      <w:r>
        <w:rPr>
          <w:b/>
          <w:bCs/>
          <w:spacing w:val="6"/>
        </w:rPr>
        <w:t>坚持党的全面领导。</w:t>
      </w:r>
      <w:r>
        <w:rPr>
          <w:spacing w:val="6"/>
        </w:rPr>
        <w:t>坚决维护习近平总书记党中央</w:t>
      </w:r>
      <w:r>
        <w:rPr>
          <w:spacing w:val="5"/>
        </w:rPr>
        <w:t>的核心、</w:t>
      </w:r>
      <w:r>
        <w:t xml:space="preserve"> </w:t>
      </w:r>
      <w:r>
        <w:rPr>
          <w:spacing w:val="5"/>
        </w:rPr>
        <w:t>全党的核心地位，坚决维护党中央权威和集中统一领导，把党的</w:t>
      </w:r>
    </w:p>
    <w:p w14:paraId="67357E2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6" w:right="89" w:hanging="7"/>
        <w:jc w:val="both"/>
        <w:textAlignment w:val="baseline"/>
      </w:pPr>
      <w:r>
        <w:rPr>
          <w:spacing w:val="6"/>
        </w:rPr>
        <w:t>领导贯穿市场监管事业发展全方面全过程，不断提</w:t>
      </w:r>
      <w:r>
        <w:rPr>
          <w:spacing w:val="5"/>
        </w:rPr>
        <w:t>高贯彻新发展</w:t>
      </w:r>
      <w:r>
        <w:t xml:space="preserve"> </w:t>
      </w:r>
      <w:r>
        <w:rPr>
          <w:spacing w:val="5"/>
        </w:rPr>
        <w:t>理念、构建新发展格局能力和水平，为市场监管助推高质量发展</w:t>
      </w:r>
      <w:r>
        <w:rPr>
          <w:spacing w:val="15"/>
        </w:rPr>
        <w:t xml:space="preserve"> </w:t>
      </w:r>
      <w:r>
        <w:rPr>
          <w:spacing w:val="7"/>
        </w:rPr>
        <w:t>提供根本保证。</w:t>
      </w:r>
    </w:p>
    <w:p w14:paraId="4BEA872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8" w:right="89" w:firstLine="655"/>
        <w:textAlignment w:val="baseline"/>
        <w:outlineLvl w:val="1"/>
      </w:pPr>
      <w:r>
        <w:rPr>
          <w:b/>
          <w:bCs/>
          <w:spacing w:val="3"/>
        </w:rPr>
        <w:t>坚持人民至上。</w:t>
      </w:r>
      <w:r>
        <w:rPr>
          <w:spacing w:val="3"/>
        </w:rPr>
        <w:t>坚持为了人民抓监管，将维护群众利益挺在</w:t>
      </w:r>
      <w:r>
        <w:rPr>
          <w:spacing w:val="17"/>
        </w:rPr>
        <w:t xml:space="preserve"> </w:t>
      </w:r>
      <w:r>
        <w:rPr>
          <w:spacing w:val="5"/>
        </w:rPr>
        <w:t>履职之首，毫不松懈坚守安全底线。坚持贴近人民抓监管，将群</w:t>
      </w:r>
    </w:p>
    <w:p w14:paraId="106F4E6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3" w:right="89" w:hanging="1"/>
        <w:jc w:val="both"/>
        <w:textAlignment w:val="baseline"/>
      </w:pPr>
      <w:r>
        <w:rPr>
          <w:spacing w:val="5"/>
        </w:rPr>
        <w:t>众信访、投诉、举报、舆情作为监管的风向标，将群众的难点作</w:t>
      </w:r>
      <w:r>
        <w:rPr>
          <w:spacing w:val="7"/>
        </w:rPr>
        <w:t xml:space="preserve"> </w:t>
      </w:r>
      <w:r>
        <w:rPr>
          <w:spacing w:val="5"/>
        </w:rPr>
        <w:t>为监管的重点。坚持依靠人民抓监管，引导社会共治，增强监管</w:t>
      </w:r>
      <w:r>
        <w:rPr>
          <w:spacing w:val="8"/>
        </w:rPr>
        <w:t xml:space="preserve"> 合力，让市场监管的成效不断满足人民群众的新期待。</w:t>
      </w:r>
    </w:p>
    <w:p w14:paraId="1BFB904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23" w:right="89" w:firstLine="640"/>
        <w:textAlignment w:val="baseline"/>
        <w:outlineLvl w:val="1"/>
      </w:pPr>
      <w:r>
        <w:rPr>
          <w:b/>
          <w:bCs/>
          <w:spacing w:val="3"/>
        </w:rPr>
        <w:t>坚持改革创新和市场导向。</w:t>
      </w:r>
      <w:r>
        <w:rPr>
          <w:spacing w:val="3"/>
        </w:rPr>
        <w:t>以更大的魄力在更高起点上推进</w:t>
      </w:r>
      <w:r>
        <w:rPr>
          <w:spacing w:val="1"/>
        </w:rPr>
        <w:t xml:space="preserve"> </w:t>
      </w:r>
      <w:r>
        <w:rPr>
          <w:spacing w:val="5"/>
        </w:rPr>
        <w:t>市场监管方式、机制改革创新，坚持顶层设计和发挥基层首</w:t>
      </w:r>
      <w:r>
        <w:rPr>
          <w:spacing w:val="4"/>
        </w:rPr>
        <w:t>创精</w:t>
      </w:r>
    </w:p>
    <w:p w14:paraId="5710D4D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2" w:right="89" w:firstLine="8"/>
        <w:textAlignment w:val="baseline"/>
      </w:pPr>
      <w:r>
        <w:rPr>
          <w:spacing w:val="5"/>
        </w:rPr>
        <w:t>神相结合，坚持用制度巩固改革成果，用改革牵引制度创新。充分发挥市场在资源配置中的决定性作用，更好发挥政府作用，密切感知市场，突出强化重点监管，及时研判市场趋势，主动顺应</w:t>
      </w:r>
      <w:r>
        <w:rPr>
          <w:spacing w:val="12"/>
        </w:rPr>
        <w:t xml:space="preserve"> </w:t>
      </w:r>
      <w:r>
        <w:rPr>
          <w:spacing w:val="8"/>
        </w:rPr>
        <w:t>市场需求，紧紧围绕市场端的获得感，加强制度供给。</w:t>
      </w:r>
    </w:p>
    <w:p w14:paraId="679F051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86" w:firstLine="658"/>
        <w:textAlignment w:val="baseline"/>
        <w:outlineLvl w:val="1"/>
      </w:pPr>
      <w:r>
        <w:rPr>
          <w:b/>
          <w:bCs/>
          <w:spacing w:val="3"/>
        </w:rPr>
        <w:t>坚持公平公正和系统监管。</w:t>
      </w:r>
      <w:r>
        <w:rPr>
          <w:spacing w:val="3"/>
        </w:rPr>
        <w:t>对各类市场主体一视同仁，依法</w:t>
      </w:r>
      <w:r>
        <w:rPr>
          <w:spacing w:val="1"/>
        </w:rPr>
        <w:t xml:space="preserve"> </w:t>
      </w:r>
      <w:r>
        <w:rPr>
          <w:spacing w:val="5"/>
        </w:rPr>
        <w:t>保护各类市场主体合法权益，确保权利公平、机会公平、规则公</w:t>
      </w:r>
    </w:p>
    <w:p w14:paraId="5276BF1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5" w:right="4" w:firstLine="3"/>
        <w:jc w:val="both"/>
        <w:textAlignment w:val="baseline"/>
      </w:pPr>
      <w:r>
        <w:rPr>
          <w:spacing w:val="5"/>
        </w:rPr>
        <w:t>平。坚持前瞻性思考和整体性谋划相结合，统筹线上和线下、产</w:t>
      </w:r>
      <w:r>
        <w:rPr>
          <w:spacing w:val="7"/>
        </w:rPr>
        <w:t xml:space="preserve"> </w:t>
      </w:r>
      <w:r>
        <w:rPr>
          <w:spacing w:val="-3"/>
        </w:rPr>
        <w:t>品和服务、主体和行为等各类对象，协调政府和社会等各方力量，</w:t>
      </w:r>
      <w:r>
        <w:rPr>
          <w:spacing w:val="9"/>
        </w:rPr>
        <w:t xml:space="preserve"> 运用市场和行政等各种手段，全面提升市场监管综合效能。</w:t>
      </w:r>
    </w:p>
    <w:p w14:paraId="5A9B82B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0" w:firstLine="648"/>
        <w:textAlignment w:val="baseline"/>
        <w:outlineLvl w:val="1"/>
      </w:pPr>
      <w:r>
        <w:rPr>
          <w:b/>
          <w:bCs/>
          <w:spacing w:val="-6"/>
        </w:rPr>
        <w:t>坚持服务大局和推动发展。</w:t>
      </w:r>
      <w:r>
        <w:rPr>
          <w:spacing w:val="-6"/>
        </w:rPr>
        <w:t>坚持围绕国家和省、市重大战略，</w:t>
      </w:r>
      <w:r>
        <w:rPr>
          <w:spacing w:val="17"/>
        </w:rPr>
        <w:t xml:space="preserve"> </w:t>
      </w:r>
      <w:r>
        <w:rPr>
          <w:spacing w:val="6"/>
        </w:rPr>
        <w:t>把新发展理念贯穿市场监管全过程各领域，综合运用职能手段，</w:t>
      </w:r>
    </w:p>
    <w:p w14:paraId="1B2D7EB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5" w:right="86" w:firstLine="12"/>
        <w:jc w:val="both"/>
        <w:textAlignment w:val="baseline"/>
      </w:pPr>
      <w:r>
        <w:rPr>
          <w:spacing w:val="5"/>
        </w:rPr>
        <w:t>坚决落实质量强国、知识产权、食品安全和标准化战略，积极服</w:t>
      </w:r>
      <w:r>
        <w:t xml:space="preserve"> </w:t>
      </w:r>
      <w:r>
        <w:rPr>
          <w:spacing w:val="5"/>
        </w:rPr>
        <w:t>务创新驱动发展、区域协调发展、乡村振兴、扩大内需和对外开</w:t>
      </w:r>
      <w:r>
        <w:rPr>
          <w:spacing w:val="11"/>
        </w:rPr>
        <w:t xml:space="preserve"> </w:t>
      </w:r>
      <w:r>
        <w:rPr>
          <w:spacing w:val="6"/>
        </w:rPr>
        <w:t>放等重大战略。</w:t>
      </w:r>
    </w:p>
    <w:p w14:paraId="2BB2C60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7E58593C">
      <w:pPr>
        <w:keepNext w:val="0"/>
        <w:keepLines w:val="0"/>
        <w:pageBreakBefore w:val="0"/>
        <w:widowControl/>
        <w:kinsoku w:val="0"/>
        <w:wordWrap/>
        <w:overflowPunct/>
        <w:topLinePunct w:val="0"/>
        <w:autoSpaceDE w:val="0"/>
        <w:autoSpaceDN w:val="0"/>
        <w:bidi w:val="0"/>
        <w:adjustRightInd w:val="0"/>
        <w:snapToGrid w:val="0"/>
        <w:spacing w:line="560" w:lineRule="exact"/>
        <w:ind w:left="3151"/>
        <w:textAlignment w:val="baseline"/>
        <w:outlineLvl w:val="1"/>
        <w:rPr>
          <w:rFonts w:ascii="KaiTi_GB2312" w:hAnsi="KaiTi_GB2312" w:eastAsia="KaiTi_GB2312" w:cs="KaiTi_GB2312"/>
          <w:sz w:val="31"/>
          <w:szCs w:val="31"/>
        </w:rPr>
      </w:pPr>
      <w:r>
        <w:rPr>
          <w:rFonts w:ascii="KaiTi_GB2312" w:hAnsi="KaiTi_GB2312" w:eastAsia="KaiTi_GB2312" w:cs="KaiTi_GB2312"/>
          <w:b/>
          <w:bCs/>
          <w:spacing w:val="4"/>
          <w:sz w:val="31"/>
          <w:szCs w:val="31"/>
        </w:rPr>
        <w:t>第三节</w:t>
      </w:r>
      <w:r>
        <w:rPr>
          <w:rFonts w:ascii="KaiTi_GB2312" w:hAnsi="KaiTi_GB2312" w:eastAsia="KaiTi_GB2312" w:cs="KaiTi_GB2312"/>
          <w:spacing w:val="4"/>
          <w:sz w:val="31"/>
          <w:szCs w:val="31"/>
        </w:rPr>
        <w:t xml:space="preserve">  </w:t>
      </w:r>
      <w:r>
        <w:rPr>
          <w:rFonts w:ascii="KaiTi_GB2312" w:hAnsi="KaiTi_GB2312" w:eastAsia="KaiTi_GB2312" w:cs="KaiTi_GB2312"/>
          <w:b/>
          <w:bCs/>
          <w:spacing w:val="4"/>
          <w:sz w:val="31"/>
          <w:szCs w:val="31"/>
        </w:rPr>
        <w:t>发展目标</w:t>
      </w:r>
    </w:p>
    <w:p w14:paraId="4A55AA0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3" w:right="36" w:firstLine="654"/>
        <w:jc w:val="both"/>
        <w:textAlignment w:val="baseline"/>
      </w:pPr>
      <w:r>
        <w:rPr>
          <w:spacing w:val="16"/>
        </w:rPr>
        <w:t>到2025年，全区市场监管体系和监管能力</w:t>
      </w:r>
      <w:r>
        <w:rPr>
          <w:spacing w:val="15"/>
        </w:rPr>
        <w:t>现代化进一步提</w:t>
      </w:r>
      <w:r>
        <w:t xml:space="preserve"> </w:t>
      </w:r>
      <w:r>
        <w:rPr>
          <w:spacing w:val="5"/>
        </w:rPr>
        <w:t>升，监管理念、监管手段、监管支撑、监管体制机制、监管格局</w:t>
      </w:r>
      <w:r>
        <w:rPr>
          <w:spacing w:val="10"/>
        </w:rPr>
        <w:t xml:space="preserve"> </w:t>
      </w:r>
      <w:r>
        <w:rPr>
          <w:spacing w:val="7"/>
        </w:rPr>
        <w:t>更加完善，市场化、法制化、国际化营商环境更加优化，产品、</w:t>
      </w:r>
      <w:r>
        <w:rPr>
          <w:spacing w:val="6"/>
        </w:rPr>
        <w:t xml:space="preserve"> </w:t>
      </w:r>
      <w:r>
        <w:rPr>
          <w:spacing w:val="5"/>
        </w:rPr>
        <w:t>工程和服务质量有效提升，知识产权创造、保护、运用能力持续</w:t>
      </w:r>
      <w:r>
        <w:rPr>
          <w:spacing w:val="12"/>
        </w:rPr>
        <w:t xml:space="preserve"> </w:t>
      </w:r>
      <w:r>
        <w:rPr>
          <w:spacing w:val="5"/>
        </w:rPr>
        <w:t>加强，消费者满意度全面提高，市场安全形势更加稳固，市场竞</w:t>
      </w:r>
      <w:r>
        <w:rPr>
          <w:spacing w:val="12"/>
        </w:rPr>
        <w:t xml:space="preserve"> </w:t>
      </w:r>
      <w:r>
        <w:rPr>
          <w:spacing w:val="7"/>
        </w:rPr>
        <w:t>争秩序更加规范。</w:t>
      </w:r>
    </w:p>
    <w:p w14:paraId="15CF82E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658"/>
        <w:textAlignment w:val="baseline"/>
      </w:pPr>
      <w:r>
        <w:rPr>
          <w:spacing w:val="4"/>
        </w:rPr>
        <w:t>市场准入更加便利。商事登记制度逐步完善，开办企业全流</w:t>
      </w:r>
    </w:p>
    <w:p w14:paraId="638E99D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sectPr>
          <w:footerReference r:id="rId7" w:type="default"/>
          <w:pgSz w:w="11906" w:h="16839"/>
          <w:pgMar w:top="1431" w:right="1387" w:bottom="1784" w:left="1595" w:header="0" w:footer="1419" w:gutter="0"/>
          <w:cols w:space="720" w:num="1"/>
        </w:sectPr>
      </w:pPr>
    </w:p>
    <w:p w14:paraId="77531AAC">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2BF9FBA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09C5D5A4">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03D768F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11"/>
        <w:jc w:val="both"/>
        <w:textAlignment w:val="baseline"/>
      </w:pPr>
      <w:r>
        <w:rPr>
          <w:spacing w:val="5"/>
        </w:rPr>
        <w:t>程便利度水平进一步提升，涉企经营许可精简，市场退出制度健</w:t>
      </w:r>
      <w:r>
        <w:rPr>
          <w:spacing w:val="6"/>
        </w:rPr>
        <w:t xml:space="preserve"> 全，市场主体活力充分释放。市场竞争更加公</w:t>
      </w:r>
      <w:r>
        <w:rPr>
          <w:spacing w:val="5"/>
        </w:rPr>
        <w:t>平。竞争政策基础</w:t>
      </w:r>
      <w:r>
        <w:t xml:space="preserve"> </w:t>
      </w:r>
      <w:r>
        <w:rPr>
          <w:spacing w:val="5"/>
        </w:rPr>
        <w:t>地位进一步强化，竞争机制基本完善，行政垄断和市场垄断有效</w:t>
      </w:r>
      <w:r>
        <w:rPr>
          <w:spacing w:val="17"/>
        </w:rPr>
        <w:t xml:space="preserve"> </w:t>
      </w:r>
      <w:r>
        <w:rPr>
          <w:spacing w:val="6"/>
        </w:rPr>
        <w:t>遏制，平台经济规范发展，竞争执法不断强化</w:t>
      </w:r>
      <w:r>
        <w:rPr>
          <w:spacing w:val="5"/>
        </w:rPr>
        <w:t>，公平开放透明的</w:t>
      </w:r>
      <w:r>
        <w:t xml:space="preserve"> </w:t>
      </w:r>
      <w:r>
        <w:rPr>
          <w:spacing w:val="5"/>
        </w:rPr>
        <w:t>市场环境逐步形成。消费环境更加放心。科学、理性、健康、绿</w:t>
      </w:r>
      <w:r>
        <w:rPr>
          <w:spacing w:val="17"/>
        </w:rPr>
        <w:t xml:space="preserve"> </w:t>
      </w:r>
      <w:r>
        <w:rPr>
          <w:spacing w:val="6"/>
        </w:rPr>
        <w:t>色的消费理念深入人心，消费维权机制不断健</w:t>
      </w:r>
      <w:r>
        <w:rPr>
          <w:spacing w:val="5"/>
        </w:rPr>
        <w:t>全，消费维权效能</w:t>
      </w:r>
      <w:r>
        <w:t xml:space="preserve"> </w:t>
      </w:r>
      <w:r>
        <w:rPr>
          <w:spacing w:val="7"/>
        </w:rPr>
        <w:t xml:space="preserve">明显提高，消费信心显著增强，安全放心的消费环境基本形成。 </w:t>
      </w:r>
      <w:r>
        <w:rPr>
          <w:spacing w:val="4"/>
        </w:rPr>
        <w:t>安全监管形势更加稳定。食品药品“</w:t>
      </w:r>
      <w:r>
        <w:rPr>
          <w:spacing w:val="-103"/>
        </w:rPr>
        <w:t xml:space="preserve"> </w:t>
      </w:r>
      <w:r>
        <w:rPr>
          <w:spacing w:val="4"/>
        </w:rPr>
        <w:t>四个最严”</w:t>
      </w:r>
      <w:r>
        <w:rPr>
          <w:spacing w:val="3"/>
        </w:rPr>
        <w:t>安全监管全面落</w:t>
      </w:r>
      <w:r>
        <w:t xml:space="preserve"> </w:t>
      </w:r>
      <w:r>
        <w:rPr>
          <w:spacing w:val="5"/>
        </w:rPr>
        <w:t>实，特种设备安全隐患有效遏制，重点工业产品质量安全风险有</w:t>
      </w:r>
      <w:r>
        <w:rPr>
          <w:spacing w:val="17"/>
        </w:rPr>
        <w:t xml:space="preserve"> </w:t>
      </w:r>
      <w:r>
        <w:rPr>
          <w:spacing w:val="5"/>
        </w:rPr>
        <w:t>效防范，安全监管力度不断加大，安全监管机制趋于健全，安全</w:t>
      </w:r>
      <w:r>
        <w:rPr>
          <w:spacing w:val="17"/>
        </w:rPr>
        <w:t xml:space="preserve"> </w:t>
      </w:r>
      <w:r>
        <w:rPr>
          <w:spacing w:val="6"/>
        </w:rPr>
        <w:t>监管能力明显增强，安全风险有效防范化解，</w:t>
      </w:r>
      <w:r>
        <w:rPr>
          <w:spacing w:val="5"/>
        </w:rPr>
        <w:t>不发生区域性、系</w:t>
      </w:r>
      <w:r>
        <w:t xml:space="preserve"> </w:t>
      </w:r>
      <w:r>
        <w:rPr>
          <w:spacing w:val="6"/>
        </w:rPr>
        <w:t>统性安全风险。质量供给更加</w:t>
      </w:r>
      <w:r>
        <w:rPr>
          <w:rFonts w:ascii="宋体" w:hAnsi="宋体" w:eastAsia="宋体" w:cs="宋体"/>
          <w:spacing w:val="6"/>
        </w:rPr>
        <w:t>高</w:t>
      </w:r>
      <w:r>
        <w:rPr>
          <w:spacing w:val="6"/>
        </w:rPr>
        <w:t>效。市场供给</w:t>
      </w:r>
      <w:r>
        <w:rPr>
          <w:spacing w:val="5"/>
        </w:rPr>
        <w:t>质量大幅提升，质</w:t>
      </w:r>
      <w:r>
        <w:t xml:space="preserve"> </w:t>
      </w:r>
      <w:r>
        <w:rPr>
          <w:spacing w:val="5"/>
        </w:rPr>
        <w:t>量基础进一步夯实，质量对提高全要素生产率和促进经济发展的</w:t>
      </w:r>
      <w:r>
        <w:rPr>
          <w:spacing w:val="17"/>
        </w:rPr>
        <w:t xml:space="preserve"> </w:t>
      </w:r>
      <w:r>
        <w:rPr>
          <w:spacing w:val="6"/>
        </w:rPr>
        <w:t>贡献进一步增强，形成一批质量效益一流的世</w:t>
      </w:r>
      <w:r>
        <w:rPr>
          <w:spacing w:val="5"/>
        </w:rPr>
        <w:t>界级产业集群。创</w:t>
      </w:r>
      <w:r>
        <w:t xml:space="preserve"> </w:t>
      </w:r>
      <w:r>
        <w:rPr>
          <w:spacing w:val="5"/>
        </w:rPr>
        <w:t>新发展动能更加强劲。知识产权保护机制更加完善，知识产权全</w:t>
      </w:r>
      <w:r>
        <w:rPr>
          <w:spacing w:val="17"/>
        </w:rPr>
        <w:t xml:space="preserve"> </w:t>
      </w:r>
      <w:r>
        <w:rPr>
          <w:spacing w:val="7"/>
        </w:rPr>
        <w:t xml:space="preserve">链条保护格局基本形成，关键核心领域自主知识产权取得突破， 知识产权创造运用效益大幅提高，知识产权服务水平逐步优化， </w:t>
      </w:r>
      <w:r>
        <w:rPr>
          <w:spacing w:val="5"/>
        </w:rPr>
        <w:t>创新创造活力充分激发。市场监管法治体系更加健全。完备的法</w:t>
      </w:r>
      <w:r>
        <w:rPr>
          <w:spacing w:val="17"/>
        </w:rPr>
        <w:t xml:space="preserve"> </w:t>
      </w:r>
      <w:r>
        <w:rPr>
          <w:spacing w:val="6"/>
        </w:rPr>
        <w:t>规体系、高效的法治实施体系、严密的法治监</w:t>
      </w:r>
      <w:r>
        <w:rPr>
          <w:spacing w:val="5"/>
        </w:rPr>
        <w:t>督体系、有力的法</w:t>
      </w:r>
      <w:r>
        <w:t xml:space="preserve"> </w:t>
      </w:r>
      <w:r>
        <w:rPr>
          <w:spacing w:val="5"/>
        </w:rPr>
        <w:t>治保障体系基本建成，法治市场监管建设成效明显，执法水平有</w:t>
      </w:r>
      <w:r>
        <w:rPr>
          <w:spacing w:val="17"/>
        </w:rPr>
        <w:t xml:space="preserve"> </w:t>
      </w:r>
      <w:r>
        <w:rPr>
          <w:spacing w:val="9"/>
        </w:rPr>
        <w:t>效提升，权力制约监督全面覆盖，依法行政能力普遍增强。</w:t>
      </w:r>
    </w:p>
    <w:p w14:paraId="3A2BE40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sectPr>
          <w:footerReference r:id="rId8" w:type="default"/>
          <w:pgSz w:w="11906" w:h="16839"/>
          <w:pgMar w:top="1431" w:right="1429" w:bottom="1784" w:left="1591" w:header="0" w:footer="1421" w:gutter="0"/>
          <w:cols w:space="720" w:num="1"/>
        </w:sectPr>
      </w:pPr>
    </w:p>
    <w:p w14:paraId="1F00C04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529408E1">
      <w:pPr>
        <w:keepNext w:val="0"/>
        <w:keepLines w:val="0"/>
        <w:pageBreakBefore w:val="0"/>
        <w:widowControl/>
        <w:kinsoku w:val="0"/>
        <w:wordWrap/>
        <w:overflowPunct/>
        <w:topLinePunct w:val="0"/>
        <w:autoSpaceDE w:val="0"/>
        <w:autoSpaceDN w:val="0"/>
        <w:bidi w:val="0"/>
        <w:adjustRightInd w:val="0"/>
        <w:snapToGrid w:val="0"/>
        <w:spacing w:line="560" w:lineRule="exact"/>
        <w:ind w:left="1360"/>
        <w:textAlignment w:val="baseline"/>
        <w:rPr>
          <w:rFonts w:ascii="方正小标宋简体" w:hAnsi="方正小标宋简体" w:eastAsia="方正小标宋简体" w:cs="方正小标宋简体"/>
          <w:sz w:val="31"/>
          <w:szCs w:val="31"/>
        </w:rPr>
      </w:pPr>
      <w:r>
        <w:rPr>
          <w:rFonts w:ascii="方正小标宋简体" w:hAnsi="方正小标宋简体" w:eastAsia="方正小标宋简体" w:cs="方正小标宋简体"/>
          <w:spacing w:val="9"/>
          <w:sz w:val="31"/>
          <w:szCs w:val="31"/>
        </w:rPr>
        <w:t>韶关市武江区市场监管体系</w:t>
      </w:r>
      <w:r>
        <w:rPr>
          <w:rFonts w:ascii="Times New Roman" w:hAnsi="Times New Roman" w:eastAsia="Times New Roman" w:cs="Times New Roman"/>
          <w:spacing w:val="9"/>
          <w:sz w:val="31"/>
          <w:szCs w:val="31"/>
        </w:rPr>
        <w:t>“</w:t>
      </w:r>
      <w:r>
        <w:rPr>
          <w:rFonts w:ascii="方正小标宋简体" w:hAnsi="方正小标宋简体" w:eastAsia="方正小标宋简体" w:cs="方正小标宋简体"/>
          <w:spacing w:val="9"/>
          <w:sz w:val="31"/>
          <w:szCs w:val="31"/>
        </w:rPr>
        <w:t>十四五</w:t>
      </w:r>
      <w:r>
        <w:rPr>
          <w:rFonts w:ascii="Times New Roman" w:hAnsi="Times New Roman" w:eastAsia="Times New Roman" w:cs="Times New Roman"/>
          <w:spacing w:val="9"/>
          <w:sz w:val="31"/>
          <w:szCs w:val="31"/>
        </w:rPr>
        <w:t>”</w:t>
      </w:r>
      <w:r>
        <w:rPr>
          <w:rFonts w:ascii="方正小标宋简体" w:hAnsi="方正小标宋简体" w:eastAsia="方正小标宋简体" w:cs="方正小标宋简体"/>
          <w:spacing w:val="9"/>
          <w:sz w:val="31"/>
          <w:szCs w:val="31"/>
        </w:rPr>
        <w:t>规划主要指标表</w:t>
      </w:r>
      <w:bookmarkStart w:id="2" w:name="_GoBack"/>
      <w:bookmarkEnd w:id="2"/>
    </w:p>
    <w:tbl>
      <w:tblPr>
        <w:tblStyle w:val="5"/>
        <w:tblW w:w="101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7"/>
        <w:gridCol w:w="720"/>
        <w:gridCol w:w="4483"/>
        <w:gridCol w:w="1004"/>
        <w:gridCol w:w="1094"/>
        <w:gridCol w:w="1323"/>
        <w:gridCol w:w="1073"/>
      </w:tblGrid>
      <w:tr w14:paraId="2ABB0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487" w:type="dxa"/>
            <w:vMerge w:val="restart"/>
            <w:tcBorders>
              <w:bottom w:val="nil"/>
            </w:tcBorders>
            <w:textDirection w:val="tbRlV"/>
            <w:vAlign w:val="top"/>
          </w:tcPr>
          <w:p w14:paraId="4167F5A6">
            <w:pPr>
              <w:keepNext w:val="0"/>
              <w:keepLines w:val="0"/>
              <w:pageBreakBefore w:val="0"/>
              <w:widowControl/>
              <w:kinsoku w:val="0"/>
              <w:wordWrap/>
              <w:overflowPunct/>
              <w:topLinePunct w:val="0"/>
              <w:autoSpaceDE w:val="0"/>
              <w:autoSpaceDN w:val="0"/>
              <w:bidi w:val="0"/>
              <w:adjustRightInd w:val="0"/>
              <w:snapToGrid w:val="0"/>
              <w:spacing w:line="560" w:lineRule="exact"/>
              <w:ind w:left="140"/>
              <w:textAlignment w:val="baseline"/>
              <w:rPr>
                <w:rFonts w:ascii="黑体" w:hAnsi="黑体" w:eastAsia="黑体" w:cs="黑体"/>
                <w:sz w:val="24"/>
                <w:szCs w:val="24"/>
              </w:rPr>
            </w:pPr>
            <w:r>
              <w:rPr>
                <w:rFonts w:ascii="黑体" w:hAnsi="黑体" w:eastAsia="黑体" w:cs="黑体"/>
                <w:spacing w:val="-1"/>
                <w:sz w:val="24"/>
                <w:szCs w:val="24"/>
              </w:rPr>
              <w:t>序</w:t>
            </w:r>
            <w:r>
              <w:rPr>
                <w:rFonts w:ascii="黑体" w:hAnsi="黑体" w:eastAsia="黑体" w:cs="黑体"/>
                <w:spacing w:val="61"/>
                <w:sz w:val="24"/>
                <w:szCs w:val="24"/>
              </w:rPr>
              <w:t xml:space="preserve"> </w:t>
            </w:r>
            <w:r>
              <w:rPr>
                <w:rFonts w:ascii="黑体" w:hAnsi="黑体" w:eastAsia="黑体" w:cs="黑体"/>
                <w:spacing w:val="-1"/>
                <w:sz w:val="24"/>
                <w:szCs w:val="24"/>
              </w:rPr>
              <w:t>号</w:t>
            </w:r>
          </w:p>
        </w:tc>
        <w:tc>
          <w:tcPr>
            <w:tcW w:w="720" w:type="dxa"/>
            <w:vMerge w:val="restart"/>
            <w:tcBorders>
              <w:bottom w:val="nil"/>
            </w:tcBorders>
            <w:vAlign w:val="top"/>
          </w:tcPr>
          <w:p w14:paraId="49B17E0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tc>
        <w:tc>
          <w:tcPr>
            <w:tcW w:w="4483" w:type="dxa"/>
            <w:vMerge w:val="restart"/>
            <w:tcBorders>
              <w:bottom w:val="nil"/>
            </w:tcBorders>
            <w:vAlign w:val="top"/>
          </w:tcPr>
          <w:p w14:paraId="109E3CB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32180D04">
            <w:pPr>
              <w:keepNext w:val="0"/>
              <w:keepLines w:val="0"/>
              <w:pageBreakBefore w:val="0"/>
              <w:widowControl/>
              <w:kinsoku w:val="0"/>
              <w:wordWrap/>
              <w:overflowPunct/>
              <w:topLinePunct w:val="0"/>
              <w:autoSpaceDE w:val="0"/>
              <w:autoSpaceDN w:val="0"/>
              <w:bidi w:val="0"/>
              <w:adjustRightInd w:val="0"/>
              <w:snapToGrid w:val="0"/>
              <w:spacing w:line="560" w:lineRule="exact"/>
              <w:ind w:left="1779"/>
              <w:textAlignment w:val="baseline"/>
              <w:rPr>
                <w:rFonts w:ascii="黑体" w:hAnsi="黑体" w:eastAsia="黑体" w:cs="黑体"/>
                <w:sz w:val="24"/>
                <w:szCs w:val="24"/>
              </w:rPr>
            </w:pPr>
            <w:r>
              <w:rPr>
                <w:rFonts w:ascii="黑体" w:hAnsi="黑体" w:eastAsia="黑体" w:cs="黑体"/>
                <w:spacing w:val="-6"/>
                <w:sz w:val="24"/>
                <w:szCs w:val="24"/>
              </w:rPr>
              <w:t>主要指标</w:t>
            </w:r>
          </w:p>
        </w:tc>
        <w:tc>
          <w:tcPr>
            <w:tcW w:w="1004" w:type="dxa"/>
            <w:vMerge w:val="restart"/>
            <w:tcBorders>
              <w:bottom w:val="nil"/>
            </w:tcBorders>
            <w:vAlign w:val="top"/>
          </w:tcPr>
          <w:p w14:paraId="2706B073">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603CF467">
            <w:pPr>
              <w:keepNext w:val="0"/>
              <w:keepLines w:val="0"/>
              <w:pageBreakBefore w:val="0"/>
              <w:widowControl/>
              <w:kinsoku w:val="0"/>
              <w:wordWrap/>
              <w:overflowPunct/>
              <w:topLinePunct w:val="0"/>
              <w:autoSpaceDE w:val="0"/>
              <w:autoSpaceDN w:val="0"/>
              <w:bidi w:val="0"/>
              <w:adjustRightInd w:val="0"/>
              <w:snapToGrid w:val="0"/>
              <w:spacing w:line="560" w:lineRule="exact"/>
              <w:ind w:left="275"/>
              <w:textAlignment w:val="baseline"/>
              <w:rPr>
                <w:rFonts w:ascii="黑体" w:hAnsi="黑体" w:eastAsia="黑体" w:cs="黑体"/>
                <w:sz w:val="24"/>
                <w:szCs w:val="24"/>
              </w:rPr>
            </w:pPr>
            <w:r>
              <w:rPr>
                <w:rFonts w:ascii="黑体" w:hAnsi="黑体" w:eastAsia="黑体" w:cs="黑体"/>
                <w:spacing w:val="-8"/>
                <w:sz w:val="24"/>
                <w:szCs w:val="24"/>
              </w:rPr>
              <w:t>单位</w:t>
            </w:r>
          </w:p>
        </w:tc>
        <w:tc>
          <w:tcPr>
            <w:tcW w:w="1094" w:type="dxa"/>
            <w:vAlign w:val="top"/>
          </w:tcPr>
          <w:p w14:paraId="5A9C3D0F">
            <w:pPr>
              <w:keepNext w:val="0"/>
              <w:keepLines w:val="0"/>
              <w:pageBreakBefore w:val="0"/>
              <w:widowControl/>
              <w:kinsoku w:val="0"/>
              <w:wordWrap/>
              <w:overflowPunct/>
              <w:topLinePunct w:val="0"/>
              <w:autoSpaceDE w:val="0"/>
              <w:autoSpaceDN w:val="0"/>
              <w:bidi w:val="0"/>
              <w:adjustRightInd w:val="0"/>
              <w:snapToGrid w:val="0"/>
              <w:spacing w:line="560" w:lineRule="exact"/>
              <w:ind w:left="195"/>
              <w:textAlignment w:val="baseline"/>
              <w:rPr>
                <w:rFonts w:ascii="黑体" w:hAnsi="黑体" w:eastAsia="黑体" w:cs="黑体"/>
                <w:sz w:val="24"/>
                <w:szCs w:val="24"/>
              </w:rPr>
            </w:pPr>
            <w:r>
              <w:rPr>
                <w:rFonts w:ascii="黑体" w:hAnsi="黑体" w:eastAsia="黑体" w:cs="黑体"/>
                <w:spacing w:val="-4"/>
                <w:sz w:val="24"/>
                <w:szCs w:val="24"/>
              </w:rPr>
              <w:t>基期值</w:t>
            </w:r>
          </w:p>
        </w:tc>
        <w:tc>
          <w:tcPr>
            <w:tcW w:w="1323" w:type="dxa"/>
            <w:vAlign w:val="top"/>
          </w:tcPr>
          <w:p w14:paraId="5C365B1C">
            <w:pPr>
              <w:keepNext w:val="0"/>
              <w:keepLines w:val="0"/>
              <w:pageBreakBefore w:val="0"/>
              <w:widowControl/>
              <w:kinsoku w:val="0"/>
              <w:wordWrap/>
              <w:overflowPunct/>
              <w:topLinePunct w:val="0"/>
              <w:autoSpaceDE w:val="0"/>
              <w:autoSpaceDN w:val="0"/>
              <w:bidi w:val="0"/>
              <w:adjustRightInd w:val="0"/>
              <w:snapToGrid w:val="0"/>
              <w:spacing w:line="560" w:lineRule="exact"/>
              <w:ind w:left="309"/>
              <w:textAlignment w:val="baseline"/>
              <w:rPr>
                <w:rFonts w:ascii="黑体" w:hAnsi="黑体" w:eastAsia="黑体" w:cs="黑体"/>
                <w:sz w:val="24"/>
                <w:szCs w:val="24"/>
              </w:rPr>
            </w:pPr>
            <w:r>
              <w:rPr>
                <w:rFonts w:ascii="黑体" w:hAnsi="黑体" w:eastAsia="黑体" w:cs="黑体"/>
                <w:spacing w:val="-4"/>
                <w:sz w:val="24"/>
                <w:szCs w:val="24"/>
              </w:rPr>
              <w:t>规划值</w:t>
            </w:r>
          </w:p>
        </w:tc>
        <w:tc>
          <w:tcPr>
            <w:tcW w:w="1073" w:type="dxa"/>
            <w:vMerge w:val="restart"/>
            <w:tcBorders>
              <w:bottom w:val="nil"/>
            </w:tcBorders>
            <w:vAlign w:val="top"/>
          </w:tcPr>
          <w:p w14:paraId="794EF9C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5C1795BB">
            <w:pPr>
              <w:keepNext w:val="0"/>
              <w:keepLines w:val="0"/>
              <w:pageBreakBefore w:val="0"/>
              <w:widowControl/>
              <w:kinsoku w:val="0"/>
              <w:wordWrap/>
              <w:overflowPunct/>
              <w:topLinePunct w:val="0"/>
              <w:autoSpaceDE w:val="0"/>
              <w:autoSpaceDN w:val="0"/>
              <w:bidi w:val="0"/>
              <w:adjustRightInd w:val="0"/>
              <w:snapToGrid w:val="0"/>
              <w:spacing w:line="560" w:lineRule="exact"/>
              <w:ind w:left="306"/>
              <w:textAlignment w:val="baseline"/>
              <w:rPr>
                <w:rFonts w:ascii="黑体" w:hAnsi="黑体" w:eastAsia="黑体" w:cs="黑体"/>
                <w:sz w:val="24"/>
                <w:szCs w:val="24"/>
              </w:rPr>
            </w:pPr>
            <w:r>
              <w:rPr>
                <w:rFonts w:ascii="黑体" w:hAnsi="黑体" w:eastAsia="黑体" w:cs="黑体"/>
                <w:spacing w:val="-7"/>
                <w:sz w:val="24"/>
                <w:szCs w:val="24"/>
              </w:rPr>
              <w:t>属性</w:t>
            </w:r>
          </w:p>
        </w:tc>
      </w:tr>
      <w:tr w14:paraId="6D787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487" w:type="dxa"/>
            <w:vMerge w:val="continue"/>
            <w:tcBorders>
              <w:top w:val="nil"/>
            </w:tcBorders>
            <w:textDirection w:val="tbRlV"/>
            <w:vAlign w:val="top"/>
          </w:tcPr>
          <w:p w14:paraId="2F3CFF64">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tc>
        <w:tc>
          <w:tcPr>
            <w:tcW w:w="720" w:type="dxa"/>
            <w:vMerge w:val="continue"/>
            <w:tcBorders>
              <w:top w:val="nil"/>
            </w:tcBorders>
            <w:vAlign w:val="top"/>
          </w:tcPr>
          <w:p w14:paraId="574B788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tc>
        <w:tc>
          <w:tcPr>
            <w:tcW w:w="4483" w:type="dxa"/>
            <w:vMerge w:val="continue"/>
            <w:tcBorders>
              <w:top w:val="nil"/>
            </w:tcBorders>
            <w:vAlign w:val="top"/>
          </w:tcPr>
          <w:p w14:paraId="47EA22E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tc>
        <w:tc>
          <w:tcPr>
            <w:tcW w:w="1004" w:type="dxa"/>
            <w:vMerge w:val="continue"/>
            <w:tcBorders>
              <w:top w:val="nil"/>
            </w:tcBorders>
            <w:vAlign w:val="top"/>
          </w:tcPr>
          <w:p w14:paraId="764EEABC">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tc>
        <w:tc>
          <w:tcPr>
            <w:tcW w:w="1094" w:type="dxa"/>
            <w:vAlign w:val="top"/>
          </w:tcPr>
          <w:p w14:paraId="70331170">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189"/>
              <w:textAlignment w:val="baseline"/>
            </w:pPr>
            <w:r>
              <w:rPr>
                <w:rFonts w:ascii="Times New Roman" w:hAnsi="Times New Roman" w:eastAsia="Times New Roman" w:cs="Times New Roman"/>
                <w:spacing w:val="-2"/>
                <w:position w:val="1"/>
              </w:rPr>
              <w:t>2020</w:t>
            </w:r>
            <w:r>
              <w:rPr>
                <w:spacing w:val="-2"/>
                <w:position w:val="1"/>
              </w:rPr>
              <w:t>年</w:t>
            </w:r>
          </w:p>
        </w:tc>
        <w:tc>
          <w:tcPr>
            <w:tcW w:w="1323" w:type="dxa"/>
            <w:vAlign w:val="top"/>
          </w:tcPr>
          <w:p w14:paraId="64B734A4">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304"/>
              <w:textAlignment w:val="baseline"/>
            </w:pPr>
            <w:r>
              <w:rPr>
                <w:rFonts w:ascii="Times New Roman" w:hAnsi="Times New Roman" w:eastAsia="Times New Roman" w:cs="Times New Roman"/>
                <w:spacing w:val="-2"/>
                <w:position w:val="1"/>
              </w:rPr>
              <w:t>2025</w:t>
            </w:r>
            <w:r>
              <w:rPr>
                <w:spacing w:val="-2"/>
                <w:position w:val="1"/>
              </w:rPr>
              <w:t>年</w:t>
            </w:r>
          </w:p>
        </w:tc>
        <w:tc>
          <w:tcPr>
            <w:tcW w:w="1073" w:type="dxa"/>
            <w:vMerge w:val="continue"/>
            <w:tcBorders>
              <w:top w:val="nil"/>
            </w:tcBorders>
            <w:vAlign w:val="top"/>
          </w:tcPr>
          <w:p w14:paraId="15CF7934">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tc>
      </w:tr>
      <w:tr w14:paraId="132A4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487" w:type="dxa"/>
            <w:vAlign w:val="top"/>
          </w:tcPr>
          <w:p w14:paraId="7EAEC990">
            <w:pPr>
              <w:keepNext w:val="0"/>
              <w:keepLines w:val="0"/>
              <w:pageBreakBefore w:val="0"/>
              <w:widowControl/>
              <w:kinsoku w:val="0"/>
              <w:wordWrap/>
              <w:overflowPunct/>
              <w:topLinePunct w:val="0"/>
              <w:autoSpaceDE w:val="0"/>
              <w:autoSpaceDN w:val="0"/>
              <w:bidi w:val="0"/>
              <w:adjustRightInd w:val="0"/>
              <w:snapToGrid w:val="0"/>
              <w:spacing w:line="560" w:lineRule="exact"/>
              <w:ind w:left="207"/>
              <w:textAlignment w:val="baseline"/>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1</w:t>
            </w:r>
          </w:p>
        </w:tc>
        <w:tc>
          <w:tcPr>
            <w:tcW w:w="720" w:type="dxa"/>
            <w:vMerge w:val="restart"/>
            <w:tcBorders>
              <w:bottom w:val="nil"/>
            </w:tcBorders>
            <w:vAlign w:val="top"/>
          </w:tcPr>
          <w:p w14:paraId="52CB3069">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118"/>
              <w:textAlignment w:val="baseline"/>
            </w:pPr>
            <w:r>
              <w:rPr>
                <w:spacing w:val="-2"/>
              </w:rPr>
              <w:t>创新</w:t>
            </w:r>
          </w:p>
          <w:p w14:paraId="469B196C">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124"/>
              <w:textAlignment w:val="baseline"/>
            </w:pPr>
            <w:r>
              <w:rPr>
                <w:spacing w:val="-5"/>
              </w:rPr>
              <w:t>发展</w:t>
            </w:r>
          </w:p>
        </w:tc>
        <w:tc>
          <w:tcPr>
            <w:tcW w:w="4483" w:type="dxa"/>
            <w:vAlign w:val="top"/>
          </w:tcPr>
          <w:p w14:paraId="20A4776F">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112"/>
              <w:textAlignment w:val="baseline"/>
            </w:pPr>
            <w:r>
              <w:rPr>
                <w:spacing w:val="-1"/>
              </w:rPr>
              <w:t>每万人口高价值发明专利拥有量</w:t>
            </w:r>
          </w:p>
        </w:tc>
        <w:tc>
          <w:tcPr>
            <w:tcW w:w="1004" w:type="dxa"/>
            <w:vAlign w:val="top"/>
          </w:tcPr>
          <w:p w14:paraId="40B096D9">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385"/>
              <w:textAlignment w:val="baseline"/>
            </w:pPr>
            <w:r>
              <w:t>件</w:t>
            </w:r>
          </w:p>
        </w:tc>
        <w:tc>
          <w:tcPr>
            <w:tcW w:w="1094" w:type="dxa"/>
            <w:vAlign w:val="top"/>
          </w:tcPr>
          <w:p w14:paraId="412E5519">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328"/>
              <w:textAlignment w:val="baseline"/>
            </w:pPr>
            <w:r>
              <w:rPr>
                <w:spacing w:val="-7"/>
              </w:rPr>
              <w:t>1.32</w:t>
            </w:r>
          </w:p>
        </w:tc>
        <w:tc>
          <w:tcPr>
            <w:tcW w:w="1323" w:type="dxa"/>
            <w:vAlign w:val="top"/>
          </w:tcPr>
          <w:p w14:paraId="24F26A09">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244"/>
              <w:textAlignment w:val="baseline"/>
            </w:pPr>
            <w:r>
              <w:rPr>
                <w:spacing w:val="-2"/>
              </w:rPr>
              <w:t>〔1.5〕</w:t>
            </w:r>
          </w:p>
        </w:tc>
        <w:tc>
          <w:tcPr>
            <w:tcW w:w="1073" w:type="dxa"/>
            <w:vAlign w:val="top"/>
          </w:tcPr>
          <w:p w14:paraId="19FEF1A4">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192"/>
              <w:textAlignment w:val="baseline"/>
            </w:pPr>
            <w:r>
              <w:rPr>
                <w:spacing w:val="-7"/>
              </w:rPr>
              <w:t>预期性</w:t>
            </w:r>
          </w:p>
        </w:tc>
      </w:tr>
      <w:tr w14:paraId="42691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487" w:type="dxa"/>
            <w:vAlign w:val="top"/>
          </w:tcPr>
          <w:p w14:paraId="724093BD">
            <w:pPr>
              <w:keepNext w:val="0"/>
              <w:keepLines w:val="0"/>
              <w:pageBreakBefore w:val="0"/>
              <w:widowControl/>
              <w:kinsoku w:val="0"/>
              <w:wordWrap/>
              <w:overflowPunct/>
              <w:topLinePunct w:val="0"/>
              <w:autoSpaceDE w:val="0"/>
              <w:autoSpaceDN w:val="0"/>
              <w:bidi w:val="0"/>
              <w:adjustRightInd w:val="0"/>
              <w:snapToGrid w:val="0"/>
              <w:spacing w:line="560" w:lineRule="exact"/>
              <w:ind w:left="184"/>
              <w:textAlignment w:val="baseline"/>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2</w:t>
            </w:r>
          </w:p>
        </w:tc>
        <w:tc>
          <w:tcPr>
            <w:tcW w:w="720" w:type="dxa"/>
            <w:vMerge w:val="continue"/>
            <w:tcBorders>
              <w:top w:val="nil"/>
            </w:tcBorders>
            <w:vAlign w:val="top"/>
          </w:tcPr>
          <w:p w14:paraId="03D7FE2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tc>
        <w:tc>
          <w:tcPr>
            <w:tcW w:w="4483" w:type="dxa"/>
            <w:vAlign w:val="top"/>
          </w:tcPr>
          <w:p w14:paraId="6A66D6D4">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115"/>
              <w:textAlignment w:val="baseline"/>
            </w:pPr>
            <w:r>
              <w:rPr>
                <w:spacing w:val="-2"/>
              </w:rPr>
              <w:t>知识产权质押融资金额</w:t>
            </w:r>
          </w:p>
        </w:tc>
        <w:tc>
          <w:tcPr>
            <w:tcW w:w="1004" w:type="dxa"/>
            <w:vAlign w:val="top"/>
          </w:tcPr>
          <w:p w14:paraId="3FB6A586">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281"/>
              <w:textAlignment w:val="baseline"/>
            </w:pPr>
            <w:r>
              <w:rPr>
                <w:spacing w:val="-12"/>
              </w:rPr>
              <w:t>万元</w:t>
            </w:r>
          </w:p>
        </w:tc>
        <w:tc>
          <w:tcPr>
            <w:tcW w:w="1094" w:type="dxa"/>
            <w:vAlign w:val="top"/>
          </w:tcPr>
          <w:p w14:paraId="49FCA896">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328"/>
              <w:textAlignment w:val="baseline"/>
            </w:pPr>
            <w:r>
              <w:rPr>
                <w:spacing w:val="-7"/>
              </w:rPr>
              <w:t>1600</w:t>
            </w:r>
          </w:p>
        </w:tc>
        <w:tc>
          <w:tcPr>
            <w:tcW w:w="1323" w:type="dxa"/>
            <w:vAlign w:val="top"/>
          </w:tcPr>
          <w:p w14:paraId="53DB5A32">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179"/>
              <w:textAlignment w:val="baseline"/>
              <w:rPr>
                <w:rFonts w:ascii="方正楷体_GBK" w:hAnsi="方正楷体_GBK" w:eastAsia="方正楷体_GBK" w:cs="方正楷体_GBK"/>
              </w:rPr>
            </w:pPr>
            <w:r>
              <w:rPr>
                <w:rFonts w:ascii="方正楷体_GBK" w:hAnsi="方正楷体_GBK" w:eastAsia="方正楷体_GBK" w:cs="方正楷体_GBK"/>
                <w:spacing w:val="-5"/>
              </w:rPr>
              <w:t>〔</w:t>
            </w:r>
            <w:r>
              <w:rPr>
                <w:rFonts w:ascii="方正楷体_GBK" w:hAnsi="方正楷体_GBK" w:eastAsia="方正楷体_GBK" w:cs="方正楷体_GBK"/>
                <w:spacing w:val="-37"/>
              </w:rPr>
              <w:t xml:space="preserve"> </w:t>
            </w:r>
            <w:r>
              <w:rPr>
                <w:spacing w:val="-5"/>
              </w:rPr>
              <w:t>3000</w:t>
            </w:r>
            <w:r>
              <w:rPr>
                <w:rFonts w:ascii="方正楷体_GBK" w:hAnsi="方正楷体_GBK" w:eastAsia="方正楷体_GBK" w:cs="方正楷体_GBK"/>
                <w:spacing w:val="-5"/>
              </w:rPr>
              <w:t>〕</w:t>
            </w:r>
          </w:p>
        </w:tc>
        <w:tc>
          <w:tcPr>
            <w:tcW w:w="1073" w:type="dxa"/>
            <w:vAlign w:val="top"/>
          </w:tcPr>
          <w:p w14:paraId="35993C39">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192"/>
              <w:textAlignment w:val="baseline"/>
            </w:pPr>
            <w:r>
              <w:rPr>
                <w:spacing w:val="-7"/>
              </w:rPr>
              <w:t>预期性</w:t>
            </w:r>
          </w:p>
        </w:tc>
      </w:tr>
      <w:tr w14:paraId="22270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487" w:type="dxa"/>
            <w:vAlign w:val="top"/>
          </w:tcPr>
          <w:p w14:paraId="072E8B2A">
            <w:pPr>
              <w:keepNext w:val="0"/>
              <w:keepLines w:val="0"/>
              <w:pageBreakBefore w:val="0"/>
              <w:widowControl/>
              <w:kinsoku w:val="0"/>
              <w:wordWrap/>
              <w:overflowPunct/>
              <w:topLinePunct w:val="0"/>
              <w:autoSpaceDE w:val="0"/>
              <w:autoSpaceDN w:val="0"/>
              <w:bidi w:val="0"/>
              <w:adjustRightInd w:val="0"/>
              <w:snapToGrid w:val="0"/>
              <w:spacing w:line="560" w:lineRule="exact"/>
              <w:ind w:left="189"/>
              <w:textAlignment w:val="baseline"/>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3</w:t>
            </w:r>
          </w:p>
        </w:tc>
        <w:tc>
          <w:tcPr>
            <w:tcW w:w="720" w:type="dxa"/>
            <w:vMerge w:val="restart"/>
            <w:tcBorders>
              <w:bottom w:val="nil"/>
            </w:tcBorders>
            <w:vAlign w:val="top"/>
          </w:tcPr>
          <w:p w14:paraId="4F415A8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2E0A858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23AACDA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090F743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3B7C419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6D00394F">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125"/>
              <w:textAlignment w:val="baseline"/>
            </w:pPr>
            <w:r>
              <w:rPr>
                <w:spacing w:val="-6"/>
              </w:rPr>
              <w:t>质量</w:t>
            </w:r>
          </w:p>
          <w:p w14:paraId="4BB6350D">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120"/>
              <w:textAlignment w:val="baseline"/>
            </w:pPr>
            <w:r>
              <w:rPr>
                <w:spacing w:val="-3"/>
              </w:rPr>
              <w:t>基础</w:t>
            </w:r>
          </w:p>
        </w:tc>
        <w:tc>
          <w:tcPr>
            <w:tcW w:w="4483" w:type="dxa"/>
            <w:vAlign w:val="top"/>
          </w:tcPr>
          <w:p w14:paraId="206549EA">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132"/>
              <w:textAlignment w:val="baseline"/>
            </w:pPr>
            <w:r>
              <w:rPr>
                <w:spacing w:val="-3"/>
              </w:rPr>
              <w:t>国际标准（主导或参与）</w:t>
            </w:r>
          </w:p>
        </w:tc>
        <w:tc>
          <w:tcPr>
            <w:tcW w:w="1004" w:type="dxa"/>
            <w:vAlign w:val="top"/>
          </w:tcPr>
          <w:p w14:paraId="055DFC67">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391"/>
              <w:textAlignment w:val="baseline"/>
            </w:pPr>
            <w:r>
              <w:t>项</w:t>
            </w:r>
          </w:p>
        </w:tc>
        <w:tc>
          <w:tcPr>
            <w:tcW w:w="1094" w:type="dxa"/>
            <w:vAlign w:val="top"/>
          </w:tcPr>
          <w:p w14:paraId="5A1E8A14">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248"/>
              <w:textAlignment w:val="baseline"/>
            </w:pPr>
            <w:r>
              <w:rPr>
                <w:spacing w:val="-2"/>
              </w:rPr>
              <w:t>〔0〕</w:t>
            </w:r>
          </w:p>
        </w:tc>
        <w:tc>
          <w:tcPr>
            <w:tcW w:w="1323" w:type="dxa"/>
            <w:vAlign w:val="top"/>
          </w:tcPr>
          <w:p w14:paraId="307E91D7">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364"/>
              <w:textAlignment w:val="baseline"/>
            </w:pPr>
            <w:r>
              <w:rPr>
                <w:spacing w:val="-2"/>
              </w:rPr>
              <w:t>（0）</w:t>
            </w:r>
          </w:p>
        </w:tc>
        <w:tc>
          <w:tcPr>
            <w:tcW w:w="1073" w:type="dxa"/>
            <w:vAlign w:val="top"/>
          </w:tcPr>
          <w:p w14:paraId="18CD30FC">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192"/>
              <w:textAlignment w:val="baseline"/>
            </w:pPr>
            <w:r>
              <w:rPr>
                <w:spacing w:val="-7"/>
              </w:rPr>
              <w:t>预期性</w:t>
            </w:r>
          </w:p>
        </w:tc>
      </w:tr>
      <w:tr w14:paraId="23A89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487" w:type="dxa"/>
            <w:vAlign w:val="top"/>
          </w:tcPr>
          <w:p w14:paraId="4B22FBB1">
            <w:pPr>
              <w:keepNext w:val="0"/>
              <w:keepLines w:val="0"/>
              <w:pageBreakBefore w:val="0"/>
              <w:widowControl/>
              <w:kinsoku w:val="0"/>
              <w:wordWrap/>
              <w:overflowPunct/>
              <w:topLinePunct w:val="0"/>
              <w:autoSpaceDE w:val="0"/>
              <w:autoSpaceDN w:val="0"/>
              <w:bidi w:val="0"/>
              <w:adjustRightInd w:val="0"/>
              <w:snapToGrid w:val="0"/>
              <w:spacing w:line="560" w:lineRule="exact"/>
              <w:ind w:left="183"/>
              <w:textAlignment w:val="baseline"/>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4</w:t>
            </w:r>
          </w:p>
        </w:tc>
        <w:tc>
          <w:tcPr>
            <w:tcW w:w="720" w:type="dxa"/>
            <w:vMerge w:val="continue"/>
            <w:tcBorders>
              <w:top w:val="nil"/>
              <w:bottom w:val="nil"/>
            </w:tcBorders>
            <w:vAlign w:val="top"/>
          </w:tcPr>
          <w:p w14:paraId="003D374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tc>
        <w:tc>
          <w:tcPr>
            <w:tcW w:w="4483" w:type="dxa"/>
            <w:vAlign w:val="top"/>
          </w:tcPr>
          <w:p w14:paraId="12D20BE4">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132"/>
              <w:textAlignment w:val="baseline"/>
            </w:pPr>
            <w:r>
              <w:rPr>
                <w:spacing w:val="-8"/>
              </w:rPr>
              <w:t>国家标准</w:t>
            </w:r>
          </w:p>
        </w:tc>
        <w:tc>
          <w:tcPr>
            <w:tcW w:w="1004" w:type="dxa"/>
            <w:vAlign w:val="top"/>
          </w:tcPr>
          <w:p w14:paraId="045B9162">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391"/>
              <w:textAlignment w:val="baseline"/>
            </w:pPr>
            <w:r>
              <w:t>项</w:t>
            </w:r>
          </w:p>
        </w:tc>
        <w:tc>
          <w:tcPr>
            <w:tcW w:w="1094" w:type="dxa"/>
            <w:vAlign w:val="top"/>
          </w:tcPr>
          <w:p w14:paraId="2C2D7C1A">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248"/>
              <w:textAlignment w:val="baseline"/>
            </w:pPr>
            <w:r>
              <w:rPr>
                <w:spacing w:val="-2"/>
              </w:rPr>
              <w:t>〔3〕</w:t>
            </w:r>
          </w:p>
        </w:tc>
        <w:tc>
          <w:tcPr>
            <w:tcW w:w="1323" w:type="dxa"/>
            <w:vAlign w:val="top"/>
          </w:tcPr>
          <w:p w14:paraId="1BEF845D">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364"/>
              <w:textAlignment w:val="baseline"/>
            </w:pPr>
            <w:r>
              <w:rPr>
                <w:spacing w:val="-2"/>
              </w:rPr>
              <w:t>（1）</w:t>
            </w:r>
          </w:p>
        </w:tc>
        <w:tc>
          <w:tcPr>
            <w:tcW w:w="1073" w:type="dxa"/>
            <w:vAlign w:val="top"/>
          </w:tcPr>
          <w:p w14:paraId="7F590668">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192"/>
              <w:textAlignment w:val="baseline"/>
            </w:pPr>
            <w:r>
              <w:rPr>
                <w:spacing w:val="-7"/>
              </w:rPr>
              <w:t>预期性</w:t>
            </w:r>
          </w:p>
        </w:tc>
      </w:tr>
      <w:tr w14:paraId="06C98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487" w:type="dxa"/>
            <w:vAlign w:val="top"/>
          </w:tcPr>
          <w:p w14:paraId="3B4A854D">
            <w:pPr>
              <w:keepNext w:val="0"/>
              <w:keepLines w:val="0"/>
              <w:pageBreakBefore w:val="0"/>
              <w:widowControl/>
              <w:kinsoku w:val="0"/>
              <w:wordWrap/>
              <w:overflowPunct/>
              <w:topLinePunct w:val="0"/>
              <w:autoSpaceDE w:val="0"/>
              <w:autoSpaceDN w:val="0"/>
              <w:bidi w:val="0"/>
              <w:adjustRightInd w:val="0"/>
              <w:snapToGrid w:val="0"/>
              <w:spacing w:line="560" w:lineRule="exact"/>
              <w:ind w:left="191"/>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720" w:type="dxa"/>
            <w:vMerge w:val="continue"/>
            <w:tcBorders>
              <w:top w:val="nil"/>
              <w:bottom w:val="nil"/>
            </w:tcBorders>
            <w:vAlign w:val="top"/>
          </w:tcPr>
          <w:p w14:paraId="1F15D87C">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tc>
        <w:tc>
          <w:tcPr>
            <w:tcW w:w="4483" w:type="dxa"/>
            <w:vAlign w:val="top"/>
          </w:tcPr>
          <w:p w14:paraId="503F14E5">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112"/>
              <w:textAlignment w:val="baseline"/>
            </w:pPr>
            <w:r>
              <w:rPr>
                <w:spacing w:val="-3"/>
              </w:rPr>
              <w:t>行业标准</w:t>
            </w:r>
          </w:p>
        </w:tc>
        <w:tc>
          <w:tcPr>
            <w:tcW w:w="1004" w:type="dxa"/>
            <w:vAlign w:val="top"/>
          </w:tcPr>
          <w:p w14:paraId="734D592C">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391"/>
              <w:textAlignment w:val="baseline"/>
            </w:pPr>
            <w:r>
              <w:t>项</w:t>
            </w:r>
          </w:p>
        </w:tc>
        <w:tc>
          <w:tcPr>
            <w:tcW w:w="1094" w:type="dxa"/>
            <w:vAlign w:val="top"/>
          </w:tcPr>
          <w:p w14:paraId="4FA8D92F">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248"/>
              <w:textAlignment w:val="baseline"/>
            </w:pPr>
            <w:r>
              <w:rPr>
                <w:spacing w:val="-2"/>
              </w:rPr>
              <w:t>〔0〕</w:t>
            </w:r>
          </w:p>
        </w:tc>
        <w:tc>
          <w:tcPr>
            <w:tcW w:w="1323" w:type="dxa"/>
            <w:vAlign w:val="top"/>
          </w:tcPr>
          <w:p w14:paraId="3FA76789">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364"/>
              <w:textAlignment w:val="baseline"/>
            </w:pPr>
            <w:r>
              <w:rPr>
                <w:spacing w:val="-2"/>
              </w:rPr>
              <w:t>（1）</w:t>
            </w:r>
          </w:p>
        </w:tc>
        <w:tc>
          <w:tcPr>
            <w:tcW w:w="1073" w:type="dxa"/>
            <w:vAlign w:val="top"/>
          </w:tcPr>
          <w:p w14:paraId="4EEA2EE8">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192"/>
              <w:textAlignment w:val="baseline"/>
            </w:pPr>
            <w:r>
              <w:rPr>
                <w:spacing w:val="-7"/>
              </w:rPr>
              <w:t>预期性</w:t>
            </w:r>
          </w:p>
        </w:tc>
      </w:tr>
      <w:tr w14:paraId="55FB0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487" w:type="dxa"/>
            <w:vAlign w:val="top"/>
          </w:tcPr>
          <w:p w14:paraId="7D5970A6">
            <w:pPr>
              <w:keepNext w:val="0"/>
              <w:keepLines w:val="0"/>
              <w:pageBreakBefore w:val="0"/>
              <w:widowControl/>
              <w:kinsoku w:val="0"/>
              <w:wordWrap/>
              <w:overflowPunct/>
              <w:topLinePunct w:val="0"/>
              <w:autoSpaceDE w:val="0"/>
              <w:autoSpaceDN w:val="0"/>
              <w:bidi w:val="0"/>
              <w:adjustRightInd w:val="0"/>
              <w:snapToGrid w:val="0"/>
              <w:spacing w:line="560" w:lineRule="exact"/>
              <w:ind w:left="189"/>
              <w:textAlignment w:val="baseline"/>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6</w:t>
            </w:r>
          </w:p>
        </w:tc>
        <w:tc>
          <w:tcPr>
            <w:tcW w:w="720" w:type="dxa"/>
            <w:vMerge w:val="continue"/>
            <w:tcBorders>
              <w:top w:val="nil"/>
              <w:bottom w:val="nil"/>
            </w:tcBorders>
            <w:vAlign w:val="top"/>
          </w:tcPr>
          <w:p w14:paraId="6AD4B5F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tc>
        <w:tc>
          <w:tcPr>
            <w:tcW w:w="4483" w:type="dxa"/>
            <w:vAlign w:val="top"/>
          </w:tcPr>
          <w:p w14:paraId="6223059B">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110"/>
              <w:textAlignment w:val="baseline"/>
            </w:pPr>
            <w:r>
              <w:rPr>
                <w:spacing w:val="-2"/>
              </w:rPr>
              <w:t>地方标准</w:t>
            </w:r>
          </w:p>
        </w:tc>
        <w:tc>
          <w:tcPr>
            <w:tcW w:w="1004" w:type="dxa"/>
            <w:vAlign w:val="top"/>
          </w:tcPr>
          <w:p w14:paraId="5632920B">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391"/>
              <w:textAlignment w:val="baseline"/>
            </w:pPr>
            <w:r>
              <w:t>项</w:t>
            </w:r>
          </w:p>
        </w:tc>
        <w:tc>
          <w:tcPr>
            <w:tcW w:w="1094" w:type="dxa"/>
            <w:vAlign w:val="top"/>
          </w:tcPr>
          <w:p w14:paraId="1DFF6E4B">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248"/>
              <w:textAlignment w:val="baseline"/>
            </w:pPr>
            <w:r>
              <w:rPr>
                <w:spacing w:val="-2"/>
              </w:rPr>
              <w:t>〔1〕</w:t>
            </w:r>
          </w:p>
        </w:tc>
        <w:tc>
          <w:tcPr>
            <w:tcW w:w="1323" w:type="dxa"/>
            <w:vAlign w:val="top"/>
          </w:tcPr>
          <w:p w14:paraId="574985D6">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364"/>
              <w:textAlignment w:val="baseline"/>
            </w:pPr>
            <w:r>
              <w:rPr>
                <w:spacing w:val="-2"/>
              </w:rPr>
              <w:t>（1）</w:t>
            </w:r>
          </w:p>
        </w:tc>
        <w:tc>
          <w:tcPr>
            <w:tcW w:w="1073" w:type="dxa"/>
            <w:vAlign w:val="top"/>
          </w:tcPr>
          <w:p w14:paraId="3770B823">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192"/>
              <w:textAlignment w:val="baseline"/>
            </w:pPr>
            <w:r>
              <w:rPr>
                <w:spacing w:val="-7"/>
              </w:rPr>
              <w:t>预期性</w:t>
            </w:r>
          </w:p>
        </w:tc>
      </w:tr>
      <w:tr w14:paraId="747E7B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487" w:type="dxa"/>
            <w:vAlign w:val="top"/>
          </w:tcPr>
          <w:p w14:paraId="7A6F6AE5">
            <w:pPr>
              <w:keepNext w:val="0"/>
              <w:keepLines w:val="0"/>
              <w:pageBreakBefore w:val="0"/>
              <w:widowControl/>
              <w:kinsoku w:val="0"/>
              <w:wordWrap/>
              <w:overflowPunct/>
              <w:topLinePunct w:val="0"/>
              <w:autoSpaceDE w:val="0"/>
              <w:autoSpaceDN w:val="0"/>
              <w:bidi w:val="0"/>
              <w:adjustRightInd w:val="0"/>
              <w:snapToGrid w:val="0"/>
              <w:spacing w:line="560" w:lineRule="exact"/>
              <w:ind w:left="188"/>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720" w:type="dxa"/>
            <w:vMerge w:val="continue"/>
            <w:tcBorders>
              <w:top w:val="nil"/>
              <w:bottom w:val="nil"/>
            </w:tcBorders>
            <w:vAlign w:val="top"/>
          </w:tcPr>
          <w:p w14:paraId="3A725CF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tc>
        <w:tc>
          <w:tcPr>
            <w:tcW w:w="4483" w:type="dxa"/>
            <w:vAlign w:val="top"/>
          </w:tcPr>
          <w:p w14:paraId="145FA95B">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136"/>
              <w:textAlignment w:val="baseline"/>
            </w:pPr>
            <w:r>
              <w:rPr>
                <w:spacing w:val="-9"/>
              </w:rPr>
              <w:t>团体标准</w:t>
            </w:r>
          </w:p>
        </w:tc>
        <w:tc>
          <w:tcPr>
            <w:tcW w:w="1004" w:type="dxa"/>
            <w:vAlign w:val="top"/>
          </w:tcPr>
          <w:p w14:paraId="08B582AA">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391"/>
              <w:textAlignment w:val="baseline"/>
            </w:pPr>
            <w:r>
              <w:t>项</w:t>
            </w:r>
          </w:p>
        </w:tc>
        <w:tc>
          <w:tcPr>
            <w:tcW w:w="1094" w:type="dxa"/>
            <w:vAlign w:val="top"/>
          </w:tcPr>
          <w:p w14:paraId="1ED8306E">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248"/>
              <w:textAlignment w:val="baseline"/>
            </w:pPr>
            <w:r>
              <w:rPr>
                <w:spacing w:val="-2"/>
              </w:rPr>
              <w:t>〔1〕</w:t>
            </w:r>
          </w:p>
        </w:tc>
        <w:tc>
          <w:tcPr>
            <w:tcW w:w="1323" w:type="dxa"/>
            <w:vAlign w:val="top"/>
          </w:tcPr>
          <w:p w14:paraId="1FA23E22">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364"/>
              <w:textAlignment w:val="baseline"/>
            </w:pPr>
            <w:r>
              <w:rPr>
                <w:spacing w:val="-2"/>
              </w:rPr>
              <w:t>（1）</w:t>
            </w:r>
          </w:p>
        </w:tc>
        <w:tc>
          <w:tcPr>
            <w:tcW w:w="1073" w:type="dxa"/>
            <w:vAlign w:val="top"/>
          </w:tcPr>
          <w:p w14:paraId="66EE3332">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192"/>
              <w:textAlignment w:val="baseline"/>
            </w:pPr>
            <w:r>
              <w:rPr>
                <w:spacing w:val="-7"/>
              </w:rPr>
              <w:t>预期性</w:t>
            </w:r>
          </w:p>
        </w:tc>
      </w:tr>
      <w:tr w14:paraId="10203F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487" w:type="dxa"/>
            <w:vAlign w:val="top"/>
          </w:tcPr>
          <w:p w14:paraId="7F39DC74">
            <w:pPr>
              <w:keepNext w:val="0"/>
              <w:keepLines w:val="0"/>
              <w:pageBreakBefore w:val="0"/>
              <w:widowControl/>
              <w:kinsoku w:val="0"/>
              <w:wordWrap/>
              <w:overflowPunct/>
              <w:topLinePunct w:val="0"/>
              <w:autoSpaceDE w:val="0"/>
              <w:autoSpaceDN w:val="0"/>
              <w:bidi w:val="0"/>
              <w:adjustRightInd w:val="0"/>
              <w:snapToGrid w:val="0"/>
              <w:spacing w:line="560" w:lineRule="exact"/>
              <w:ind w:left="194"/>
              <w:textAlignment w:val="baseline"/>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8</w:t>
            </w:r>
          </w:p>
        </w:tc>
        <w:tc>
          <w:tcPr>
            <w:tcW w:w="720" w:type="dxa"/>
            <w:vMerge w:val="continue"/>
            <w:tcBorders>
              <w:top w:val="nil"/>
            </w:tcBorders>
            <w:vAlign w:val="top"/>
          </w:tcPr>
          <w:p w14:paraId="4428801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tc>
        <w:tc>
          <w:tcPr>
            <w:tcW w:w="4483" w:type="dxa"/>
            <w:vAlign w:val="top"/>
          </w:tcPr>
          <w:p w14:paraId="3B682511">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114"/>
              <w:textAlignment w:val="baseline"/>
            </w:pPr>
            <w:r>
              <w:rPr>
                <w:spacing w:val="-3"/>
              </w:rPr>
              <w:t>企业标准</w:t>
            </w:r>
          </w:p>
        </w:tc>
        <w:tc>
          <w:tcPr>
            <w:tcW w:w="1004" w:type="dxa"/>
            <w:vAlign w:val="top"/>
          </w:tcPr>
          <w:p w14:paraId="3D14BC2F">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391"/>
              <w:textAlignment w:val="baseline"/>
            </w:pPr>
            <w:r>
              <w:t>项</w:t>
            </w:r>
          </w:p>
        </w:tc>
        <w:tc>
          <w:tcPr>
            <w:tcW w:w="1094" w:type="dxa"/>
            <w:vAlign w:val="top"/>
          </w:tcPr>
          <w:p w14:paraId="33C980EE">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248"/>
              <w:textAlignment w:val="baseline"/>
            </w:pPr>
            <w:r>
              <w:rPr>
                <w:spacing w:val="-2"/>
              </w:rPr>
              <w:t>〔1〕</w:t>
            </w:r>
          </w:p>
        </w:tc>
        <w:tc>
          <w:tcPr>
            <w:tcW w:w="1323" w:type="dxa"/>
            <w:vAlign w:val="top"/>
          </w:tcPr>
          <w:p w14:paraId="619BE04E">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359"/>
              <w:textAlignment w:val="baseline"/>
              <w:rPr>
                <w:rFonts w:ascii="方正楷体_GBK" w:hAnsi="方正楷体_GBK" w:eastAsia="方正楷体_GBK" w:cs="方正楷体_GBK"/>
              </w:rPr>
            </w:pPr>
            <w:r>
              <w:rPr>
                <w:rFonts w:ascii="方正楷体_GBK" w:hAnsi="方正楷体_GBK" w:eastAsia="方正楷体_GBK" w:cs="方正楷体_GBK"/>
              </w:rPr>
              <w:t>〔</w:t>
            </w:r>
            <w:r>
              <w:t>2</w:t>
            </w:r>
            <w:r>
              <w:rPr>
                <w:rFonts w:ascii="方正楷体_GBK" w:hAnsi="方正楷体_GBK" w:eastAsia="方正楷体_GBK" w:cs="方正楷体_GBK"/>
              </w:rPr>
              <w:t>〕</w:t>
            </w:r>
          </w:p>
        </w:tc>
        <w:tc>
          <w:tcPr>
            <w:tcW w:w="1073" w:type="dxa"/>
            <w:vAlign w:val="top"/>
          </w:tcPr>
          <w:p w14:paraId="6CAC32BC">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192"/>
              <w:textAlignment w:val="baseline"/>
            </w:pPr>
            <w:r>
              <w:rPr>
                <w:spacing w:val="-7"/>
              </w:rPr>
              <w:t>预期性</w:t>
            </w:r>
          </w:p>
        </w:tc>
      </w:tr>
      <w:tr w14:paraId="46F33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487" w:type="dxa"/>
            <w:vAlign w:val="top"/>
          </w:tcPr>
          <w:p w14:paraId="6647E16B">
            <w:pPr>
              <w:keepNext w:val="0"/>
              <w:keepLines w:val="0"/>
              <w:pageBreakBefore w:val="0"/>
              <w:widowControl/>
              <w:kinsoku w:val="0"/>
              <w:wordWrap/>
              <w:overflowPunct/>
              <w:topLinePunct w:val="0"/>
              <w:autoSpaceDE w:val="0"/>
              <w:autoSpaceDN w:val="0"/>
              <w:bidi w:val="0"/>
              <w:adjustRightInd w:val="0"/>
              <w:snapToGrid w:val="0"/>
              <w:spacing w:line="560" w:lineRule="exact"/>
              <w:ind w:left="189"/>
              <w:textAlignment w:val="baseline"/>
              <w:rPr>
                <w:rFonts w:ascii="Times New Roman" w:hAnsi="Times New Roman" w:eastAsia="Times New Roman" w:cs="Times New Roman"/>
                <w:sz w:val="24"/>
                <w:szCs w:val="24"/>
              </w:rPr>
            </w:pPr>
            <w:r>
              <w:rPr>
                <w:rFonts w:ascii="Times New Roman" w:hAnsi="Times New Roman" w:eastAsia="Times New Roman" w:cs="Times New Roman"/>
                <w:position w:val="2"/>
                <w:sz w:val="24"/>
                <w:szCs w:val="24"/>
              </w:rPr>
              <w:t>9</w:t>
            </w:r>
          </w:p>
        </w:tc>
        <w:tc>
          <w:tcPr>
            <w:tcW w:w="720" w:type="dxa"/>
            <w:vMerge w:val="restart"/>
            <w:tcBorders>
              <w:bottom w:val="nil"/>
            </w:tcBorders>
            <w:vAlign w:val="top"/>
          </w:tcPr>
          <w:p w14:paraId="50430CE3">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67921E0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7EE2043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5384DC9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3862C51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0B90254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6658632C">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3FFC8CAF">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134"/>
              <w:textAlignment w:val="baseline"/>
            </w:pPr>
            <w:r>
              <w:rPr>
                <w:spacing w:val="-10"/>
              </w:rPr>
              <w:t>市场</w:t>
            </w:r>
          </w:p>
          <w:p w14:paraId="05FBA2CE">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131"/>
              <w:textAlignment w:val="baseline"/>
            </w:pPr>
            <w:r>
              <w:rPr>
                <w:spacing w:val="-9"/>
              </w:rPr>
              <w:t>监管</w:t>
            </w:r>
          </w:p>
        </w:tc>
        <w:tc>
          <w:tcPr>
            <w:tcW w:w="4483" w:type="dxa"/>
            <w:vAlign w:val="top"/>
          </w:tcPr>
          <w:p w14:paraId="0DC66943">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116"/>
              <w:textAlignment w:val="baseline"/>
            </w:pPr>
            <w:r>
              <w:rPr>
                <w:spacing w:val="-2"/>
              </w:rPr>
              <w:t>食品安全抽样检验量</w:t>
            </w:r>
          </w:p>
        </w:tc>
        <w:tc>
          <w:tcPr>
            <w:tcW w:w="1004" w:type="dxa"/>
            <w:vAlign w:val="top"/>
          </w:tcPr>
          <w:p w14:paraId="43AD461B">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275"/>
              <w:textAlignment w:val="baseline"/>
            </w:pPr>
            <w:r>
              <w:rPr>
                <w:spacing w:val="-9"/>
              </w:rPr>
              <w:t>批次</w:t>
            </w:r>
          </w:p>
        </w:tc>
        <w:tc>
          <w:tcPr>
            <w:tcW w:w="1094" w:type="dxa"/>
            <w:vAlign w:val="top"/>
          </w:tcPr>
          <w:p w14:paraId="1CBA7D80">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385"/>
              <w:textAlignment w:val="baseline"/>
            </w:pPr>
            <w:r>
              <w:rPr>
                <w:spacing w:val="-9"/>
              </w:rPr>
              <w:t>500</w:t>
            </w:r>
          </w:p>
        </w:tc>
        <w:tc>
          <w:tcPr>
            <w:tcW w:w="1323" w:type="dxa"/>
            <w:vAlign w:val="top"/>
          </w:tcPr>
          <w:p w14:paraId="6AB03A31">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360"/>
              <w:textAlignment w:val="baseline"/>
            </w:pPr>
            <w:r>
              <w:rPr>
                <w:spacing w:val="-18"/>
              </w:rPr>
              <w:t>≥</w:t>
            </w:r>
            <w:r>
              <w:rPr>
                <w:spacing w:val="-95"/>
              </w:rPr>
              <w:t xml:space="preserve"> </w:t>
            </w:r>
            <w:r>
              <w:rPr>
                <w:spacing w:val="-18"/>
              </w:rPr>
              <w:t>1000</w:t>
            </w:r>
          </w:p>
        </w:tc>
        <w:tc>
          <w:tcPr>
            <w:tcW w:w="1073" w:type="dxa"/>
            <w:vAlign w:val="top"/>
          </w:tcPr>
          <w:p w14:paraId="7D8AFDC0">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196"/>
              <w:textAlignment w:val="baseline"/>
            </w:pPr>
            <w:r>
              <w:rPr>
                <w:spacing w:val="-8"/>
              </w:rPr>
              <w:t>约束性</w:t>
            </w:r>
          </w:p>
        </w:tc>
      </w:tr>
      <w:tr w14:paraId="34E8F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487" w:type="dxa"/>
            <w:vAlign w:val="top"/>
          </w:tcPr>
          <w:p w14:paraId="1689F59A">
            <w:pPr>
              <w:keepNext w:val="0"/>
              <w:keepLines w:val="0"/>
              <w:pageBreakBefore w:val="0"/>
              <w:widowControl/>
              <w:kinsoku w:val="0"/>
              <w:wordWrap/>
              <w:overflowPunct/>
              <w:topLinePunct w:val="0"/>
              <w:autoSpaceDE w:val="0"/>
              <w:autoSpaceDN w:val="0"/>
              <w:bidi w:val="0"/>
              <w:adjustRightInd w:val="0"/>
              <w:snapToGrid w:val="0"/>
              <w:spacing w:line="560" w:lineRule="exact"/>
              <w:ind w:left="147"/>
              <w:textAlignment w:val="baseline"/>
              <w:rPr>
                <w:rFonts w:ascii="Times New Roman" w:hAnsi="Times New Roman" w:eastAsia="Times New Roman" w:cs="Times New Roman"/>
                <w:sz w:val="24"/>
                <w:szCs w:val="24"/>
              </w:rPr>
            </w:pPr>
            <w:r>
              <w:rPr>
                <w:rFonts w:ascii="Times New Roman" w:hAnsi="Times New Roman" w:eastAsia="Times New Roman" w:cs="Times New Roman"/>
                <w:spacing w:val="-15"/>
                <w:position w:val="1"/>
                <w:sz w:val="24"/>
                <w:szCs w:val="24"/>
              </w:rPr>
              <w:t>10</w:t>
            </w:r>
          </w:p>
        </w:tc>
        <w:tc>
          <w:tcPr>
            <w:tcW w:w="720" w:type="dxa"/>
            <w:vMerge w:val="continue"/>
            <w:tcBorders>
              <w:top w:val="nil"/>
              <w:bottom w:val="nil"/>
            </w:tcBorders>
            <w:vAlign w:val="top"/>
          </w:tcPr>
          <w:p w14:paraId="687A7DB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tc>
        <w:tc>
          <w:tcPr>
            <w:tcW w:w="4483" w:type="dxa"/>
            <w:vAlign w:val="top"/>
          </w:tcPr>
          <w:p w14:paraId="73A082B1">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133"/>
              <w:textAlignment w:val="baseline"/>
            </w:pPr>
            <w:r>
              <w:rPr>
                <w:spacing w:val="-7"/>
              </w:rPr>
              <w:t>“</w:t>
            </w:r>
            <w:r>
              <w:rPr>
                <w:spacing w:val="-89"/>
              </w:rPr>
              <w:t xml:space="preserve"> </w:t>
            </w:r>
            <w:r>
              <w:rPr>
                <w:spacing w:val="-7"/>
              </w:rPr>
              <w:t>明厨亮灶”覆盖率</w:t>
            </w:r>
          </w:p>
        </w:tc>
        <w:tc>
          <w:tcPr>
            <w:tcW w:w="1004" w:type="dxa"/>
            <w:vAlign w:val="top"/>
          </w:tcPr>
          <w:p w14:paraId="33769D83">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448"/>
              <w:textAlignment w:val="baseline"/>
            </w:pPr>
            <w:r>
              <w:t>%</w:t>
            </w:r>
          </w:p>
        </w:tc>
        <w:tc>
          <w:tcPr>
            <w:tcW w:w="1094" w:type="dxa"/>
            <w:vAlign w:val="top"/>
          </w:tcPr>
          <w:p w14:paraId="5D855D79">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444"/>
              <w:textAlignment w:val="baseline"/>
            </w:pPr>
            <w:r>
              <w:rPr>
                <w:spacing w:val="-11"/>
              </w:rPr>
              <w:t>77</w:t>
            </w:r>
          </w:p>
        </w:tc>
        <w:tc>
          <w:tcPr>
            <w:tcW w:w="1323" w:type="dxa"/>
            <w:vAlign w:val="top"/>
          </w:tcPr>
          <w:p w14:paraId="4E2377C5">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480"/>
              <w:textAlignment w:val="baseline"/>
            </w:pPr>
            <w:r>
              <w:rPr>
                <w:spacing w:val="-21"/>
              </w:rPr>
              <w:t>≥90</w:t>
            </w:r>
          </w:p>
        </w:tc>
        <w:tc>
          <w:tcPr>
            <w:tcW w:w="1073" w:type="dxa"/>
            <w:vAlign w:val="top"/>
          </w:tcPr>
          <w:p w14:paraId="579EB0CE">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196"/>
              <w:textAlignment w:val="baseline"/>
            </w:pPr>
            <w:r>
              <w:rPr>
                <w:spacing w:val="-8"/>
              </w:rPr>
              <w:t>约束性</w:t>
            </w:r>
          </w:p>
        </w:tc>
      </w:tr>
      <w:tr w14:paraId="2DFFF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487" w:type="dxa"/>
            <w:vAlign w:val="top"/>
          </w:tcPr>
          <w:p w14:paraId="72DE8EBD">
            <w:pPr>
              <w:keepNext w:val="0"/>
              <w:keepLines w:val="0"/>
              <w:pageBreakBefore w:val="0"/>
              <w:widowControl/>
              <w:kinsoku w:val="0"/>
              <w:wordWrap/>
              <w:overflowPunct/>
              <w:topLinePunct w:val="0"/>
              <w:autoSpaceDE w:val="0"/>
              <w:autoSpaceDN w:val="0"/>
              <w:bidi w:val="0"/>
              <w:adjustRightInd w:val="0"/>
              <w:snapToGrid w:val="0"/>
              <w:spacing w:line="560" w:lineRule="exact"/>
              <w:ind w:left="147"/>
              <w:textAlignment w:val="baseline"/>
              <w:rPr>
                <w:rFonts w:ascii="Times New Roman" w:hAnsi="Times New Roman" w:eastAsia="Times New Roman" w:cs="Times New Roman"/>
                <w:sz w:val="24"/>
                <w:szCs w:val="24"/>
              </w:rPr>
            </w:pPr>
            <w:r>
              <w:rPr>
                <w:rFonts w:ascii="Times New Roman" w:hAnsi="Times New Roman" w:eastAsia="Times New Roman" w:cs="Times New Roman"/>
                <w:spacing w:val="-15"/>
                <w:position w:val="1"/>
                <w:sz w:val="24"/>
                <w:szCs w:val="24"/>
              </w:rPr>
              <w:t>11</w:t>
            </w:r>
          </w:p>
        </w:tc>
        <w:tc>
          <w:tcPr>
            <w:tcW w:w="720" w:type="dxa"/>
            <w:vMerge w:val="continue"/>
            <w:tcBorders>
              <w:top w:val="nil"/>
              <w:bottom w:val="nil"/>
            </w:tcBorders>
            <w:vAlign w:val="top"/>
          </w:tcPr>
          <w:p w14:paraId="406AF5AC">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tc>
        <w:tc>
          <w:tcPr>
            <w:tcW w:w="4483" w:type="dxa"/>
            <w:vAlign w:val="top"/>
          </w:tcPr>
          <w:p w14:paraId="1A03BE8E">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119"/>
              <w:textAlignment w:val="baseline"/>
            </w:pPr>
            <w:r>
              <w:rPr>
                <w:spacing w:val="-2"/>
              </w:rPr>
              <w:t>疫苗流通环节可追溯率</w:t>
            </w:r>
          </w:p>
        </w:tc>
        <w:tc>
          <w:tcPr>
            <w:tcW w:w="1004" w:type="dxa"/>
            <w:vAlign w:val="top"/>
          </w:tcPr>
          <w:p w14:paraId="4F7D647A">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448"/>
              <w:textAlignment w:val="baseline"/>
            </w:pPr>
            <w:r>
              <w:t>%</w:t>
            </w:r>
          </w:p>
        </w:tc>
        <w:tc>
          <w:tcPr>
            <w:tcW w:w="1094" w:type="dxa"/>
            <w:vAlign w:val="top"/>
          </w:tcPr>
          <w:p w14:paraId="7BF3EEC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3319B6DB">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431"/>
              <w:textAlignment w:val="baseline"/>
            </w:pPr>
            <w:r>
              <w:rPr>
                <w:spacing w:val="-2"/>
                <w:position w:val="-4"/>
              </w:rPr>
              <w:t>--</w:t>
            </w:r>
          </w:p>
        </w:tc>
        <w:tc>
          <w:tcPr>
            <w:tcW w:w="1323" w:type="dxa"/>
            <w:vAlign w:val="top"/>
          </w:tcPr>
          <w:p w14:paraId="27CD9298">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504"/>
              <w:textAlignment w:val="baseline"/>
            </w:pPr>
            <w:r>
              <w:rPr>
                <w:spacing w:val="-9"/>
              </w:rPr>
              <w:t>100</w:t>
            </w:r>
          </w:p>
        </w:tc>
        <w:tc>
          <w:tcPr>
            <w:tcW w:w="1073" w:type="dxa"/>
            <w:vAlign w:val="top"/>
          </w:tcPr>
          <w:p w14:paraId="1FFD344A">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196"/>
              <w:textAlignment w:val="baseline"/>
            </w:pPr>
            <w:r>
              <w:rPr>
                <w:spacing w:val="-8"/>
              </w:rPr>
              <w:t>约束性</w:t>
            </w:r>
          </w:p>
        </w:tc>
      </w:tr>
      <w:tr w14:paraId="5195A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487" w:type="dxa"/>
            <w:vAlign w:val="top"/>
          </w:tcPr>
          <w:p w14:paraId="21924A36">
            <w:pPr>
              <w:keepNext w:val="0"/>
              <w:keepLines w:val="0"/>
              <w:pageBreakBefore w:val="0"/>
              <w:widowControl/>
              <w:kinsoku w:val="0"/>
              <w:wordWrap/>
              <w:overflowPunct/>
              <w:topLinePunct w:val="0"/>
              <w:autoSpaceDE w:val="0"/>
              <w:autoSpaceDN w:val="0"/>
              <w:bidi w:val="0"/>
              <w:adjustRightInd w:val="0"/>
              <w:snapToGrid w:val="0"/>
              <w:spacing w:line="560" w:lineRule="exact"/>
              <w:ind w:left="147"/>
              <w:textAlignment w:val="baseline"/>
              <w:rPr>
                <w:rFonts w:ascii="Times New Roman" w:hAnsi="Times New Roman" w:eastAsia="Times New Roman" w:cs="Times New Roman"/>
                <w:sz w:val="24"/>
                <w:szCs w:val="24"/>
              </w:rPr>
            </w:pPr>
            <w:r>
              <w:rPr>
                <w:rFonts w:ascii="Times New Roman" w:hAnsi="Times New Roman" w:eastAsia="Times New Roman" w:cs="Times New Roman"/>
                <w:spacing w:val="-15"/>
                <w:position w:val="1"/>
                <w:sz w:val="24"/>
                <w:szCs w:val="24"/>
              </w:rPr>
              <w:t>12</w:t>
            </w:r>
          </w:p>
        </w:tc>
        <w:tc>
          <w:tcPr>
            <w:tcW w:w="720" w:type="dxa"/>
            <w:vMerge w:val="continue"/>
            <w:tcBorders>
              <w:top w:val="nil"/>
              <w:bottom w:val="nil"/>
            </w:tcBorders>
            <w:vAlign w:val="top"/>
          </w:tcPr>
          <w:p w14:paraId="4C4B1B1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tc>
        <w:tc>
          <w:tcPr>
            <w:tcW w:w="4483" w:type="dxa"/>
            <w:vAlign w:val="top"/>
          </w:tcPr>
          <w:p w14:paraId="19A26BDE">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117"/>
              <w:textAlignment w:val="baseline"/>
            </w:pPr>
            <w:r>
              <w:rPr>
                <w:spacing w:val="-1"/>
              </w:rPr>
              <w:t>集中招采中选药品流通环节可追溯率</w:t>
            </w:r>
          </w:p>
        </w:tc>
        <w:tc>
          <w:tcPr>
            <w:tcW w:w="1004" w:type="dxa"/>
            <w:vAlign w:val="top"/>
          </w:tcPr>
          <w:p w14:paraId="3ACCBE15">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448"/>
              <w:textAlignment w:val="baseline"/>
            </w:pPr>
            <w:r>
              <w:t>%</w:t>
            </w:r>
          </w:p>
        </w:tc>
        <w:tc>
          <w:tcPr>
            <w:tcW w:w="1094" w:type="dxa"/>
            <w:vAlign w:val="top"/>
          </w:tcPr>
          <w:p w14:paraId="4B96AD1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691C3E64">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431"/>
              <w:textAlignment w:val="baseline"/>
            </w:pPr>
            <w:r>
              <w:rPr>
                <w:spacing w:val="-2"/>
                <w:position w:val="-4"/>
              </w:rPr>
              <w:t>--</w:t>
            </w:r>
          </w:p>
        </w:tc>
        <w:tc>
          <w:tcPr>
            <w:tcW w:w="1323" w:type="dxa"/>
            <w:vAlign w:val="top"/>
          </w:tcPr>
          <w:p w14:paraId="472681EE">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504"/>
              <w:textAlignment w:val="baseline"/>
            </w:pPr>
            <w:r>
              <w:rPr>
                <w:spacing w:val="-9"/>
              </w:rPr>
              <w:t>100</w:t>
            </w:r>
          </w:p>
        </w:tc>
        <w:tc>
          <w:tcPr>
            <w:tcW w:w="1073" w:type="dxa"/>
            <w:vAlign w:val="top"/>
          </w:tcPr>
          <w:p w14:paraId="2DB04484">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192"/>
              <w:textAlignment w:val="baseline"/>
            </w:pPr>
            <w:r>
              <w:rPr>
                <w:spacing w:val="-7"/>
              </w:rPr>
              <w:t>预期性</w:t>
            </w:r>
          </w:p>
        </w:tc>
      </w:tr>
      <w:tr w14:paraId="7BBEA0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487" w:type="dxa"/>
            <w:vAlign w:val="top"/>
          </w:tcPr>
          <w:p w14:paraId="13DA28FD">
            <w:pPr>
              <w:keepNext w:val="0"/>
              <w:keepLines w:val="0"/>
              <w:pageBreakBefore w:val="0"/>
              <w:widowControl/>
              <w:kinsoku w:val="0"/>
              <w:wordWrap/>
              <w:overflowPunct/>
              <w:topLinePunct w:val="0"/>
              <w:autoSpaceDE w:val="0"/>
              <w:autoSpaceDN w:val="0"/>
              <w:bidi w:val="0"/>
              <w:adjustRightInd w:val="0"/>
              <w:snapToGrid w:val="0"/>
              <w:spacing w:line="560" w:lineRule="exact"/>
              <w:ind w:left="147"/>
              <w:textAlignment w:val="baseline"/>
              <w:rPr>
                <w:rFonts w:ascii="Times New Roman" w:hAnsi="Times New Roman" w:eastAsia="Times New Roman" w:cs="Times New Roman"/>
                <w:sz w:val="24"/>
                <w:szCs w:val="24"/>
              </w:rPr>
            </w:pPr>
            <w:r>
              <w:rPr>
                <w:rFonts w:ascii="Times New Roman" w:hAnsi="Times New Roman" w:eastAsia="Times New Roman" w:cs="Times New Roman"/>
                <w:spacing w:val="-15"/>
                <w:position w:val="1"/>
                <w:sz w:val="24"/>
                <w:szCs w:val="24"/>
              </w:rPr>
              <w:t>13</w:t>
            </w:r>
          </w:p>
        </w:tc>
        <w:tc>
          <w:tcPr>
            <w:tcW w:w="720" w:type="dxa"/>
            <w:vMerge w:val="continue"/>
            <w:tcBorders>
              <w:top w:val="nil"/>
              <w:bottom w:val="nil"/>
            </w:tcBorders>
            <w:vAlign w:val="top"/>
          </w:tcPr>
          <w:p w14:paraId="4A98A24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tc>
        <w:tc>
          <w:tcPr>
            <w:tcW w:w="4483" w:type="dxa"/>
            <w:vAlign w:val="top"/>
          </w:tcPr>
          <w:p w14:paraId="06DA0A0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120CDCD9">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125"/>
              <w:textAlignment w:val="baseline"/>
            </w:pPr>
            <w:r>
              <w:rPr>
                <w:spacing w:val="-3"/>
              </w:rPr>
              <w:t>药品不良反应监测报告数</w:t>
            </w:r>
          </w:p>
        </w:tc>
        <w:tc>
          <w:tcPr>
            <w:tcW w:w="1004" w:type="dxa"/>
            <w:vAlign w:val="top"/>
          </w:tcPr>
          <w:p w14:paraId="2D95914F">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297" w:right="134" w:hanging="160"/>
              <w:textAlignment w:val="baseline"/>
              <w:rPr>
                <w:sz w:val="20"/>
                <w:szCs w:val="20"/>
              </w:rPr>
            </w:pPr>
            <w:r>
              <w:rPr>
                <w:spacing w:val="6"/>
                <w:sz w:val="20"/>
                <w:szCs w:val="20"/>
              </w:rPr>
              <w:t>份/百万</w:t>
            </w:r>
            <w:r>
              <w:rPr>
                <w:spacing w:val="1"/>
                <w:sz w:val="20"/>
                <w:szCs w:val="20"/>
              </w:rPr>
              <w:t xml:space="preserve"> </w:t>
            </w:r>
            <w:r>
              <w:rPr>
                <w:spacing w:val="22"/>
                <w:sz w:val="20"/>
                <w:szCs w:val="20"/>
              </w:rPr>
              <w:t>人口</w:t>
            </w:r>
          </w:p>
        </w:tc>
        <w:tc>
          <w:tcPr>
            <w:tcW w:w="1094" w:type="dxa"/>
            <w:vAlign w:val="top"/>
          </w:tcPr>
          <w:p w14:paraId="38D3478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6DAC0845">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384"/>
              <w:textAlignment w:val="baseline"/>
            </w:pPr>
            <w:r>
              <w:rPr>
                <w:spacing w:val="-8"/>
              </w:rPr>
              <w:t>600</w:t>
            </w:r>
          </w:p>
        </w:tc>
        <w:tc>
          <w:tcPr>
            <w:tcW w:w="1323" w:type="dxa"/>
            <w:vAlign w:val="top"/>
          </w:tcPr>
          <w:p w14:paraId="4450D82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26B4AD86">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500"/>
              <w:textAlignment w:val="baseline"/>
            </w:pPr>
            <w:r>
              <w:rPr>
                <w:spacing w:val="-8"/>
              </w:rPr>
              <w:t>800</w:t>
            </w:r>
          </w:p>
        </w:tc>
        <w:tc>
          <w:tcPr>
            <w:tcW w:w="1073" w:type="dxa"/>
            <w:vAlign w:val="top"/>
          </w:tcPr>
          <w:p w14:paraId="3B19BFE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18E83CBB">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192"/>
              <w:textAlignment w:val="baseline"/>
            </w:pPr>
            <w:r>
              <w:rPr>
                <w:spacing w:val="-7"/>
              </w:rPr>
              <w:t>预期性</w:t>
            </w:r>
          </w:p>
        </w:tc>
      </w:tr>
      <w:tr w14:paraId="1579C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487" w:type="dxa"/>
            <w:vAlign w:val="top"/>
          </w:tcPr>
          <w:p w14:paraId="7BB22576">
            <w:pPr>
              <w:keepNext w:val="0"/>
              <w:keepLines w:val="0"/>
              <w:pageBreakBefore w:val="0"/>
              <w:widowControl/>
              <w:kinsoku w:val="0"/>
              <w:wordWrap/>
              <w:overflowPunct/>
              <w:topLinePunct w:val="0"/>
              <w:autoSpaceDE w:val="0"/>
              <w:autoSpaceDN w:val="0"/>
              <w:bidi w:val="0"/>
              <w:adjustRightInd w:val="0"/>
              <w:snapToGrid w:val="0"/>
              <w:spacing w:line="560" w:lineRule="exact"/>
              <w:ind w:left="147"/>
              <w:textAlignment w:val="baseline"/>
              <w:rPr>
                <w:rFonts w:ascii="Times New Roman" w:hAnsi="Times New Roman" w:eastAsia="Times New Roman" w:cs="Times New Roman"/>
                <w:sz w:val="24"/>
                <w:szCs w:val="24"/>
              </w:rPr>
            </w:pPr>
            <w:r>
              <w:rPr>
                <w:rFonts w:ascii="Times New Roman" w:hAnsi="Times New Roman" w:eastAsia="Times New Roman" w:cs="Times New Roman"/>
                <w:spacing w:val="-15"/>
                <w:position w:val="1"/>
                <w:sz w:val="24"/>
                <w:szCs w:val="24"/>
              </w:rPr>
              <w:t>14</w:t>
            </w:r>
          </w:p>
        </w:tc>
        <w:tc>
          <w:tcPr>
            <w:tcW w:w="720" w:type="dxa"/>
            <w:vMerge w:val="continue"/>
            <w:tcBorders>
              <w:top w:val="nil"/>
              <w:bottom w:val="nil"/>
            </w:tcBorders>
            <w:vAlign w:val="top"/>
          </w:tcPr>
          <w:p w14:paraId="79700BF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tc>
        <w:tc>
          <w:tcPr>
            <w:tcW w:w="4483" w:type="dxa"/>
            <w:vAlign w:val="top"/>
          </w:tcPr>
          <w:p w14:paraId="4E8003B4">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140"/>
              <w:textAlignment w:val="baseline"/>
            </w:pPr>
            <w:r>
              <w:rPr>
                <w:spacing w:val="-4"/>
              </w:rPr>
              <w:t>医疗器械不良事件报告数</w:t>
            </w:r>
          </w:p>
        </w:tc>
        <w:tc>
          <w:tcPr>
            <w:tcW w:w="1004" w:type="dxa"/>
            <w:vAlign w:val="top"/>
          </w:tcPr>
          <w:p w14:paraId="4840F44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tc>
        <w:tc>
          <w:tcPr>
            <w:tcW w:w="1094" w:type="dxa"/>
            <w:vAlign w:val="top"/>
          </w:tcPr>
          <w:p w14:paraId="3CAB8F5C">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392"/>
              <w:textAlignment w:val="baseline"/>
            </w:pPr>
            <w:r>
              <w:rPr>
                <w:spacing w:val="-11"/>
              </w:rPr>
              <w:t>325</w:t>
            </w:r>
          </w:p>
        </w:tc>
        <w:tc>
          <w:tcPr>
            <w:tcW w:w="1323" w:type="dxa"/>
            <w:vAlign w:val="top"/>
          </w:tcPr>
          <w:p w14:paraId="28DCB4A7">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497"/>
              <w:textAlignment w:val="baseline"/>
            </w:pPr>
            <w:r>
              <w:rPr>
                <w:spacing w:val="-7"/>
              </w:rPr>
              <w:t>400</w:t>
            </w:r>
          </w:p>
        </w:tc>
        <w:tc>
          <w:tcPr>
            <w:tcW w:w="1073" w:type="dxa"/>
            <w:vAlign w:val="top"/>
          </w:tcPr>
          <w:p w14:paraId="12F4B41E">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192"/>
              <w:textAlignment w:val="baseline"/>
            </w:pPr>
            <w:r>
              <w:rPr>
                <w:spacing w:val="-7"/>
              </w:rPr>
              <w:t>预期性</w:t>
            </w:r>
          </w:p>
        </w:tc>
      </w:tr>
      <w:tr w14:paraId="144092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487" w:type="dxa"/>
            <w:vAlign w:val="top"/>
          </w:tcPr>
          <w:p w14:paraId="7AFB34D2">
            <w:pPr>
              <w:keepNext w:val="0"/>
              <w:keepLines w:val="0"/>
              <w:pageBreakBefore w:val="0"/>
              <w:widowControl/>
              <w:kinsoku w:val="0"/>
              <w:wordWrap/>
              <w:overflowPunct/>
              <w:topLinePunct w:val="0"/>
              <w:autoSpaceDE w:val="0"/>
              <w:autoSpaceDN w:val="0"/>
              <w:bidi w:val="0"/>
              <w:adjustRightInd w:val="0"/>
              <w:snapToGrid w:val="0"/>
              <w:spacing w:line="560" w:lineRule="exact"/>
              <w:ind w:left="147"/>
              <w:textAlignment w:val="baseline"/>
              <w:rPr>
                <w:rFonts w:ascii="Times New Roman" w:hAnsi="Times New Roman" w:eastAsia="Times New Roman" w:cs="Times New Roman"/>
                <w:sz w:val="24"/>
                <w:szCs w:val="24"/>
              </w:rPr>
            </w:pPr>
            <w:r>
              <w:rPr>
                <w:rFonts w:ascii="Times New Roman" w:hAnsi="Times New Roman" w:eastAsia="Times New Roman" w:cs="Times New Roman"/>
                <w:spacing w:val="-15"/>
                <w:position w:val="1"/>
                <w:sz w:val="24"/>
                <w:szCs w:val="24"/>
              </w:rPr>
              <w:t>15</w:t>
            </w:r>
          </w:p>
        </w:tc>
        <w:tc>
          <w:tcPr>
            <w:tcW w:w="720" w:type="dxa"/>
            <w:vMerge w:val="continue"/>
            <w:tcBorders>
              <w:top w:val="nil"/>
            </w:tcBorders>
            <w:vAlign w:val="top"/>
          </w:tcPr>
          <w:p w14:paraId="78BCFE8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tc>
        <w:tc>
          <w:tcPr>
            <w:tcW w:w="4483" w:type="dxa"/>
            <w:vAlign w:val="top"/>
          </w:tcPr>
          <w:p w14:paraId="02ED8BD5">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120"/>
              <w:textAlignment w:val="baseline"/>
            </w:pPr>
            <w:r>
              <w:rPr>
                <w:spacing w:val="-2"/>
              </w:rPr>
              <w:t>化妆品不良反应监测报告数</w:t>
            </w:r>
          </w:p>
        </w:tc>
        <w:tc>
          <w:tcPr>
            <w:tcW w:w="1004" w:type="dxa"/>
            <w:vAlign w:val="top"/>
          </w:tcPr>
          <w:p w14:paraId="238D9AB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tc>
        <w:tc>
          <w:tcPr>
            <w:tcW w:w="1094" w:type="dxa"/>
            <w:vAlign w:val="top"/>
          </w:tcPr>
          <w:p w14:paraId="6B164AFC">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444"/>
              <w:textAlignment w:val="baseline"/>
            </w:pPr>
            <w:r>
              <w:rPr>
                <w:spacing w:val="-11"/>
              </w:rPr>
              <w:t>60</w:t>
            </w:r>
          </w:p>
        </w:tc>
        <w:tc>
          <w:tcPr>
            <w:tcW w:w="1323" w:type="dxa"/>
            <w:vAlign w:val="top"/>
          </w:tcPr>
          <w:p w14:paraId="409DC96B">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560"/>
              <w:textAlignment w:val="baseline"/>
            </w:pPr>
            <w:r>
              <w:rPr>
                <w:spacing w:val="-11"/>
              </w:rPr>
              <w:t>70</w:t>
            </w:r>
          </w:p>
        </w:tc>
        <w:tc>
          <w:tcPr>
            <w:tcW w:w="1073" w:type="dxa"/>
            <w:vAlign w:val="top"/>
          </w:tcPr>
          <w:p w14:paraId="1B9291FC">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192"/>
              <w:textAlignment w:val="baseline"/>
            </w:pPr>
            <w:r>
              <w:rPr>
                <w:spacing w:val="-7"/>
              </w:rPr>
              <w:t>预期性</w:t>
            </w:r>
          </w:p>
        </w:tc>
      </w:tr>
    </w:tbl>
    <w:p w14:paraId="498F57E0">
      <w:pPr>
        <w:keepNext w:val="0"/>
        <w:keepLines w:val="0"/>
        <w:pageBreakBefore w:val="0"/>
        <w:widowControl/>
        <w:kinsoku w:val="0"/>
        <w:wordWrap/>
        <w:overflowPunct/>
        <w:topLinePunct w:val="0"/>
        <w:autoSpaceDE w:val="0"/>
        <w:autoSpaceDN w:val="0"/>
        <w:bidi w:val="0"/>
        <w:adjustRightInd w:val="0"/>
        <w:snapToGrid w:val="0"/>
        <w:spacing w:line="560" w:lineRule="exact"/>
        <w:ind w:left="719" w:right="592" w:firstLine="409"/>
        <w:jc w:val="both"/>
        <w:textAlignment w:val="baseline"/>
        <w:rPr>
          <w:rFonts w:ascii="方正楷体_GBK" w:hAnsi="方正楷体_GBK" w:eastAsia="方正楷体_GBK" w:cs="方正楷体_GBK"/>
          <w:sz w:val="24"/>
          <w:szCs w:val="24"/>
        </w:rPr>
      </w:pPr>
      <w:r>
        <w:rPr>
          <w:rFonts w:ascii="方正楷体_GBK" w:hAnsi="方正楷体_GBK" w:eastAsia="方正楷体_GBK" w:cs="方正楷体_GBK"/>
          <w:spacing w:val="-22"/>
          <w:w w:val="92"/>
          <w:sz w:val="24"/>
          <w:szCs w:val="24"/>
        </w:rPr>
        <w:t>注：</w:t>
      </w:r>
      <w:r>
        <w:rPr>
          <w:rFonts w:ascii="Times New Roman" w:hAnsi="Times New Roman" w:eastAsia="Times New Roman" w:cs="Times New Roman"/>
          <w:spacing w:val="-22"/>
          <w:w w:val="92"/>
          <w:sz w:val="24"/>
          <w:szCs w:val="24"/>
        </w:rPr>
        <w:t>1.</w:t>
      </w:r>
      <w:r>
        <w:rPr>
          <w:rFonts w:ascii="方正楷体_GBK" w:hAnsi="方正楷体_GBK" w:eastAsia="方正楷体_GBK" w:cs="方正楷体_GBK"/>
          <w:spacing w:val="-22"/>
          <w:w w:val="92"/>
          <w:sz w:val="24"/>
          <w:szCs w:val="24"/>
        </w:rPr>
        <w:t>高价值发明专利拥有量主要从战略性新兴产业的有效发明专利、维持年限超</w:t>
      </w:r>
      <w:r>
        <w:rPr>
          <w:rFonts w:ascii="Times New Roman" w:hAnsi="Times New Roman" w:eastAsia="Times New Roman" w:cs="Times New Roman"/>
          <w:spacing w:val="-22"/>
          <w:w w:val="92"/>
          <w:sz w:val="24"/>
          <w:szCs w:val="24"/>
        </w:rPr>
        <w:t>10</w:t>
      </w:r>
      <w:r>
        <w:rPr>
          <w:rFonts w:ascii="方正楷体_GBK" w:hAnsi="方正楷体_GBK" w:eastAsia="方正楷体_GBK" w:cs="方正楷体_GBK"/>
          <w:spacing w:val="-22"/>
          <w:w w:val="92"/>
          <w:sz w:val="24"/>
          <w:szCs w:val="24"/>
        </w:rPr>
        <w:t>年的有效发明</w:t>
      </w:r>
      <w:r>
        <w:rPr>
          <w:rFonts w:ascii="方正楷体_GBK" w:hAnsi="方正楷体_GBK" w:eastAsia="方正楷体_GBK" w:cs="方正楷体_GBK"/>
          <w:spacing w:val="18"/>
          <w:sz w:val="24"/>
          <w:szCs w:val="24"/>
        </w:rPr>
        <w:t xml:space="preserve"> </w:t>
      </w:r>
      <w:r>
        <w:rPr>
          <w:rFonts w:ascii="方正楷体_GBK" w:hAnsi="方正楷体_GBK" w:eastAsia="方正楷体_GBK" w:cs="方正楷体_GBK"/>
          <w:spacing w:val="-22"/>
          <w:w w:val="93"/>
          <w:sz w:val="24"/>
          <w:szCs w:val="24"/>
        </w:rPr>
        <w:t>专利、海外有同族专利权的有效发明专利、</w:t>
      </w:r>
      <w:r>
        <w:rPr>
          <w:rFonts w:ascii="方正楷体_GBK" w:hAnsi="方正楷体_GBK" w:eastAsia="方正楷体_GBK" w:cs="方正楷体_GBK"/>
          <w:spacing w:val="-23"/>
          <w:w w:val="93"/>
          <w:sz w:val="24"/>
          <w:szCs w:val="24"/>
        </w:rPr>
        <w:t>有许可他人实施收益的有效发明专利、实现质押融资的有</w:t>
      </w:r>
      <w:r>
        <w:rPr>
          <w:rFonts w:ascii="方正楷体_GBK" w:hAnsi="方正楷体_GBK" w:eastAsia="方正楷体_GBK" w:cs="方正楷体_GBK"/>
          <w:sz w:val="24"/>
          <w:szCs w:val="24"/>
        </w:rPr>
        <w:t xml:space="preserve">  </w:t>
      </w:r>
      <w:r>
        <w:rPr>
          <w:rFonts w:ascii="方正楷体_GBK" w:hAnsi="方正楷体_GBK" w:eastAsia="方正楷体_GBK" w:cs="方正楷体_GBK"/>
          <w:spacing w:val="-23"/>
          <w:w w:val="93"/>
          <w:sz w:val="24"/>
          <w:szCs w:val="24"/>
        </w:rPr>
        <w:t>效发明专利、获得国家科技发明奖或专利奖的有效发明专利、经无效宣告审理维持有效的有效发明专</w:t>
      </w:r>
      <w:r>
        <w:rPr>
          <w:rFonts w:ascii="方正楷体_GBK" w:hAnsi="方正楷体_GBK" w:eastAsia="方正楷体_GBK" w:cs="方正楷体_GBK"/>
          <w:spacing w:val="9"/>
          <w:sz w:val="24"/>
          <w:szCs w:val="24"/>
        </w:rPr>
        <w:t xml:space="preserve">  </w:t>
      </w:r>
      <w:r>
        <w:rPr>
          <w:rFonts w:ascii="方正楷体_GBK" w:hAnsi="方正楷体_GBK" w:eastAsia="方正楷体_GBK" w:cs="方正楷体_GBK"/>
          <w:spacing w:val="-18"/>
          <w:w w:val="93"/>
          <w:sz w:val="24"/>
          <w:szCs w:val="24"/>
        </w:rPr>
        <w:t>利等七个方面进行界定。</w:t>
      </w:r>
    </w:p>
    <w:p w14:paraId="68815EE6">
      <w:pPr>
        <w:keepNext w:val="0"/>
        <w:keepLines w:val="0"/>
        <w:pageBreakBefore w:val="0"/>
        <w:widowControl/>
        <w:kinsoku w:val="0"/>
        <w:wordWrap/>
        <w:overflowPunct/>
        <w:topLinePunct w:val="0"/>
        <w:autoSpaceDE w:val="0"/>
        <w:autoSpaceDN w:val="0"/>
        <w:bidi w:val="0"/>
        <w:adjustRightInd w:val="0"/>
        <w:snapToGrid w:val="0"/>
        <w:spacing w:line="560" w:lineRule="exact"/>
        <w:ind w:left="1596"/>
        <w:textAlignment w:val="baseline"/>
        <w:rPr>
          <w:rFonts w:ascii="方正楷体_GBK" w:hAnsi="方正楷体_GBK" w:eastAsia="方正楷体_GBK" w:cs="方正楷体_GBK"/>
          <w:sz w:val="24"/>
          <w:szCs w:val="24"/>
        </w:rPr>
      </w:pPr>
      <w:r>
        <w:rPr>
          <w:rFonts w:ascii="Times New Roman" w:hAnsi="Times New Roman" w:eastAsia="Times New Roman" w:cs="Times New Roman"/>
          <w:spacing w:val="-30"/>
          <w:position w:val="3"/>
          <w:sz w:val="24"/>
          <w:szCs w:val="24"/>
        </w:rPr>
        <w:t>2.</w:t>
      </w:r>
      <w:r>
        <w:rPr>
          <w:rFonts w:ascii="方正楷体_GBK" w:hAnsi="方正楷体_GBK" w:eastAsia="方正楷体_GBK" w:cs="方正楷体_GBK"/>
          <w:spacing w:val="-30"/>
          <w:position w:val="3"/>
          <w:sz w:val="24"/>
          <w:szCs w:val="24"/>
        </w:rPr>
        <w:t>〔  〕内为累计数</w:t>
      </w:r>
      <w:r>
        <w:rPr>
          <w:rFonts w:ascii="方正楷体_GBK" w:hAnsi="方正楷体_GBK" w:eastAsia="方正楷体_GBK" w:cs="方正楷体_GBK"/>
          <w:spacing w:val="-23"/>
          <w:position w:val="3"/>
          <w:sz w:val="24"/>
          <w:szCs w:val="24"/>
        </w:rPr>
        <w:t>，（</w:t>
      </w:r>
      <w:r>
        <w:rPr>
          <w:rFonts w:ascii="方正楷体_GBK" w:hAnsi="方正楷体_GBK" w:eastAsia="方正楷体_GBK" w:cs="方正楷体_GBK"/>
          <w:spacing w:val="64"/>
          <w:w w:val="101"/>
          <w:position w:val="3"/>
          <w:sz w:val="24"/>
          <w:szCs w:val="24"/>
        </w:rPr>
        <w:t xml:space="preserve"> </w:t>
      </w:r>
      <w:r>
        <w:rPr>
          <w:rFonts w:ascii="方正楷体_GBK" w:hAnsi="方正楷体_GBK" w:eastAsia="方正楷体_GBK" w:cs="方正楷体_GBK"/>
          <w:spacing w:val="-23"/>
          <w:position w:val="3"/>
          <w:sz w:val="24"/>
          <w:szCs w:val="24"/>
        </w:rPr>
        <w:t>）</w:t>
      </w:r>
      <w:r>
        <w:rPr>
          <w:rFonts w:ascii="方正楷体_GBK" w:hAnsi="方正楷体_GBK" w:eastAsia="方正楷体_GBK" w:cs="方正楷体_GBK"/>
          <w:spacing w:val="-30"/>
          <w:position w:val="3"/>
          <w:sz w:val="24"/>
          <w:szCs w:val="24"/>
        </w:rPr>
        <w:t>内为规划期间新增数</w:t>
      </w:r>
    </w:p>
    <w:p w14:paraId="5015CBCC">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方正楷体_GBK" w:hAnsi="方正楷体_GBK" w:eastAsia="方正楷体_GBK" w:cs="方正楷体_GBK"/>
          <w:sz w:val="24"/>
          <w:szCs w:val="24"/>
        </w:rPr>
        <w:sectPr>
          <w:footerReference r:id="rId9" w:type="default"/>
          <w:pgSz w:w="11906" w:h="16839"/>
          <w:pgMar w:top="1431" w:right="840" w:bottom="1784" w:left="876" w:header="0" w:footer="1421" w:gutter="0"/>
          <w:cols w:space="720" w:num="1"/>
        </w:sectPr>
      </w:pPr>
    </w:p>
    <w:p w14:paraId="19EC0B30">
      <w:pPr>
        <w:keepNext w:val="0"/>
        <w:keepLines w:val="0"/>
        <w:pageBreakBefore w:val="0"/>
        <w:widowControl/>
        <w:kinsoku w:val="0"/>
        <w:wordWrap/>
        <w:overflowPunct/>
        <w:topLinePunct w:val="0"/>
        <w:autoSpaceDE w:val="0"/>
        <w:autoSpaceDN w:val="0"/>
        <w:bidi w:val="0"/>
        <w:adjustRightInd w:val="0"/>
        <w:snapToGrid w:val="0"/>
        <w:spacing w:line="560" w:lineRule="exact"/>
        <w:ind w:left="1076"/>
        <w:textAlignment w:val="baseline"/>
        <w:outlineLvl w:val="0"/>
        <w:rPr>
          <w:rFonts w:ascii="黑体" w:hAnsi="黑体" w:eastAsia="黑体" w:cs="黑体"/>
          <w:sz w:val="31"/>
          <w:szCs w:val="31"/>
        </w:rPr>
      </w:pPr>
      <w:r>
        <w:rPr>
          <w:rFonts w:ascii="黑体" w:hAnsi="黑体" w:eastAsia="黑体" w:cs="黑体"/>
          <w:spacing w:val="8"/>
          <w:sz w:val="31"/>
          <w:szCs w:val="31"/>
        </w:rPr>
        <w:t>第二章  优化市场准入环境，充分激发市场活力</w:t>
      </w:r>
    </w:p>
    <w:p w14:paraId="6B09D11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72" w:firstLine="642"/>
        <w:jc w:val="both"/>
        <w:textAlignment w:val="baseline"/>
      </w:pPr>
      <w:r>
        <w:rPr>
          <w:spacing w:val="5"/>
        </w:rPr>
        <w:t>促进市场主体发展，既是高标准建设市场体系的需要，也是</w:t>
      </w:r>
      <w:r>
        <w:rPr>
          <w:spacing w:val="3"/>
        </w:rPr>
        <w:t xml:space="preserve"> </w:t>
      </w:r>
      <w:r>
        <w:rPr>
          <w:spacing w:val="5"/>
        </w:rPr>
        <w:t>促进经济社会平稳运行的宏观政策取向。要把畅通市场准入作为</w:t>
      </w:r>
      <w:r>
        <w:rPr>
          <w:spacing w:val="15"/>
        </w:rPr>
        <w:t xml:space="preserve"> </w:t>
      </w:r>
      <w:r>
        <w:rPr>
          <w:spacing w:val="-3"/>
        </w:rPr>
        <w:t>激发市场活力的首要环节，加快“放管服”改革，加大制度创新，</w:t>
      </w:r>
      <w:r>
        <w:rPr>
          <w:spacing w:val="16"/>
        </w:rPr>
        <w:t xml:space="preserve"> </w:t>
      </w:r>
      <w:r>
        <w:rPr>
          <w:spacing w:val="9"/>
        </w:rPr>
        <w:t>着力营造市场化、法制化、国际化营商环境。</w:t>
      </w:r>
    </w:p>
    <w:p w14:paraId="59A0DF4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34B53257">
      <w:pPr>
        <w:keepNext w:val="0"/>
        <w:keepLines w:val="0"/>
        <w:pageBreakBefore w:val="0"/>
        <w:widowControl/>
        <w:kinsoku w:val="0"/>
        <w:wordWrap/>
        <w:overflowPunct/>
        <w:topLinePunct w:val="0"/>
        <w:autoSpaceDE w:val="0"/>
        <w:autoSpaceDN w:val="0"/>
        <w:bidi w:val="0"/>
        <w:adjustRightInd w:val="0"/>
        <w:snapToGrid w:val="0"/>
        <w:spacing w:line="560" w:lineRule="exact"/>
        <w:ind w:left="2831"/>
        <w:textAlignment w:val="baseline"/>
        <w:outlineLvl w:val="1"/>
        <w:rPr>
          <w:rFonts w:ascii="KaiTi_GB2312" w:hAnsi="KaiTi_GB2312" w:eastAsia="KaiTi_GB2312" w:cs="KaiTi_GB2312"/>
          <w:sz w:val="31"/>
          <w:szCs w:val="31"/>
        </w:rPr>
      </w:pPr>
      <w:r>
        <w:rPr>
          <w:rFonts w:ascii="KaiTi_GB2312" w:hAnsi="KaiTi_GB2312" w:eastAsia="KaiTi_GB2312" w:cs="KaiTi_GB2312"/>
          <w:b/>
          <w:bCs/>
          <w:spacing w:val="5"/>
          <w:sz w:val="31"/>
          <w:szCs w:val="31"/>
        </w:rPr>
        <w:t>第一节</w:t>
      </w:r>
      <w:r>
        <w:rPr>
          <w:rFonts w:ascii="KaiTi_GB2312" w:hAnsi="KaiTi_GB2312" w:eastAsia="KaiTi_GB2312" w:cs="KaiTi_GB2312"/>
          <w:spacing w:val="5"/>
          <w:sz w:val="31"/>
          <w:szCs w:val="31"/>
        </w:rPr>
        <w:t xml:space="preserve">  </w:t>
      </w:r>
      <w:r>
        <w:rPr>
          <w:rFonts w:ascii="KaiTi_GB2312" w:hAnsi="KaiTi_GB2312" w:eastAsia="KaiTi_GB2312" w:cs="KaiTi_GB2312"/>
          <w:b/>
          <w:bCs/>
          <w:spacing w:val="5"/>
          <w:sz w:val="31"/>
          <w:szCs w:val="31"/>
        </w:rPr>
        <w:t>健全准入制度</w:t>
      </w:r>
    </w:p>
    <w:p w14:paraId="725DF0B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2" w:right="110" w:firstLine="642"/>
        <w:jc w:val="both"/>
        <w:textAlignment w:val="baseline"/>
      </w:pPr>
      <w:r>
        <w:rPr>
          <w:b/>
          <w:bCs/>
          <w:spacing w:val="3"/>
        </w:rPr>
        <w:t>实施市场准入负面清单管理制度。</w:t>
      </w:r>
      <w:r>
        <w:rPr>
          <w:spacing w:val="3"/>
        </w:rPr>
        <w:t>全面落实市场</w:t>
      </w:r>
      <w:r>
        <w:rPr>
          <w:spacing w:val="2"/>
        </w:rPr>
        <w:t>准入负面清</w:t>
      </w:r>
      <w:r>
        <w:t xml:space="preserve"> </w:t>
      </w:r>
      <w:r>
        <w:rPr>
          <w:spacing w:val="5"/>
        </w:rPr>
        <w:t>单，清单以外的领域，各类市场主体均可以依法平等进入。严格</w:t>
      </w:r>
      <w:r>
        <w:rPr>
          <w:spacing w:val="2"/>
        </w:rPr>
        <w:t xml:space="preserve"> </w:t>
      </w:r>
      <w:r>
        <w:rPr>
          <w:spacing w:val="5"/>
        </w:rPr>
        <w:t>落实外商投资准入前国民待遇加负面清单管理制度，在省、市的</w:t>
      </w:r>
      <w:r>
        <w:rPr>
          <w:spacing w:val="14"/>
        </w:rPr>
        <w:t xml:space="preserve"> </w:t>
      </w:r>
      <w:r>
        <w:rPr>
          <w:spacing w:val="-4"/>
        </w:rPr>
        <w:t>统一部署下健全与市场准入负面清单制度相适应的信</w:t>
      </w:r>
      <w:r>
        <w:rPr>
          <w:spacing w:val="-5"/>
        </w:rPr>
        <w:t>息共享机制、</w:t>
      </w:r>
      <w:r>
        <w:t xml:space="preserve"> </w:t>
      </w:r>
      <w:r>
        <w:rPr>
          <w:spacing w:val="5"/>
        </w:rPr>
        <w:t xml:space="preserve">事中事后监管机制、信用约束和激励机制，建立市场准入隐形壁 </w:t>
      </w:r>
      <w:r>
        <w:rPr>
          <w:spacing w:val="7"/>
        </w:rPr>
        <w:t>垒</w:t>
      </w:r>
      <w:r>
        <w:rPr>
          <w:rFonts w:hint="eastAsia"/>
          <w:spacing w:val="7"/>
          <w:lang w:eastAsia="zh-CN"/>
        </w:rPr>
        <w:t>台账</w:t>
      </w:r>
      <w:r>
        <w:rPr>
          <w:spacing w:val="7"/>
        </w:rPr>
        <w:t>，健全市场主体对隐性壁垒的意见反馈</w:t>
      </w:r>
      <w:r>
        <w:rPr>
          <w:spacing w:val="6"/>
        </w:rPr>
        <w:t>和处理回应机制。</w:t>
      </w:r>
    </w:p>
    <w:p w14:paraId="7C446F2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7" w:firstLine="637"/>
        <w:jc w:val="both"/>
        <w:textAlignment w:val="baseline"/>
      </w:pPr>
      <w:r>
        <w:rPr>
          <w:b/>
          <w:bCs/>
          <w:spacing w:val="3"/>
        </w:rPr>
        <w:t>深化市场主体登记注册制度改革。</w:t>
      </w:r>
      <w:r>
        <w:rPr>
          <w:spacing w:val="3"/>
        </w:rPr>
        <w:t>根据新修订的《企业名称</w:t>
      </w:r>
      <w:r>
        <w:rPr>
          <w:spacing w:val="4"/>
        </w:rPr>
        <w:t xml:space="preserve">  </w:t>
      </w:r>
      <w:r>
        <w:rPr>
          <w:spacing w:val="5"/>
        </w:rPr>
        <w:t>登记管理规定》及总局、省局、市局配套文件的要求，开展规范</w:t>
      </w:r>
      <w:r>
        <w:rPr>
          <w:spacing w:val="3"/>
        </w:rPr>
        <w:t xml:space="preserve">  </w:t>
      </w:r>
      <w:r>
        <w:rPr>
          <w:spacing w:val="5"/>
        </w:rPr>
        <w:t xml:space="preserve">企业名称登记管理工作，提升名称自主申报智能化水平，完善企  业名称纠错机制，全面实行企业经营范围规范化登记。根据《韶  </w:t>
      </w:r>
      <w:r>
        <w:t>关市商事主体住所登记管理办法》，进一步放宽住所</w:t>
      </w:r>
      <w:r>
        <w:rPr>
          <w:spacing w:val="-1"/>
        </w:rPr>
        <w:t>（经营场所）</w:t>
      </w:r>
      <w:r>
        <w:t xml:space="preserve"> </w:t>
      </w:r>
      <w:r>
        <w:rPr>
          <w:spacing w:val="7"/>
        </w:rPr>
        <w:t>限制，优化住所申报制。</w:t>
      </w:r>
    </w:p>
    <w:p w14:paraId="056B26E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8" w:right="153" w:firstLine="636"/>
        <w:jc w:val="both"/>
        <w:textAlignment w:val="baseline"/>
      </w:pPr>
      <w:r>
        <w:rPr>
          <w:b/>
          <w:bCs/>
          <w:spacing w:val="3"/>
        </w:rPr>
        <w:t>深化企业开办便利化改革。</w:t>
      </w:r>
      <w:r>
        <w:rPr>
          <w:spacing w:val="3"/>
        </w:rPr>
        <w:t>进一步促进营商环境市场化法治</w:t>
      </w:r>
      <w:r>
        <w:rPr>
          <w:spacing w:val="15"/>
        </w:rPr>
        <w:t xml:space="preserve"> </w:t>
      </w:r>
      <w:r>
        <w:rPr>
          <w:spacing w:val="5"/>
        </w:rPr>
        <w:t>化国际化，按照国家和省、市局统一规划和部署，全面推行企业</w:t>
      </w:r>
      <w:r>
        <w:rPr>
          <w:spacing w:val="8"/>
        </w:rPr>
        <w:t xml:space="preserve"> </w:t>
      </w:r>
      <w:r>
        <w:rPr>
          <w:spacing w:val="5"/>
        </w:rPr>
        <w:t>开办“一表申请、一网通办、一窗通取”。推进商事主体智能化</w:t>
      </w:r>
      <w:r>
        <w:rPr>
          <w:spacing w:val="8"/>
        </w:rPr>
        <w:t xml:space="preserve"> </w:t>
      </w:r>
      <w:r>
        <w:rPr>
          <w:spacing w:val="5"/>
        </w:rPr>
        <w:t>登记审批系统建设。推进市场主体登记注册规范化建设，统一服</w:t>
      </w:r>
    </w:p>
    <w:p w14:paraId="2DFE1DB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sectPr>
          <w:footerReference r:id="rId10" w:type="default"/>
          <w:pgSz w:w="11906" w:h="16839"/>
          <w:pgMar w:top="1431" w:right="1319" w:bottom="1784" w:left="1593" w:header="0" w:footer="1421" w:gutter="0"/>
          <w:cols w:space="720" w:num="1"/>
        </w:sectPr>
      </w:pPr>
    </w:p>
    <w:p w14:paraId="2DBE797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07EB7C8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3DEEA41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9" w:firstLine="2"/>
        <w:jc w:val="both"/>
        <w:textAlignment w:val="baseline"/>
      </w:pPr>
      <w:r>
        <w:rPr>
          <w:spacing w:val="-3"/>
        </w:rPr>
        <w:t>务和数据标准，完善一体化服务平台，拓展实名认证、电子签章、</w:t>
      </w:r>
      <w:r>
        <w:rPr>
          <w:spacing w:val="18"/>
        </w:rPr>
        <w:t xml:space="preserve"> </w:t>
      </w:r>
      <w:r>
        <w:rPr>
          <w:spacing w:val="5"/>
        </w:rPr>
        <w:t>电子证照应用等服务，不断提升智能导办服务水平，构建应用良</w:t>
      </w:r>
      <w:r>
        <w:rPr>
          <w:spacing w:val="6"/>
        </w:rPr>
        <w:t xml:space="preserve"> </w:t>
      </w:r>
      <w:r>
        <w:rPr>
          <w:spacing w:val="3"/>
        </w:rPr>
        <w:t>好生态。</w:t>
      </w:r>
    </w:p>
    <w:p w14:paraId="45F04A9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2" w:right="13" w:firstLine="634"/>
        <w:jc w:val="both"/>
        <w:textAlignment w:val="baseline"/>
      </w:pPr>
      <w:r>
        <w:rPr>
          <w:b/>
          <w:bCs/>
          <w:spacing w:val="16"/>
        </w:rPr>
        <w:t>推进产品准入制度改革。</w:t>
      </w:r>
      <w:r>
        <w:rPr>
          <w:spacing w:val="16"/>
        </w:rPr>
        <w:t>落实国务院关于在全国范围退化</w:t>
      </w:r>
      <w:r>
        <w:rPr>
          <w:spacing w:val="6"/>
        </w:rPr>
        <w:t xml:space="preserve"> </w:t>
      </w:r>
      <w:r>
        <w:rPr>
          <w:spacing w:val="-3"/>
        </w:rPr>
        <w:t>“证照分离”改革的部署安排。扩大食品生产、经营承诺制范围，</w:t>
      </w:r>
      <w:r>
        <w:rPr>
          <w:spacing w:val="4"/>
        </w:rPr>
        <w:t xml:space="preserve"> </w:t>
      </w:r>
      <w:r>
        <w:rPr>
          <w:spacing w:val="8"/>
        </w:rPr>
        <w:t>深入推进食品生产许可和经营许可制度改革。</w:t>
      </w:r>
    </w:p>
    <w:p w14:paraId="4BABB80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139FDC81">
      <w:pPr>
        <w:keepNext w:val="0"/>
        <w:keepLines w:val="0"/>
        <w:pageBreakBefore w:val="0"/>
        <w:widowControl/>
        <w:kinsoku w:val="0"/>
        <w:wordWrap/>
        <w:overflowPunct/>
        <w:topLinePunct w:val="0"/>
        <w:autoSpaceDE w:val="0"/>
        <w:autoSpaceDN w:val="0"/>
        <w:bidi w:val="0"/>
        <w:adjustRightInd w:val="0"/>
        <w:snapToGrid w:val="0"/>
        <w:spacing w:line="560" w:lineRule="exact"/>
        <w:ind w:left="2513"/>
        <w:textAlignment w:val="baseline"/>
        <w:outlineLvl w:val="1"/>
        <w:rPr>
          <w:rFonts w:ascii="KaiTi_GB2312" w:hAnsi="KaiTi_GB2312" w:eastAsia="KaiTi_GB2312" w:cs="KaiTi_GB2312"/>
          <w:sz w:val="31"/>
          <w:szCs w:val="31"/>
        </w:rPr>
      </w:pPr>
      <w:r>
        <w:rPr>
          <w:rFonts w:ascii="KaiTi_GB2312" w:hAnsi="KaiTi_GB2312" w:eastAsia="KaiTi_GB2312" w:cs="KaiTi_GB2312"/>
          <w:b/>
          <w:bCs/>
          <w:spacing w:val="5"/>
          <w:sz w:val="31"/>
          <w:szCs w:val="31"/>
        </w:rPr>
        <w:t>第二节</w:t>
      </w:r>
      <w:r>
        <w:rPr>
          <w:rFonts w:ascii="KaiTi_GB2312" w:hAnsi="KaiTi_GB2312" w:eastAsia="KaiTi_GB2312" w:cs="KaiTi_GB2312"/>
          <w:spacing w:val="5"/>
          <w:sz w:val="31"/>
          <w:szCs w:val="31"/>
        </w:rPr>
        <w:t xml:space="preserve">  </w:t>
      </w:r>
      <w:r>
        <w:rPr>
          <w:rFonts w:ascii="KaiTi_GB2312" w:hAnsi="KaiTi_GB2312" w:eastAsia="KaiTi_GB2312" w:cs="KaiTi_GB2312"/>
          <w:b/>
          <w:bCs/>
          <w:spacing w:val="5"/>
          <w:sz w:val="31"/>
          <w:szCs w:val="31"/>
        </w:rPr>
        <w:t>改革涉企许可制度</w:t>
      </w:r>
    </w:p>
    <w:p w14:paraId="03F16DC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37" w:firstLine="653"/>
        <w:jc w:val="both"/>
        <w:textAlignment w:val="baseline"/>
      </w:pPr>
      <w:r>
        <w:rPr>
          <w:b/>
          <w:bCs/>
          <w:spacing w:val="4"/>
        </w:rPr>
        <w:t>深入推进涉企行政审批制度改革。</w:t>
      </w:r>
      <w:r>
        <w:rPr>
          <w:spacing w:val="4"/>
        </w:rPr>
        <w:t>持续推进“</w:t>
      </w:r>
      <w:r>
        <w:rPr>
          <w:spacing w:val="-119"/>
        </w:rPr>
        <w:t xml:space="preserve"> </w:t>
      </w:r>
      <w:r>
        <w:rPr>
          <w:spacing w:val="3"/>
        </w:rPr>
        <w:t>照后减证”，</w:t>
      </w:r>
      <w:r>
        <w:t xml:space="preserve"> </w:t>
      </w:r>
      <w:r>
        <w:rPr>
          <w:spacing w:val="5"/>
        </w:rPr>
        <w:t>严格落实涉企经营许可清单管理制度，建立动态管理机制，清单</w:t>
      </w:r>
      <w:r>
        <w:rPr>
          <w:spacing w:val="16"/>
        </w:rPr>
        <w:t xml:space="preserve"> </w:t>
      </w:r>
      <w:r>
        <w:rPr>
          <w:spacing w:val="5"/>
        </w:rPr>
        <w:t>以外不得违法限制市场主体开展经营。优化审批流程，加快行政</w:t>
      </w:r>
      <w:r>
        <w:rPr>
          <w:spacing w:val="16"/>
        </w:rPr>
        <w:t xml:space="preserve"> </w:t>
      </w:r>
      <w:r>
        <w:rPr>
          <w:spacing w:val="5"/>
        </w:rPr>
        <w:t>审批条件标准化建设，取消不涉及法律法规规定、市场机制能有</w:t>
      </w:r>
      <w:r>
        <w:rPr>
          <w:spacing w:val="18"/>
        </w:rPr>
        <w:t xml:space="preserve"> </w:t>
      </w:r>
      <w:r>
        <w:rPr>
          <w:spacing w:val="7"/>
        </w:rPr>
        <w:t>效调节的审批条件。</w:t>
      </w:r>
    </w:p>
    <w:p w14:paraId="092B66D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2" w:right="51" w:firstLine="642"/>
        <w:jc w:val="both"/>
        <w:textAlignment w:val="baseline"/>
      </w:pPr>
      <w:r>
        <w:rPr>
          <w:b/>
          <w:bCs/>
          <w:spacing w:val="2"/>
        </w:rPr>
        <w:t>建立以告知承诺为主的市场主体准营管理模式。</w:t>
      </w:r>
      <w:r>
        <w:rPr>
          <w:spacing w:val="2"/>
        </w:rPr>
        <w:t>广泛推行涉</w:t>
      </w:r>
      <w:r>
        <w:rPr>
          <w:spacing w:val="18"/>
        </w:rPr>
        <w:t xml:space="preserve"> </w:t>
      </w:r>
      <w:r>
        <w:rPr>
          <w:spacing w:val="7"/>
        </w:rPr>
        <w:t>企经营许可告知承诺制，提升市场主体准营透明度和可预期性。</w:t>
      </w:r>
      <w:r>
        <w:rPr>
          <w:spacing w:val="4"/>
        </w:rPr>
        <w:t xml:space="preserve"> </w:t>
      </w:r>
      <w:r>
        <w:rPr>
          <w:spacing w:val="5"/>
        </w:rPr>
        <w:t>符合许可经营条件并作出依法承担有关责任承诺的，可当场申领</w:t>
      </w:r>
      <w:r>
        <w:rPr>
          <w:spacing w:val="14"/>
        </w:rPr>
        <w:t xml:space="preserve"> </w:t>
      </w:r>
      <w:r>
        <w:rPr>
          <w:spacing w:val="8"/>
        </w:rPr>
        <w:t>相关许可证件并依法开展经营。</w:t>
      </w:r>
    </w:p>
    <w:p w14:paraId="1E65781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7" w:right="6" w:firstLine="649"/>
        <w:jc w:val="both"/>
        <w:textAlignment w:val="baseline"/>
      </w:pPr>
      <w:r>
        <w:rPr>
          <w:b/>
          <w:bCs/>
          <w:spacing w:val="3"/>
        </w:rPr>
        <w:t>开展</w:t>
      </w:r>
      <w:r>
        <w:rPr>
          <w:rFonts w:ascii="Times New Roman" w:hAnsi="Times New Roman" w:eastAsia="Times New Roman" w:cs="Times New Roman"/>
          <w:b/>
          <w:bCs/>
          <w:spacing w:val="3"/>
        </w:rPr>
        <w:t>“</w:t>
      </w:r>
      <w:r>
        <w:rPr>
          <w:b/>
          <w:bCs/>
          <w:spacing w:val="3"/>
        </w:rPr>
        <w:t>一照通行</w:t>
      </w:r>
      <w:r>
        <w:rPr>
          <w:rFonts w:ascii="Times New Roman" w:hAnsi="Times New Roman" w:eastAsia="Times New Roman" w:cs="Times New Roman"/>
          <w:b/>
          <w:bCs/>
          <w:spacing w:val="3"/>
        </w:rPr>
        <w:t>”</w:t>
      </w:r>
      <w:r>
        <w:rPr>
          <w:b/>
          <w:bCs/>
          <w:spacing w:val="3"/>
        </w:rPr>
        <w:t>涉企审批服务改革。</w:t>
      </w:r>
      <w:r>
        <w:rPr>
          <w:spacing w:val="3"/>
        </w:rPr>
        <w:t>探索推行</w:t>
      </w:r>
      <w:r>
        <w:rPr>
          <w:spacing w:val="2"/>
        </w:rPr>
        <w:t>主题式套餐式</w:t>
      </w:r>
      <w:r>
        <w:t xml:space="preserve"> </w:t>
      </w:r>
      <w:r>
        <w:rPr>
          <w:spacing w:val="-3"/>
        </w:rPr>
        <w:t>“证照联办”服务，统一许可审批标准，实现关联许可联审联办。</w:t>
      </w:r>
      <w:r>
        <w:rPr>
          <w:spacing w:val="17"/>
        </w:rPr>
        <w:t xml:space="preserve"> </w:t>
      </w:r>
      <w:r>
        <w:rPr>
          <w:spacing w:val="5"/>
        </w:rPr>
        <w:t>归集企业许可信息，优化以营业执照为载体的许可信息查询、校</w:t>
      </w:r>
      <w:r>
        <w:rPr>
          <w:spacing w:val="11"/>
        </w:rPr>
        <w:t xml:space="preserve"> </w:t>
      </w:r>
      <w:r>
        <w:rPr>
          <w:spacing w:val="-3"/>
        </w:rPr>
        <w:t>验等服务，实现“一照通行”。协助建立统一许可业务审批系统。</w:t>
      </w:r>
    </w:p>
    <w:p w14:paraId="0308FA0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46A6189B">
      <w:pPr>
        <w:keepNext w:val="0"/>
        <w:keepLines w:val="0"/>
        <w:pageBreakBefore w:val="0"/>
        <w:widowControl/>
        <w:kinsoku w:val="0"/>
        <w:wordWrap/>
        <w:overflowPunct/>
        <w:topLinePunct w:val="0"/>
        <w:autoSpaceDE w:val="0"/>
        <w:autoSpaceDN w:val="0"/>
        <w:bidi w:val="0"/>
        <w:adjustRightInd w:val="0"/>
        <w:snapToGrid w:val="0"/>
        <w:spacing w:line="560" w:lineRule="exact"/>
        <w:ind w:left="2832"/>
        <w:textAlignment w:val="baseline"/>
        <w:outlineLvl w:val="1"/>
        <w:rPr>
          <w:rFonts w:ascii="KaiTi_GB2312" w:hAnsi="KaiTi_GB2312" w:eastAsia="KaiTi_GB2312" w:cs="KaiTi_GB2312"/>
          <w:sz w:val="31"/>
          <w:szCs w:val="31"/>
        </w:rPr>
      </w:pPr>
      <w:r>
        <w:rPr>
          <w:rFonts w:ascii="KaiTi_GB2312" w:hAnsi="KaiTi_GB2312" w:eastAsia="KaiTi_GB2312" w:cs="KaiTi_GB2312"/>
          <w:b/>
          <w:bCs/>
          <w:spacing w:val="2"/>
          <w:sz w:val="31"/>
          <w:szCs w:val="31"/>
        </w:rPr>
        <w:t>第三节</w:t>
      </w:r>
      <w:r>
        <w:rPr>
          <w:rFonts w:ascii="KaiTi_GB2312" w:hAnsi="KaiTi_GB2312" w:eastAsia="KaiTi_GB2312" w:cs="KaiTi_GB2312"/>
          <w:spacing w:val="19"/>
          <w:sz w:val="31"/>
          <w:szCs w:val="31"/>
        </w:rPr>
        <w:t xml:space="preserve">  </w:t>
      </w:r>
      <w:r>
        <w:rPr>
          <w:rFonts w:ascii="KaiTi_GB2312" w:hAnsi="KaiTi_GB2312" w:eastAsia="KaiTi_GB2312" w:cs="KaiTi_GB2312"/>
          <w:b/>
          <w:bCs/>
          <w:spacing w:val="2"/>
          <w:sz w:val="31"/>
          <w:szCs w:val="31"/>
        </w:rPr>
        <w:t>完善退出制度</w:t>
      </w:r>
    </w:p>
    <w:p w14:paraId="5C8A0A2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1" w:firstLine="650"/>
        <w:jc w:val="both"/>
        <w:textAlignment w:val="baseline"/>
      </w:pPr>
      <w:r>
        <w:rPr>
          <w:spacing w:val="8"/>
        </w:rPr>
        <w:t>贯彻落实《广东省深化市场主体退出制度改革实</w:t>
      </w:r>
      <w:r>
        <w:rPr>
          <w:spacing w:val="7"/>
        </w:rPr>
        <w:t>施方案》，</w:t>
      </w:r>
      <w:r>
        <w:t xml:space="preserve"> </w:t>
      </w:r>
      <w:r>
        <w:rPr>
          <w:spacing w:val="5"/>
        </w:rPr>
        <w:t>在省、市局的指导下，深化退出制度改革，落实企业注销主体责</w:t>
      </w:r>
      <w:r>
        <w:rPr>
          <w:spacing w:val="12"/>
        </w:rPr>
        <w:t xml:space="preserve"> </w:t>
      </w:r>
      <w:r>
        <w:rPr>
          <w:spacing w:val="5"/>
        </w:rPr>
        <w:t>任、简化企业注销程序和材料，畅通企业主动退出渠道，继续推</w:t>
      </w:r>
      <w:r>
        <w:rPr>
          <w:spacing w:val="12"/>
        </w:rPr>
        <w:t xml:space="preserve"> </w:t>
      </w:r>
      <w:r>
        <w:rPr>
          <w:spacing w:val="5"/>
        </w:rPr>
        <w:t>进注销便利化各项工作，完善简易注销登记改革，强化司法清算</w:t>
      </w:r>
      <w:r>
        <w:rPr>
          <w:spacing w:val="12"/>
        </w:rPr>
        <w:t xml:space="preserve"> </w:t>
      </w:r>
      <w:r>
        <w:rPr>
          <w:spacing w:val="-3"/>
        </w:rPr>
        <w:t>与注销登记相衔接，规范强制清算、破产清算后的注销登记程序，</w:t>
      </w:r>
      <w:r>
        <w:rPr>
          <w:spacing w:val="11"/>
        </w:rPr>
        <w:t xml:space="preserve"> </w:t>
      </w:r>
      <w:r>
        <w:rPr>
          <w:spacing w:val="9"/>
        </w:rPr>
        <w:t>完善企业强制退出制度，推动失联、“僵尸”企业吊销出清。</w:t>
      </w:r>
    </w:p>
    <w:p w14:paraId="53B6E192">
      <w:pPr>
        <w:keepNext w:val="0"/>
        <w:keepLines w:val="0"/>
        <w:pageBreakBefore w:val="0"/>
        <w:widowControl/>
        <w:kinsoku w:val="0"/>
        <w:wordWrap/>
        <w:overflowPunct/>
        <w:topLinePunct w:val="0"/>
        <w:autoSpaceDE w:val="0"/>
        <w:autoSpaceDN w:val="0"/>
        <w:bidi w:val="0"/>
        <w:adjustRightInd w:val="0"/>
        <w:snapToGrid w:val="0"/>
        <w:spacing w:line="560" w:lineRule="exact"/>
        <w:ind w:left="750"/>
        <w:textAlignment w:val="baseline"/>
        <w:outlineLvl w:val="0"/>
        <w:rPr>
          <w:rFonts w:ascii="黑体" w:hAnsi="黑体" w:eastAsia="黑体" w:cs="黑体"/>
          <w:sz w:val="31"/>
          <w:szCs w:val="31"/>
        </w:rPr>
      </w:pPr>
      <w:r>
        <w:rPr>
          <w:rFonts w:ascii="黑体" w:hAnsi="黑体" w:eastAsia="黑体" w:cs="黑体"/>
          <w:spacing w:val="8"/>
          <w:sz w:val="31"/>
          <w:szCs w:val="31"/>
        </w:rPr>
        <w:t>第三章  强化竞争政策基础地位，保障市场公平竞争</w:t>
      </w:r>
    </w:p>
    <w:p w14:paraId="6671BE7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6" w:right="81" w:firstLine="644"/>
        <w:jc w:val="both"/>
        <w:textAlignment w:val="baseline"/>
      </w:pPr>
      <w:r>
        <w:rPr>
          <w:spacing w:val="5"/>
        </w:rPr>
        <w:t>全面落实公平竞争审查制度，强化竞争执法，夯实高标准市</w:t>
      </w:r>
      <w:r>
        <w:rPr>
          <w:spacing w:val="3"/>
        </w:rPr>
        <w:t xml:space="preserve"> </w:t>
      </w:r>
      <w:r>
        <w:rPr>
          <w:spacing w:val="5"/>
        </w:rPr>
        <w:t>场体系制度基础，最大限度减少政府对市场资源的直接配置和对</w:t>
      </w:r>
      <w:r>
        <w:rPr>
          <w:spacing w:val="15"/>
        </w:rPr>
        <w:t xml:space="preserve"> </w:t>
      </w:r>
      <w:r>
        <w:rPr>
          <w:spacing w:val="5"/>
        </w:rPr>
        <w:t>微观经济活动的直接干预，激发各类市场主体活力，为实现国内</w:t>
      </w:r>
      <w:r>
        <w:rPr>
          <w:spacing w:val="15"/>
        </w:rPr>
        <w:t xml:space="preserve"> </w:t>
      </w:r>
      <w:r>
        <w:rPr>
          <w:spacing w:val="8"/>
        </w:rPr>
        <w:t>大循环提供统一大市场。</w:t>
      </w:r>
    </w:p>
    <w:p w14:paraId="11C7DEA4">
      <w:pPr>
        <w:keepNext w:val="0"/>
        <w:keepLines w:val="0"/>
        <w:pageBreakBefore w:val="0"/>
        <w:widowControl/>
        <w:kinsoku w:val="0"/>
        <w:wordWrap/>
        <w:overflowPunct/>
        <w:topLinePunct w:val="0"/>
        <w:autoSpaceDE w:val="0"/>
        <w:autoSpaceDN w:val="0"/>
        <w:bidi w:val="0"/>
        <w:adjustRightInd w:val="0"/>
        <w:snapToGrid w:val="0"/>
        <w:spacing w:line="560" w:lineRule="exact"/>
        <w:ind w:left="1714"/>
        <w:textAlignment w:val="baseline"/>
        <w:outlineLvl w:val="1"/>
        <w:rPr>
          <w:rFonts w:ascii="KaiTi_GB2312" w:hAnsi="KaiTi_GB2312" w:eastAsia="KaiTi_GB2312" w:cs="KaiTi_GB2312"/>
          <w:sz w:val="31"/>
          <w:szCs w:val="31"/>
        </w:rPr>
      </w:pPr>
      <w:r>
        <w:rPr>
          <w:rFonts w:ascii="KaiTi_GB2312" w:hAnsi="KaiTi_GB2312" w:eastAsia="KaiTi_GB2312" w:cs="KaiTi_GB2312"/>
          <w:b/>
          <w:bCs/>
          <w:spacing w:val="6"/>
          <w:sz w:val="31"/>
          <w:szCs w:val="31"/>
        </w:rPr>
        <w:t>第一节</w:t>
      </w:r>
      <w:r>
        <w:rPr>
          <w:rFonts w:ascii="KaiTi_GB2312" w:hAnsi="KaiTi_GB2312" w:eastAsia="KaiTi_GB2312" w:cs="KaiTi_GB2312"/>
          <w:spacing w:val="6"/>
          <w:sz w:val="31"/>
          <w:szCs w:val="31"/>
        </w:rPr>
        <w:t xml:space="preserve">  </w:t>
      </w:r>
      <w:r>
        <w:rPr>
          <w:rFonts w:ascii="KaiTi_GB2312" w:hAnsi="KaiTi_GB2312" w:eastAsia="KaiTi_GB2312" w:cs="KaiTi_GB2312"/>
          <w:b/>
          <w:bCs/>
          <w:spacing w:val="6"/>
          <w:sz w:val="31"/>
          <w:szCs w:val="31"/>
        </w:rPr>
        <w:t>打破行政垄断，防止市场垄断</w:t>
      </w:r>
    </w:p>
    <w:p w14:paraId="76ADD5B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1" w:firstLine="660"/>
        <w:textAlignment w:val="baseline"/>
      </w:pPr>
      <w:r>
        <w:rPr>
          <w:b/>
          <w:bCs/>
          <w:spacing w:val="-6"/>
        </w:rPr>
        <w:t>强化竞争政策基础地位。</w:t>
      </w:r>
      <w:r>
        <w:rPr>
          <w:spacing w:val="-6"/>
        </w:rPr>
        <w:t>落实国家和省、市的各项竞争政策，</w:t>
      </w:r>
      <w:r>
        <w:rPr>
          <w:spacing w:val="9"/>
        </w:rPr>
        <w:t xml:space="preserve"> </w:t>
      </w:r>
      <w:r>
        <w:rPr>
          <w:spacing w:val="5"/>
        </w:rPr>
        <w:t>切实提高维护市场公平竞争的能力。促进竞争政策与产业政策协</w:t>
      </w:r>
      <w:r>
        <w:rPr>
          <w:spacing w:val="12"/>
        </w:rPr>
        <w:t xml:space="preserve"> </w:t>
      </w:r>
      <w:r>
        <w:rPr>
          <w:spacing w:val="-3"/>
        </w:rPr>
        <w:t>调发展，推动产业政策由差异化、选择性向普惠化、功能性转变，</w:t>
      </w:r>
      <w:r>
        <w:rPr>
          <w:spacing w:val="11"/>
        </w:rPr>
        <w:t xml:space="preserve"> </w:t>
      </w:r>
      <w:r>
        <w:rPr>
          <w:spacing w:val="9"/>
        </w:rPr>
        <w:t>让市场机制更多发挥配置资源的决定性作用。倡导公平竞争文</w:t>
      </w:r>
      <w:r>
        <w:rPr>
          <w:spacing w:val="6"/>
        </w:rPr>
        <w:t xml:space="preserve">  </w:t>
      </w:r>
      <w:r>
        <w:rPr>
          <w:spacing w:val="7"/>
        </w:rPr>
        <w:t>化，提升社会竞争意识。</w:t>
      </w:r>
    </w:p>
    <w:p w14:paraId="1B378BA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3" w:right="83" w:firstLine="653"/>
        <w:jc w:val="both"/>
        <w:textAlignment w:val="baseline"/>
      </w:pPr>
      <w:r>
        <w:rPr>
          <w:b/>
          <w:bCs/>
          <w:spacing w:val="3"/>
        </w:rPr>
        <w:t>配合做好反垄断执法。</w:t>
      </w:r>
      <w:r>
        <w:rPr>
          <w:spacing w:val="3"/>
        </w:rPr>
        <w:t>配合国家和省、市反垄断机构查处核</w:t>
      </w:r>
      <w:r>
        <w:rPr>
          <w:spacing w:val="5"/>
        </w:rPr>
        <w:t xml:space="preserve"> </w:t>
      </w:r>
      <w:r>
        <w:rPr>
          <w:spacing w:val="9"/>
        </w:rPr>
        <w:t>心卡特尔</w:t>
      </w:r>
      <w:r>
        <w:fldChar w:fldCharType="begin"/>
      </w:r>
      <w:r>
        <w:instrText xml:space="preserve"> HYPERLINK \l "bookmark1" </w:instrText>
      </w:r>
      <w:r>
        <w:fldChar w:fldCharType="separate"/>
      </w:r>
      <w:r>
        <w:rPr>
          <w:spacing w:val="9"/>
          <w:position w:val="16"/>
          <w:sz w:val="16"/>
          <w:szCs w:val="16"/>
        </w:rPr>
        <w:t>1</w:t>
      </w:r>
      <w:r>
        <w:rPr>
          <w:spacing w:val="9"/>
          <w:position w:val="16"/>
          <w:sz w:val="16"/>
          <w:szCs w:val="16"/>
        </w:rPr>
        <w:fldChar w:fldCharType="end"/>
      </w:r>
      <w:r>
        <w:rPr>
          <w:spacing w:val="9"/>
        </w:rPr>
        <w:t>行为，重点规制民生领域行业协会组织会员达成和实</w:t>
      </w:r>
      <w:r>
        <w:rPr>
          <w:spacing w:val="2"/>
        </w:rPr>
        <w:t xml:space="preserve"> </w:t>
      </w:r>
      <w:bookmarkStart w:id="0" w:name="bookmark1"/>
      <w:bookmarkEnd w:id="0"/>
      <w:r>
        <w:rPr>
          <w:spacing w:val="5"/>
        </w:rPr>
        <w:t>施垄断协议行为，防止政府部门向协会和中介组织提供垄断性资</w:t>
      </w:r>
    </w:p>
    <w:p w14:paraId="64097AC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r>
        <w:pict>
          <v:shape id="_x0000_s1026" o:spid="_x0000_s1026" style="position:absolute;left:0pt;margin-left:0pt;margin-top:15.45pt;height:0pt;width:144pt;z-index:251659264;mso-width-relative:page;mso-height-relative:page;" filled="f" stroked="t" coordsize="2880,0" path="m0,0l2880,0e">
            <v:fill on="f" focussize="0,0"/>
            <v:stroke weight="0pt" color="#000000" miterlimit="0" joinstyle="bevel" endcap="square"/>
            <v:imagedata o:title=""/>
            <o:lock v:ext="edit"/>
          </v:shape>
        </w:pict>
      </w:r>
    </w:p>
    <w:p w14:paraId="73DC3F6C">
      <w:pPr>
        <w:keepNext w:val="0"/>
        <w:keepLines w:val="0"/>
        <w:pageBreakBefore w:val="0"/>
        <w:widowControl/>
        <w:kinsoku w:val="0"/>
        <w:wordWrap/>
        <w:overflowPunct/>
        <w:topLinePunct w:val="0"/>
        <w:autoSpaceDE w:val="0"/>
        <w:autoSpaceDN w:val="0"/>
        <w:bidi w:val="0"/>
        <w:adjustRightInd w:val="0"/>
        <w:snapToGrid w:val="0"/>
        <w:spacing w:line="560" w:lineRule="exact"/>
        <w:ind w:left="6" w:right="138" w:firstLine="6"/>
        <w:textAlignment w:val="baseline"/>
        <w:rPr>
          <w:rFonts w:ascii="宋体" w:hAnsi="宋体" w:eastAsia="宋体" w:cs="宋体"/>
          <w:sz w:val="18"/>
          <w:szCs w:val="18"/>
        </w:rPr>
      </w:pPr>
      <w:r>
        <w:rPr>
          <w:rFonts w:ascii="Times New Roman" w:hAnsi="Times New Roman" w:eastAsia="Times New Roman" w:cs="Times New Roman"/>
          <w:position w:val="5"/>
          <w:sz w:val="11"/>
          <w:szCs w:val="11"/>
        </w:rPr>
        <w:t xml:space="preserve">1   </w:t>
      </w:r>
      <w:r>
        <w:rPr>
          <w:rFonts w:ascii="宋体" w:hAnsi="宋体" w:eastAsia="宋体" w:cs="宋体"/>
          <w:sz w:val="18"/>
          <w:szCs w:val="18"/>
        </w:rPr>
        <w:t>核心卡特尔是指竞争者之间达成的反竞争协议、协同行为或安排，主要包括固定价格、串通投标、限</w:t>
      </w:r>
      <w:r>
        <w:rPr>
          <w:rFonts w:ascii="宋体" w:hAnsi="宋体" w:eastAsia="宋体" w:cs="宋体"/>
          <w:spacing w:val="-1"/>
          <w:sz w:val="18"/>
          <w:szCs w:val="18"/>
        </w:rPr>
        <w:t>制产销量</w:t>
      </w:r>
      <w:r>
        <w:rPr>
          <w:rFonts w:ascii="宋体" w:hAnsi="宋体" w:eastAsia="宋体" w:cs="宋体"/>
          <w:sz w:val="18"/>
          <w:szCs w:val="18"/>
        </w:rPr>
        <w:t xml:space="preserve"> </w:t>
      </w:r>
      <w:r>
        <w:rPr>
          <w:rFonts w:ascii="宋体" w:hAnsi="宋体" w:eastAsia="宋体" w:cs="宋体"/>
          <w:spacing w:val="-2"/>
          <w:sz w:val="18"/>
          <w:szCs w:val="18"/>
        </w:rPr>
        <w:t>和划分市场。</w:t>
      </w:r>
    </w:p>
    <w:p w14:paraId="4E06D3A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3" w:right="95" w:firstLine="9"/>
        <w:jc w:val="both"/>
        <w:textAlignment w:val="baseline"/>
      </w:pPr>
      <w:r>
        <w:rPr>
          <w:spacing w:val="5"/>
        </w:rPr>
        <w:t>源和政策保护。配合国家和省、市开展重点行业、重点领域反垄</w:t>
      </w:r>
      <w:r>
        <w:rPr>
          <w:spacing w:val="2"/>
        </w:rPr>
        <w:t xml:space="preserve"> </w:t>
      </w:r>
      <w:r>
        <w:rPr>
          <w:spacing w:val="5"/>
        </w:rPr>
        <w:t>断执法，查处地方保护、妨碍商品服务和生产要素自由流通等滥</w:t>
      </w:r>
      <w:r>
        <w:rPr>
          <w:spacing w:val="10"/>
        </w:rPr>
        <w:t xml:space="preserve"> </w:t>
      </w:r>
      <w:r>
        <w:rPr>
          <w:spacing w:val="8"/>
        </w:rPr>
        <w:t>用行政权力排除、限制竞争行为。</w:t>
      </w:r>
    </w:p>
    <w:p w14:paraId="3F510F6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2" w:right="45" w:firstLine="662"/>
        <w:jc w:val="both"/>
        <w:textAlignment w:val="baseline"/>
      </w:pPr>
      <w:r>
        <w:rPr>
          <w:b/>
          <w:bCs/>
          <w:spacing w:val="3"/>
        </w:rPr>
        <w:t>强化公平竞争审查刚性约束。</w:t>
      </w:r>
      <w:r>
        <w:rPr>
          <w:spacing w:val="3"/>
        </w:rPr>
        <w:t>健全公平竞争</w:t>
      </w:r>
      <w:r>
        <w:rPr>
          <w:spacing w:val="2"/>
        </w:rPr>
        <w:t>审查部门间联席</w:t>
      </w:r>
      <w:r>
        <w:t xml:space="preserve"> </w:t>
      </w:r>
      <w:r>
        <w:rPr>
          <w:spacing w:val="5"/>
        </w:rPr>
        <w:t>会议制度，构建维护公平竞争的长效机制。全面落实公平竞争审</w:t>
      </w:r>
      <w:r>
        <w:rPr>
          <w:spacing w:val="13"/>
        </w:rPr>
        <w:t xml:space="preserve"> </w:t>
      </w:r>
      <w:r>
        <w:rPr>
          <w:spacing w:val="5"/>
        </w:rPr>
        <w:t>查制度，逐步扩大公平竞争审查范围，强化制度刚性约束。按照</w:t>
      </w:r>
      <w:r>
        <w:rPr>
          <w:spacing w:val="11"/>
        </w:rPr>
        <w:t xml:space="preserve"> </w:t>
      </w:r>
      <w:r>
        <w:rPr>
          <w:spacing w:val="7"/>
        </w:rPr>
        <w:t xml:space="preserve">国家和省、市的统一部署，逐步建立和完善公平竞争审查抽查、 </w:t>
      </w:r>
      <w:r>
        <w:rPr>
          <w:spacing w:val="5"/>
        </w:rPr>
        <w:t>公示制度，建立健全第三方审查和评估机制。持续清理废除妨碍</w:t>
      </w:r>
      <w:r>
        <w:rPr>
          <w:spacing w:val="11"/>
        </w:rPr>
        <w:t xml:space="preserve"> </w:t>
      </w:r>
      <w:r>
        <w:rPr>
          <w:spacing w:val="5"/>
        </w:rPr>
        <w:t>市场统一和公平竞争的存量政策，提高各部门增量政策自我审查</w:t>
      </w:r>
      <w:r>
        <w:rPr>
          <w:spacing w:val="11"/>
        </w:rPr>
        <w:t xml:space="preserve"> </w:t>
      </w:r>
      <w:r>
        <w:rPr>
          <w:spacing w:val="6"/>
        </w:rPr>
        <w:t>质量和效率。</w:t>
      </w:r>
    </w:p>
    <w:p w14:paraId="7E45737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71A42F8A">
      <w:pPr>
        <w:keepNext w:val="0"/>
        <w:keepLines w:val="0"/>
        <w:pageBreakBefore w:val="0"/>
        <w:widowControl/>
        <w:kinsoku w:val="0"/>
        <w:wordWrap/>
        <w:overflowPunct/>
        <w:topLinePunct w:val="0"/>
        <w:autoSpaceDE w:val="0"/>
        <w:autoSpaceDN w:val="0"/>
        <w:bidi w:val="0"/>
        <w:adjustRightInd w:val="0"/>
        <w:snapToGrid w:val="0"/>
        <w:spacing w:line="560" w:lineRule="exact"/>
        <w:ind w:left="2189"/>
        <w:textAlignment w:val="baseline"/>
        <w:outlineLvl w:val="1"/>
        <w:rPr>
          <w:rFonts w:ascii="KaiTi_GB2312" w:hAnsi="KaiTi_GB2312" w:eastAsia="KaiTi_GB2312" w:cs="KaiTi_GB2312"/>
          <w:sz w:val="31"/>
          <w:szCs w:val="31"/>
        </w:rPr>
      </w:pPr>
      <w:r>
        <w:rPr>
          <w:rFonts w:ascii="KaiTi_GB2312" w:hAnsi="KaiTi_GB2312" w:eastAsia="KaiTi_GB2312" w:cs="KaiTi_GB2312"/>
          <w:b/>
          <w:bCs/>
          <w:spacing w:val="5"/>
          <w:sz w:val="31"/>
          <w:szCs w:val="31"/>
        </w:rPr>
        <w:t>第二节</w:t>
      </w:r>
      <w:r>
        <w:rPr>
          <w:rFonts w:ascii="KaiTi_GB2312" w:hAnsi="KaiTi_GB2312" w:eastAsia="KaiTi_GB2312" w:cs="KaiTi_GB2312"/>
          <w:spacing w:val="5"/>
          <w:sz w:val="31"/>
          <w:szCs w:val="31"/>
        </w:rPr>
        <w:t xml:space="preserve">  </w:t>
      </w:r>
      <w:r>
        <w:rPr>
          <w:rFonts w:ascii="KaiTi_GB2312" w:hAnsi="KaiTi_GB2312" w:eastAsia="KaiTi_GB2312" w:cs="KaiTi_GB2312"/>
          <w:b/>
          <w:bCs/>
          <w:spacing w:val="5"/>
          <w:sz w:val="31"/>
          <w:szCs w:val="31"/>
        </w:rPr>
        <w:t>加强反不正当竞争工作</w:t>
      </w:r>
    </w:p>
    <w:p w14:paraId="6393D67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7" w:firstLine="627"/>
        <w:jc w:val="both"/>
        <w:textAlignment w:val="baseline"/>
      </w:pPr>
      <w:r>
        <w:rPr>
          <w:b/>
          <w:bCs/>
          <w:spacing w:val="3"/>
        </w:rPr>
        <w:t>加强和改进反不正当竞争执法。</w:t>
      </w:r>
      <w:r>
        <w:rPr>
          <w:spacing w:val="3"/>
        </w:rPr>
        <w:t>建立健全反不正当竞争部门</w:t>
      </w:r>
      <w:r>
        <w:rPr>
          <w:spacing w:val="8"/>
        </w:rPr>
        <w:t xml:space="preserve"> </w:t>
      </w:r>
      <w:r>
        <w:rPr>
          <w:spacing w:val="5"/>
        </w:rPr>
        <w:t>间联席会议制度，加强部门协调和执法联动。加强重点地区、重</w:t>
      </w:r>
      <w:r>
        <w:t xml:space="preserve"> </w:t>
      </w:r>
      <w:r>
        <w:rPr>
          <w:spacing w:val="-3"/>
        </w:rPr>
        <w:t>点领域、重点行为和特定时段反不正当竞争执法。加强应急物资、</w:t>
      </w:r>
      <w:r>
        <w:rPr>
          <w:spacing w:val="11"/>
        </w:rPr>
        <w:t xml:space="preserve"> </w:t>
      </w:r>
      <w:r>
        <w:rPr>
          <w:spacing w:val="8"/>
        </w:rPr>
        <w:t>“保健”市场、医疗美容、房地产等领域仿冒混淆、虚假宣传、</w:t>
      </w:r>
      <w:r>
        <w:rPr>
          <w:spacing w:val="10"/>
        </w:rPr>
        <w:t xml:space="preserve"> </w:t>
      </w:r>
      <w:r>
        <w:rPr>
          <w:spacing w:val="6"/>
        </w:rPr>
        <w:t>商业贿赂、不正当有奖销售、商业诋毁等不正当竞争行为监管。</w:t>
      </w:r>
    </w:p>
    <w:p w14:paraId="2AEB6C8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7" w:right="92" w:firstLine="642"/>
        <w:jc w:val="both"/>
        <w:textAlignment w:val="baseline"/>
      </w:pPr>
      <w:r>
        <w:rPr>
          <w:b/>
          <w:bCs/>
          <w:spacing w:val="3"/>
        </w:rPr>
        <w:t>突出加强商业秘密保护。</w:t>
      </w:r>
      <w:r>
        <w:rPr>
          <w:spacing w:val="3"/>
        </w:rPr>
        <w:t>建立商业秘密示范企业，加强示范</w:t>
      </w:r>
      <w:r>
        <w:rPr>
          <w:spacing w:val="5"/>
        </w:rPr>
        <w:t xml:space="preserve"> 引领。提高企业商业秘密自我保护意识和能力，加强商</w:t>
      </w:r>
      <w:r>
        <w:rPr>
          <w:spacing w:val="4"/>
        </w:rPr>
        <w:t>业秘密保</w:t>
      </w:r>
      <w:r>
        <w:t xml:space="preserve"> </w:t>
      </w:r>
      <w:r>
        <w:rPr>
          <w:spacing w:val="8"/>
        </w:rPr>
        <w:t>护行政执法力度，及时制止侵犯商业秘密违法犯罪行为。</w:t>
      </w:r>
    </w:p>
    <w:p w14:paraId="19ABD4C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2" w:right="95" w:firstLine="642"/>
        <w:jc w:val="both"/>
        <w:textAlignment w:val="baseline"/>
      </w:pPr>
      <w:r>
        <w:rPr>
          <w:b/>
          <w:bCs/>
          <w:spacing w:val="4"/>
        </w:rPr>
        <w:t>加强价格监管。</w:t>
      </w:r>
      <w:r>
        <w:rPr>
          <w:spacing w:val="4"/>
        </w:rPr>
        <w:t>完善跨部门价格协同监管机制，推进价格政</w:t>
      </w:r>
      <w:r>
        <w:rPr>
          <w:spacing w:val="2"/>
        </w:rPr>
        <w:t xml:space="preserve"> </w:t>
      </w:r>
      <w:r>
        <w:rPr>
          <w:spacing w:val="5"/>
        </w:rPr>
        <w:t>策制定和价格监管执法之间的衔接联动。强化重要节假日、重大</w:t>
      </w:r>
      <w:r>
        <w:rPr>
          <w:spacing w:val="11"/>
        </w:rPr>
        <w:t xml:space="preserve"> </w:t>
      </w:r>
      <w:r>
        <w:rPr>
          <w:spacing w:val="5"/>
        </w:rPr>
        <w:t>自然灾害、突发公共事件等关键时期监督检查，严厉打击哄抬价</w:t>
      </w:r>
      <w:r>
        <w:rPr>
          <w:spacing w:val="11"/>
        </w:rPr>
        <w:t xml:space="preserve"> </w:t>
      </w:r>
      <w:r>
        <w:rPr>
          <w:spacing w:val="5"/>
        </w:rPr>
        <w:t>格、囤积居奇、价格欺诈等违法行为。推进供水供电供气等行业</w:t>
      </w:r>
    </w:p>
    <w:p w14:paraId="5EEDC1C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sectPr>
          <w:footerReference r:id="rId11" w:type="default"/>
          <w:pgSz w:w="11906" w:h="16839"/>
          <w:pgMar w:top="1431" w:right="1378" w:bottom="1784" w:left="1595" w:header="0" w:footer="1421" w:gutter="0"/>
          <w:cols w:space="720" w:num="1"/>
        </w:sectPr>
      </w:pPr>
    </w:p>
    <w:p w14:paraId="7C9065B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 w:firstLine="27"/>
        <w:jc w:val="both"/>
        <w:textAlignment w:val="baseline"/>
      </w:pPr>
      <w:r>
        <w:rPr>
          <w:spacing w:val="7"/>
        </w:rPr>
        <w:t>收费监督检查，促进行业高质量发展。坚决整治涉企违规收费，</w:t>
      </w:r>
      <w:r>
        <w:rPr>
          <w:spacing w:val="14"/>
        </w:rPr>
        <w:t xml:space="preserve"> </w:t>
      </w:r>
      <w:r>
        <w:rPr>
          <w:spacing w:val="-3"/>
        </w:rPr>
        <w:t>保障惠企政策落实，切实减轻企业负担。围绕保障群众价格权益，</w:t>
      </w:r>
      <w:r>
        <w:rPr>
          <w:spacing w:val="15"/>
        </w:rPr>
        <w:t xml:space="preserve"> </w:t>
      </w:r>
      <w:r>
        <w:rPr>
          <w:spacing w:val="9"/>
        </w:rPr>
        <w:t>持续加强医药、教育、交通等民生领域价费监管。</w:t>
      </w:r>
    </w:p>
    <w:p w14:paraId="20533B8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79" w:firstLine="649"/>
        <w:jc w:val="both"/>
        <w:textAlignment w:val="baseline"/>
      </w:pPr>
      <w:r>
        <w:rPr>
          <w:b/>
          <w:bCs/>
          <w:spacing w:val="4"/>
        </w:rPr>
        <w:t>打击传销和规范直销。</w:t>
      </w:r>
      <w:r>
        <w:rPr>
          <w:spacing w:val="4"/>
        </w:rPr>
        <w:t>完善打击传销综合治理</w:t>
      </w:r>
      <w:r>
        <w:rPr>
          <w:spacing w:val="3"/>
        </w:rPr>
        <w:t>工作机制，加</w:t>
      </w:r>
      <w:r>
        <w:t xml:space="preserve"> </w:t>
      </w:r>
      <w:r>
        <w:rPr>
          <w:spacing w:val="5"/>
        </w:rPr>
        <w:t>强联合执法，加大对重大传销案件的查办力度。严厉打击网络传</w:t>
      </w:r>
      <w:r>
        <w:rPr>
          <w:spacing w:val="15"/>
        </w:rPr>
        <w:t xml:space="preserve"> </w:t>
      </w:r>
      <w:r>
        <w:rPr>
          <w:spacing w:val="5"/>
        </w:rPr>
        <w:t>销，持续开展专项整治，挤压传销组织生存空间。规范直销行业</w:t>
      </w:r>
      <w:r>
        <w:rPr>
          <w:spacing w:val="17"/>
        </w:rPr>
        <w:t xml:space="preserve"> </w:t>
      </w:r>
      <w:r>
        <w:rPr>
          <w:spacing w:val="5"/>
        </w:rPr>
        <w:t>发展，配合省局推进直销监管数字化建设，强化直销企业产品质</w:t>
      </w:r>
      <w:r>
        <w:rPr>
          <w:spacing w:val="17"/>
        </w:rPr>
        <w:t xml:space="preserve"> </w:t>
      </w:r>
      <w:r>
        <w:rPr>
          <w:spacing w:val="8"/>
        </w:rPr>
        <w:t>量、销售宣传、合规经营等环节监管。</w:t>
      </w:r>
    </w:p>
    <w:p w14:paraId="08073C8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2" w:right="81" w:firstLine="636"/>
        <w:jc w:val="both"/>
        <w:textAlignment w:val="baseline"/>
      </w:pPr>
      <w:r>
        <w:rPr>
          <w:b/>
          <w:bCs/>
          <w:spacing w:val="4"/>
        </w:rPr>
        <w:t>打击侵权假冒。</w:t>
      </w:r>
      <w:r>
        <w:rPr>
          <w:spacing w:val="4"/>
        </w:rPr>
        <w:t>加大打击侵权假冒力度，严厉打击涉及服装</w:t>
      </w:r>
      <w:r>
        <w:rPr>
          <w:spacing w:val="1"/>
        </w:rPr>
        <w:t xml:space="preserve"> </w:t>
      </w:r>
      <w:r>
        <w:rPr>
          <w:spacing w:val="5"/>
        </w:rPr>
        <w:t>鞋帽、妇幼用品、老年用品、家用电器、消费类电子产品、汽车</w:t>
      </w:r>
      <w:r>
        <w:rPr>
          <w:spacing w:val="2"/>
        </w:rPr>
        <w:t xml:space="preserve"> </w:t>
      </w:r>
      <w:r>
        <w:rPr>
          <w:spacing w:val="5"/>
        </w:rPr>
        <w:t xml:space="preserve">配件、食品、车用汽柴油等制售假冒伪劣违法犯罪行为。严厉打 </w:t>
      </w:r>
      <w:r>
        <w:rPr>
          <w:spacing w:val="17"/>
        </w:rPr>
        <w:t>击涉及各类食品安全假冒伪劣违法犯罪行为，</w:t>
      </w:r>
      <w:r>
        <w:rPr>
          <w:spacing w:val="16"/>
        </w:rPr>
        <w:t>持续开展重点地</w:t>
      </w:r>
      <w:r>
        <w:t xml:space="preserve"> </w:t>
      </w:r>
      <w:r>
        <w:rPr>
          <w:spacing w:val="8"/>
        </w:rPr>
        <w:t>区、城乡结合部食品安全问题专项打击行动。</w:t>
      </w:r>
    </w:p>
    <w:p w14:paraId="2A1C1B8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5" w:right="81" w:firstLine="650"/>
        <w:jc w:val="both"/>
        <w:textAlignment w:val="baseline"/>
      </w:pPr>
      <w:r>
        <w:rPr>
          <w:b/>
          <w:bCs/>
          <w:spacing w:val="3"/>
        </w:rPr>
        <w:t>规范网络交易市场秩序。</w:t>
      </w:r>
      <w:r>
        <w:rPr>
          <w:spacing w:val="3"/>
        </w:rPr>
        <w:t>健全完善网络交易市场监管部门间</w:t>
      </w:r>
      <w:r>
        <w:rPr>
          <w:spacing w:val="8"/>
        </w:rPr>
        <w:t xml:space="preserve"> </w:t>
      </w:r>
      <w:r>
        <w:rPr>
          <w:spacing w:val="4"/>
        </w:rPr>
        <w:t>联席会议制度。开展“</w:t>
      </w:r>
      <w:r>
        <w:rPr>
          <w:spacing w:val="-109"/>
        </w:rPr>
        <w:t xml:space="preserve"> </w:t>
      </w:r>
      <w:r>
        <w:rPr>
          <w:spacing w:val="4"/>
        </w:rPr>
        <w:t>网剑”等网络交易专项整治</w:t>
      </w:r>
      <w:r>
        <w:rPr>
          <w:spacing w:val="3"/>
        </w:rPr>
        <w:t>行动，加大对</w:t>
      </w:r>
      <w:r>
        <w:t xml:space="preserve"> </w:t>
      </w:r>
      <w:r>
        <w:rPr>
          <w:spacing w:val="9"/>
        </w:rPr>
        <w:t>网络售假、虚假宣传、刷单炒信等违法行为的查处力度。</w:t>
      </w:r>
    </w:p>
    <w:p w14:paraId="150E78F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3" w:right="28" w:firstLine="642"/>
        <w:jc w:val="both"/>
        <w:textAlignment w:val="baseline"/>
      </w:pPr>
      <w:r>
        <w:rPr>
          <w:b/>
          <w:bCs/>
          <w:spacing w:val="5"/>
        </w:rPr>
        <w:t>加大广告市场监管力度。</w:t>
      </w:r>
      <w:r>
        <w:rPr>
          <w:spacing w:val="5"/>
        </w:rPr>
        <w:t>建立健全广告市场监管工作机制，</w:t>
      </w:r>
      <w:r>
        <w:rPr>
          <w:spacing w:val="18"/>
        </w:rPr>
        <w:t xml:space="preserve"> </w:t>
      </w:r>
      <w:r>
        <w:rPr>
          <w:spacing w:val="5"/>
        </w:rPr>
        <w:t>完善整治虚假违法广告联席会议工作制度，推动协同监管。强化</w:t>
      </w:r>
      <w:r>
        <w:rPr>
          <w:spacing w:val="11"/>
        </w:rPr>
        <w:t xml:space="preserve"> </w:t>
      </w:r>
      <w:r>
        <w:rPr>
          <w:spacing w:val="5"/>
        </w:rPr>
        <w:t>广告导向监管，突出重点领域广告监管，加大虚假违法广告整治</w:t>
      </w:r>
      <w:r>
        <w:rPr>
          <w:spacing w:val="11"/>
        </w:rPr>
        <w:t xml:space="preserve"> </w:t>
      </w:r>
      <w:r>
        <w:rPr>
          <w:spacing w:val="5"/>
        </w:rPr>
        <w:t>力度。创新普法宣传举措，引导广告行业加强自律，压实广告活</w:t>
      </w:r>
      <w:r>
        <w:rPr>
          <w:spacing w:val="11"/>
        </w:rPr>
        <w:t xml:space="preserve"> </w:t>
      </w:r>
      <w:r>
        <w:rPr>
          <w:spacing w:val="5"/>
        </w:rPr>
        <w:t>动主体责任，推动广告业健康可持续发展。持续推进互联网等重</w:t>
      </w:r>
      <w:r>
        <w:rPr>
          <w:spacing w:val="13"/>
        </w:rPr>
        <w:t xml:space="preserve"> </w:t>
      </w:r>
      <w:r>
        <w:rPr>
          <w:spacing w:val="5"/>
        </w:rPr>
        <w:t>点领域虚假违法广告整治，充分运用国家及省广告监测平台，加</w:t>
      </w:r>
      <w:r>
        <w:rPr>
          <w:spacing w:val="14"/>
        </w:rPr>
        <w:t xml:space="preserve"> </w:t>
      </w:r>
      <w:r>
        <w:rPr>
          <w:spacing w:val="8"/>
        </w:rPr>
        <w:t>大广告监测监管力度，提升广告监测效能。</w:t>
      </w:r>
    </w:p>
    <w:p w14:paraId="1C1247E3">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sectPr>
          <w:footerReference r:id="rId12" w:type="default"/>
          <w:pgSz w:w="11906" w:h="16839"/>
          <w:pgMar w:top="1431" w:right="1391" w:bottom="1784" w:left="1593" w:header="0" w:footer="1419" w:gutter="0"/>
          <w:cols w:space="720" w:num="1"/>
        </w:sectPr>
      </w:pPr>
    </w:p>
    <w:p w14:paraId="137D04C6">
      <w:pPr>
        <w:keepNext w:val="0"/>
        <w:keepLines w:val="0"/>
        <w:pageBreakBefore w:val="0"/>
        <w:widowControl/>
        <w:kinsoku w:val="0"/>
        <w:wordWrap/>
        <w:overflowPunct/>
        <w:topLinePunct w:val="0"/>
        <w:autoSpaceDE w:val="0"/>
        <w:autoSpaceDN w:val="0"/>
        <w:bidi w:val="0"/>
        <w:adjustRightInd w:val="0"/>
        <w:snapToGrid w:val="0"/>
        <w:spacing w:line="560" w:lineRule="exact"/>
        <w:ind w:left="1069"/>
        <w:textAlignment w:val="baseline"/>
        <w:outlineLvl w:val="0"/>
        <w:rPr>
          <w:rFonts w:ascii="黑体" w:hAnsi="黑体" w:eastAsia="黑体" w:cs="黑体"/>
          <w:sz w:val="31"/>
          <w:szCs w:val="31"/>
        </w:rPr>
      </w:pPr>
      <w:r>
        <w:rPr>
          <w:rFonts w:ascii="黑体" w:hAnsi="黑体" w:eastAsia="黑体" w:cs="黑体"/>
          <w:spacing w:val="8"/>
          <w:sz w:val="31"/>
          <w:szCs w:val="31"/>
        </w:rPr>
        <w:t>第四章  营造放心消费环境，促进消费稳定增长</w:t>
      </w:r>
    </w:p>
    <w:p w14:paraId="2D17F4A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4" w:right="59" w:firstLine="640"/>
        <w:jc w:val="both"/>
        <w:textAlignment w:val="baseline"/>
      </w:pPr>
      <w:r>
        <w:rPr>
          <w:spacing w:val="5"/>
        </w:rPr>
        <w:t>顺应消费升级新趋势，加强消费引导，强化消</w:t>
      </w:r>
      <w:r>
        <w:rPr>
          <w:spacing w:val="4"/>
        </w:rPr>
        <w:t>费维权，规范</w:t>
      </w:r>
      <w:r>
        <w:t xml:space="preserve"> </w:t>
      </w:r>
      <w:r>
        <w:rPr>
          <w:spacing w:val="5"/>
        </w:rPr>
        <w:t xml:space="preserve">新型消费，切实维护消费者合法权益，全面优化消费环境，促进 </w:t>
      </w:r>
      <w:r>
        <w:rPr>
          <w:spacing w:val="6"/>
        </w:rPr>
        <w:t>消费稳定增长。</w:t>
      </w:r>
    </w:p>
    <w:p w14:paraId="56F3817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3CD5205C">
      <w:pPr>
        <w:keepNext w:val="0"/>
        <w:keepLines w:val="0"/>
        <w:pageBreakBefore w:val="0"/>
        <w:widowControl/>
        <w:kinsoku w:val="0"/>
        <w:wordWrap/>
        <w:overflowPunct/>
        <w:topLinePunct w:val="0"/>
        <w:autoSpaceDE w:val="0"/>
        <w:autoSpaceDN w:val="0"/>
        <w:bidi w:val="0"/>
        <w:adjustRightInd w:val="0"/>
        <w:snapToGrid w:val="0"/>
        <w:spacing w:line="560" w:lineRule="exact"/>
        <w:ind w:left="2836"/>
        <w:textAlignment w:val="baseline"/>
        <w:outlineLvl w:val="1"/>
        <w:rPr>
          <w:rFonts w:ascii="KaiTi_GB2312" w:hAnsi="KaiTi_GB2312" w:eastAsia="KaiTi_GB2312" w:cs="KaiTi_GB2312"/>
          <w:sz w:val="31"/>
          <w:szCs w:val="31"/>
        </w:rPr>
      </w:pPr>
      <w:r>
        <w:rPr>
          <w:rFonts w:ascii="KaiTi_GB2312" w:hAnsi="KaiTi_GB2312" w:eastAsia="KaiTi_GB2312" w:cs="KaiTi_GB2312"/>
          <w:b/>
          <w:bCs/>
          <w:spacing w:val="5"/>
          <w:sz w:val="31"/>
          <w:szCs w:val="31"/>
        </w:rPr>
        <w:t>第一节</w:t>
      </w:r>
      <w:r>
        <w:rPr>
          <w:rFonts w:ascii="KaiTi_GB2312" w:hAnsi="KaiTi_GB2312" w:eastAsia="KaiTi_GB2312" w:cs="KaiTi_GB2312"/>
          <w:spacing w:val="5"/>
          <w:sz w:val="31"/>
          <w:szCs w:val="31"/>
        </w:rPr>
        <w:t xml:space="preserve">  </w:t>
      </w:r>
      <w:r>
        <w:rPr>
          <w:rFonts w:ascii="KaiTi_GB2312" w:hAnsi="KaiTi_GB2312" w:eastAsia="KaiTi_GB2312" w:cs="KaiTi_GB2312"/>
          <w:b/>
          <w:bCs/>
          <w:spacing w:val="5"/>
          <w:sz w:val="31"/>
          <w:szCs w:val="31"/>
        </w:rPr>
        <w:t>加强消费引导</w:t>
      </w:r>
    </w:p>
    <w:p w14:paraId="544BE66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29" w:firstLine="620"/>
        <w:textAlignment w:val="baseline"/>
        <w:outlineLvl w:val="1"/>
      </w:pPr>
      <w:r>
        <w:rPr>
          <w:b/>
          <w:bCs/>
          <w:spacing w:val="5"/>
        </w:rPr>
        <w:t>推进消费领域信用体系建设。</w:t>
      </w:r>
      <w:r>
        <w:rPr>
          <w:spacing w:val="5"/>
        </w:rPr>
        <w:t>加强消费领域信用信息归集，</w:t>
      </w:r>
      <w:r>
        <w:rPr>
          <w:spacing w:val="17"/>
        </w:rPr>
        <w:t xml:space="preserve"> </w:t>
      </w:r>
      <w:r>
        <w:rPr>
          <w:spacing w:val="5"/>
        </w:rPr>
        <w:t>强化行政许可、行政处罚、抽查检查结果、消</w:t>
      </w:r>
      <w:r>
        <w:rPr>
          <w:spacing w:val="4"/>
        </w:rPr>
        <w:t>费投诉等企业信用</w:t>
      </w:r>
    </w:p>
    <w:p w14:paraId="174450F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22" w:right="21" w:hanging="22"/>
        <w:jc w:val="both"/>
        <w:textAlignment w:val="baseline"/>
      </w:pPr>
      <w:r>
        <w:rPr>
          <w:spacing w:val="6"/>
        </w:rPr>
        <w:t>信息公示，向公众提供公共信用信息“一站式</w:t>
      </w:r>
      <w:r>
        <w:rPr>
          <w:spacing w:val="5"/>
        </w:rPr>
        <w:t>”查询服务和消费</w:t>
      </w:r>
      <w:r>
        <w:t xml:space="preserve"> </w:t>
      </w:r>
      <w:r>
        <w:rPr>
          <w:spacing w:val="5"/>
        </w:rPr>
        <w:t>预警提示。探索建立对消费领域失信主体实施市场禁入或</w:t>
      </w:r>
      <w:r>
        <w:rPr>
          <w:spacing w:val="4"/>
        </w:rPr>
        <w:t>服务受</w:t>
      </w:r>
      <w:r>
        <w:t xml:space="preserve"> </w:t>
      </w:r>
      <w:r>
        <w:rPr>
          <w:spacing w:val="6"/>
        </w:rPr>
        <w:t>限等联合惩戒措施。鼓励行业协会商会建立会员企业信用档案，</w:t>
      </w:r>
      <w:r>
        <w:rPr>
          <w:spacing w:val="8"/>
        </w:rPr>
        <w:t xml:space="preserve"> </w:t>
      </w:r>
      <w:r>
        <w:rPr>
          <w:spacing w:val="6"/>
        </w:rPr>
        <w:t>完善信用信息共享机制。</w:t>
      </w:r>
    </w:p>
    <w:p w14:paraId="4E0E19D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3" w:right="57" w:firstLine="634"/>
        <w:textAlignment w:val="baseline"/>
        <w:outlineLvl w:val="1"/>
      </w:pPr>
      <w:r>
        <w:rPr>
          <w:b/>
          <w:bCs/>
          <w:spacing w:val="3"/>
        </w:rPr>
        <w:t>建立健全消费后评价制度。</w:t>
      </w:r>
      <w:r>
        <w:rPr>
          <w:spacing w:val="3"/>
        </w:rPr>
        <w:t>引导平台型企业建立重点领域的</w:t>
      </w:r>
      <w:r>
        <w:rPr>
          <w:spacing w:val="17"/>
        </w:rPr>
        <w:t xml:space="preserve"> 服务后评价机制，鼓励消费者客观评价平台上经营者的</w:t>
      </w:r>
      <w:r>
        <w:rPr>
          <w:spacing w:val="16"/>
        </w:rPr>
        <w:t>经营行</w:t>
      </w:r>
    </w:p>
    <w:p w14:paraId="2B8B68A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9" w:right="59"/>
        <w:textAlignment w:val="baseline"/>
      </w:pPr>
      <w:r>
        <w:rPr>
          <w:spacing w:val="5"/>
        </w:rPr>
        <w:t>为，并实行评价信息公开。开展消费品质量状况分析评价，加强</w:t>
      </w:r>
      <w:r>
        <w:t xml:space="preserve"> </w:t>
      </w:r>
      <w:r>
        <w:rPr>
          <w:spacing w:val="7"/>
        </w:rPr>
        <w:t>消费品质量安全风险监测工作。</w:t>
      </w:r>
    </w:p>
    <w:p w14:paraId="44A3307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3" w:right="57" w:firstLine="650"/>
        <w:textAlignment w:val="baseline"/>
        <w:outlineLvl w:val="1"/>
      </w:pPr>
      <w:r>
        <w:rPr>
          <w:b/>
          <w:bCs/>
          <w:spacing w:val="27"/>
        </w:rPr>
        <w:t>大力开展放</w:t>
      </w:r>
      <w:r>
        <w:rPr>
          <w:spacing w:val="-81"/>
        </w:rPr>
        <w:t xml:space="preserve"> </w:t>
      </w:r>
      <w:r>
        <w:rPr>
          <w:b/>
          <w:bCs/>
          <w:spacing w:val="27"/>
        </w:rPr>
        <w:t>心</w:t>
      </w:r>
      <w:r>
        <w:rPr>
          <w:spacing w:val="-91"/>
        </w:rPr>
        <w:t xml:space="preserve"> </w:t>
      </w:r>
      <w:r>
        <w:rPr>
          <w:b/>
          <w:bCs/>
          <w:spacing w:val="27"/>
        </w:rPr>
        <w:t>消费创建活</w:t>
      </w:r>
      <w:r>
        <w:rPr>
          <w:spacing w:val="-84"/>
        </w:rPr>
        <w:t xml:space="preserve"> </w:t>
      </w:r>
      <w:r>
        <w:rPr>
          <w:b/>
          <w:bCs/>
          <w:spacing w:val="27"/>
        </w:rPr>
        <w:t>动</w:t>
      </w:r>
      <w:r>
        <w:rPr>
          <w:spacing w:val="-82"/>
        </w:rPr>
        <w:t xml:space="preserve"> </w:t>
      </w:r>
      <w:r>
        <w:rPr>
          <w:b/>
          <w:bCs/>
          <w:spacing w:val="27"/>
        </w:rPr>
        <w:t>。</w:t>
      </w:r>
      <w:r>
        <w:rPr>
          <w:spacing w:val="27"/>
        </w:rPr>
        <w:t>全面开展</w:t>
      </w:r>
      <w:r>
        <w:rPr>
          <w:spacing w:val="-105"/>
        </w:rPr>
        <w:t xml:space="preserve"> </w:t>
      </w:r>
      <w:r>
        <w:rPr>
          <w:spacing w:val="27"/>
        </w:rPr>
        <w:t>“</w:t>
      </w:r>
      <w:r>
        <w:rPr>
          <w:spacing w:val="-103"/>
        </w:rPr>
        <w:t xml:space="preserve"> </w:t>
      </w:r>
      <w:r>
        <w:rPr>
          <w:spacing w:val="27"/>
        </w:rPr>
        <w:t>放心消费承</w:t>
      </w:r>
      <w:r>
        <w:t xml:space="preserve"> </w:t>
      </w:r>
      <w:r>
        <w:rPr>
          <w:spacing w:val="5"/>
        </w:rPr>
        <w:t>诺”“线下无理由退货承诺”活动，引导经营者落实消费维权主</w:t>
      </w:r>
    </w:p>
    <w:p w14:paraId="11F3C23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3" w:right="57" w:hanging="11"/>
        <w:jc w:val="both"/>
        <w:textAlignment w:val="baseline"/>
      </w:pPr>
      <w:r>
        <w:rPr>
          <w:spacing w:val="3"/>
        </w:rPr>
        <w:t>体责任，自愿向消费者作出“赔偿先付”</w:t>
      </w:r>
      <w:r>
        <w:rPr>
          <w:spacing w:val="-114"/>
        </w:rPr>
        <w:t xml:space="preserve"> </w:t>
      </w:r>
      <w:r>
        <w:rPr>
          <w:spacing w:val="3"/>
        </w:rPr>
        <w:t>、“维权无忧</w:t>
      </w:r>
      <w:r>
        <w:rPr>
          <w:spacing w:val="2"/>
        </w:rPr>
        <w:t>”</w:t>
      </w:r>
      <w:r>
        <w:rPr>
          <w:spacing w:val="-116"/>
        </w:rPr>
        <w:t xml:space="preserve"> </w:t>
      </w:r>
      <w:r>
        <w:rPr>
          <w:spacing w:val="2"/>
        </w:rPr>
        <w:t>、“无</w:t>
      </w:r>
      <w:r>
        <w:t xml:space="preserve"> </w:t>
      </w:r>
      <w:r>
        <w:rPr>
          <w:spacing w:val="5"/>
        </w:rPr>
        <w:t>理由退货”等放心消费承诺。推动农贸市场升级改造，深化农贸</w:t>
      </w:r>
      <w:r>
        <w:rPr>
          <w:spacing w:val="6"/>
        </w:rPr>
        <w:t xml:space="preserve"> </w:t>
      </w:r>
      <w:r>
        <w:rPr>
          <w:spacing w:val="5"/>
        </w:rPr>
        <w:t>市场诚信经营管理，改善农贸市场消费环境。加强消费教育。创</w:t>
      </w:r>
      <w:r>
        <w:rPr>
          <w:spacing w:val="8"/>
        </w:rPr>
        <w:t xml:space="preserve"> </w:t>
      </w:r>
      <w:r>
        <w:rPr>
          <w:spacing w:val="17"/>
        </w:rPr>
        <w:t>新消费教育手段，引导消费者增强依法维权意识和自我</w:t>
      </w:r>
      <w:r>
        <w:rPr>
          <w:spacing w:val="16"/>
        </w:rPr>
        <w:t>保护能</w:t>
      </w:r>
      <w:r>
        <w:t xml:space="preserve"> </w:t>
      </w:r>
      <w:r>
        <w:rPr>
          <w:spacing w:val="5"/>
        </w:rPr>
        <w:t>力。推进消费教育活动进商场、进企业、进社区、进学校、进农</w:t>
      </w:r>
    </w:p>
    <w:p w14:paraId="1E562B1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sectPr>
          <w:footerReference r:id="rId13" w:type="default"/>
          <w:pgSz w:w="11906" w:h="16839"/>
          <w:pgMar w:top="1431" w:right="1415" w:bottom="1784" w:left="1588" w:header="0" w:footer="1419" w:gutter="0"/>
          <w:cols w:space="720" w:num="1"/>
        </w:sectPr>
      </w:pPr>
    </w:p>
    <w:p w14:paraId="4C66805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45" w:firstLine="5"/>
        <w:jc w:val="both"/>
        <w:textAlignment w:val="baseline"/>
      </w:pPr>
      <w:r>
        <w:rPr>
          <w:spacing w:val="5"/>
        </w:rPr>
        <w:t>村，提高消费教育的覆盖率。加强消费引导，督促生产经营者提</w:t>
      </w:r>
      <w:r>
        <w:rPr>
          <w:spacing w:val="12"/>
        </w:rPr>
        <w:t xml:space="preserve"> </w:t>
      </w:r>
      <w:r>
        <w:rPr>
          <w:spacing w:val="5"/>
        </w:rPr>
        <w:t>高质量标准，推动消费提质扩容。发挥媒体宣传和监督作用，宣</w:t>
      </w:r>
      <w:r>
        <w:rPr>
          <w:spacing w:val="17"/>
        </w:rPr>
        <w:t xml:space="preserve"> </w:t>
      </w:r>
      <w:r>
        <w:rPr>
          <w:spacing w:val="7"/>
        </w:rPr>
        <w:t>扬诚信经营正面典型，揭露、批评侵害消费者合法权益的</w:t>
      </w:r>
      <w:r>
        <w:rPr>
          <w:spacing w:val="6"/>
        </w:rPr>
        <w:t>行为，</w:t>
      </w:r>
      <w:r>
        <w:t xml:space="preserve"> </w:t>
      </w:r>
      <w:r>
        <w:rPr>
          <w:spacing w:val="5"/>
        </w:rPr>
        <w:t>营造良好社会氛围。积极倡导消费维权公益精神，拓宽志愿服务</w:t>
      </w:r>
      <w:r>
        <w:rPr>
          <w:spacing w:val="17"/>
        </w:rPr>
        <w:t xml:space="preserve"> </w:t>
      </w:r>
      <w:r>
        <w:rPr>
          <w:spacing w:val="5"/>
        </w:rPr>
        <w:t>渠道。培育科学理性的消费理念，倡导丰俭有度、绿色健康的消</w:t>
      </w:r>
      <w:r>
        <w:rPr>
          <w:spacing w:val="17"/>
        </w:rPr>
        <w:t xml:space="preserve"> </w:t>
      </w:r>
      <w:r>
        <w:rPr>
          <w:spacing w:val="5"/>
        </w:rPr>
        <w:t>费文化，鼓励消费者组织通过消费体验、消费调查、消费警示等</w:t>
      </w:r>
      <w:r>
        <w:rPr>
          <w:spacing w:val="15"/>
        </w:rPr>
        <w:t xml:space="preserve"> </w:t>
      </w:r>
      <w:r>
        <w:rPr>
          <w:spacing w:val="5"/>
        </w:rPr>
        <w:t>方式，开展对新型消费的教育和引导，提示消费风险，弘扬绿色</w:t>
      </w:r>
      <w:r>
        <w:rPr>
          <w:spacing w:val="17"/>
        </w:rPr>
        <w:t xml:space="preserve"> </w:t>
      </w:r>
      <w:r>
        <w:rPr>
          <w:spacing w:val="7"/>
        </w:rPr>
        <w:t>健康消费新风尚。</w:t>
      </w:r>
    </w:p>
    <w:p w14:paraId="62F88D64">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19A78EAB">
      <w:pPr>
        <w:keepNext w:val="0"/>
        <w:keepLines w:val="0"/>
        <w:pageBreakBefore w:val="0"/>
        <w:widowControl/>
        <w:kinsoku w:val="0"/>
        <w:wordWrap/>
        <w:overflowPunct/>
        <w:topLinePunct w:val="0"/>
        <w:autoSpaceDE w:val="0"/>
        <w:autoSpaceDN w:val="0"/>
        <w:bidi w:val="0"/>
        <w:adjustRightInd w:val="0"/>
        <w:snapToGrid w:val="0"/>
        <w:spacing w:line="560" w:lineRule="exact"/>
        <w:ind w:left="2831"/>
        <w:textAlignment w:val="baseline"/>
        <w:outlineLvl w:val="1"/>
        <w:rPr>
          <w:rFonts w:ascii="KaiTi_GB2312" w:hAnsi="KaiTi_GB2312" w:eastAsia="KaiTi_GB2312" w:cs="KaiTi_GB2312"/>
          <w:sz w:val="31"/>
          <w:szCs w:val="31"/>
        </w:rPr>
      </w:pPr>
      <w:r>
        <w:rPr>
          <w:rFonts w:ascii="KaiTi_GB2312" w:hAnsi="KaiTi_GB2312" w:eastAsia="KaiTi_GB2312" w:cs="KaiTi_GB2312"/>
          <w:b/>
          <w:bCs/>
          <w:spacing w:val="2"/>
          <w:sz w:val="31"/>
          <w:szCs w:val="31"/>
        </w:rPr>
        <w:t>第二节</w:t>
      </w:r>
      <w:r>
        <w:rPr>
          <w:rFonts w:ascii="KaiTi_GB2312" w:hAnsi="KaiTi_GB2312" w:eastAsia="KaiTi_GB2312" w:cs="KaiTi_GB2312"/>
          <w:spacing w:val="19"/>
          <w:sz w:val="31"/>
          <w:szCs w:val="31"/>
        </w:rPr>
        <w:t xml:space="preserve">  </w:t>
      </w:r>
      <w:r>
        <w:rPr>
          <w:rFonts w:ascii="KaiTi_GB2312" w:hAnsi="KaiTi_GB2312" w:eastAsia="KaiTi_GB2312" w:cs="KaiTi_GB2312"/>
          <w:b/>
          <w:bCs/>
          <w:spacing w:val="2"/>
          <w:sz w:val="31"/>
          <w:szCs w:val="31"/>
        </w:rPr>
        <w:t>强化消费维权</w:t>
      </w:r>
    </w:p>
    <w:p w14:paraId="4D3FEA7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3" w:firstLine="659"/>
        <w:jc w:val="both"/>
        <w:textAlignment w:val="baseline"/>
      </w:pPr>
      <w:r>
        <w:rPr>
          <w:b/>
          <w:bCs/>
          <w:spacing w:val="3"/>
        </w:rPr>
        <w:t>完善消费维权制度建设。</w:t>
      </w:r>
      <w:r>
        <w:rPr>
          <w:spacing w:val="3"/>
        </w:rPr>
        <w:t xml:space="preserve">完善消费者权益保护地方制度。健 </w:t>
      </w:r>
      <w:r>
        <w:rPr>
          <w:spacing w:val="5"/>
        </w:rPr>
        <w:t>全消费者权益保护部门间协调机制，强化部门间应对突发、重大</w:t>
      </w:r>
      <w:r>
        <w:rPr>
          <w:spacing w:val="11"/>
        </w:rPr>
        <w:t xml:space="preserve"> </w:t>
      </w:r>
      <w:r>
        <w:rPr>
          <w:spacing w:val="5"/>
        </w:rPr>
        <w:t>消费事件的协作联动，充分发挥行业主管部门在消费者权益保护</w:t>
      </w:r>
      <w:r>
        <w:rPr>
          <w:spacing w:val="13"/>
        </w:rPr>
        <w:t xml:space="preserve"> </w:t>
      </w:r>
      <w:r>
        <w:rPr>
          <w:spacing w:val="-3"/>
        </w:rPr>
        <w:t>工作中的作用。推动全区消费者委员会机构改革，完善治理架构，</w:t>
      </w:r>
      <w:r>
        <w:rPr>
          <w:spacing w:val="12"/>
        </w:rPr>
        <w:t xml:space="preserve"> </w:t>
      </w:r>
      <w:r>
        <w:rPr>
          <w:spacing w:val="8"/>
        </w:rPr>
        <w:t>发挥对商品和服务的社会监督作用。</w:t>
      </w:r>
    </w:p>
    <w:p w14:paraId="1B4F2F8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5" w:right="81" w:firstLine="638"/>
        <w:jc w:val="both"/>
        <w:textAlignment w:val="baseline"/>
      </w:pPr>
      <w:r>
        <w:rPr>
          <w:b/>
          <w:bCs/>
          <w:spacing w:val="9"/>
        </w:rPr>
        <w:t>提升消费维权效能。</w:t>
      </w:r>
      <w:r>
        <w:rPr>
          <w:spacing w:val="9"/>
        </w:rPr>
        <w:t>进一步优化12315投诉举报工作流程和</w:t>
      </w:r>
      <w:r>
        <w:rPr>
          <w:spacing w:val="8"/>
        </w:rPr>
        <w:t xml:space="preserve"> </w:t>
      </w:r>
      <w:r>
        <w:rPr>
          <w:spacing w:val="5"/>
        </w:rPr>
        <w:t>资源配置，健全各职能部门投诉举报处理工作机制，规范投诉举</w:t>
      </w:r>
      <w:r>
        <w:rPr>
          <w:spacing w:val="10"/>
        </w:rPr>
        <w:t xml:space="preserve"> </w:t>
      </w:r>
      <w:r>
        <w:rPr>
          <w:spacing w:val="5"/>
        </w:rPr>
        <w:t>报处理工作规程。加强对投诉举报数据的分析研判和应用，及时</w:t>
      </w:r>
      <w:r>
        <w:rPr>
          <w:spacing w:val="10"/>
        </w:rPr>
        <w:t xml:space="preserve"> </w:t>
      </w:r>
      <w:r>
        <w:rPr>
          <w:spacing w:val="5"/>
        </w:rPr>
        <w:t>发现消费者关注的热点难点问题，提高监管和维权工作的针对性</w:t>
      </w:r>
      <w:r>
        <w:rPr>
          <w:spacing w:val="10"/>
        </w:rPr>
        <w:t xml:space="preserve"> </w:t>
      </w:r>
      <w:r>
        <w:rPr>
          <w:spacing w:val="5"/>
        </w:rPr>
        <w:t>和有效性。鼓励消费者通过在线消费纠纷解决机制、消费维权服</w:t>
      </w:r>
      <w:r>
        <w:rPr>
          <w:spacing w:val="10"/>
        </w:rPr>
        <w:t xml:space="preserve"> </w:t>
      </w:r>
      <w:r>
        <w:rPr>
          <w:spacing w:val="5"/>
        </w:rPr>
        <w:t>务站、消费维权绿色通道、第三方争议解决机制等方式与经营者</w:t>
      </w:r>
      <w:r>
        <w:rPr>
          <w:spacing w:val="10"/>
        </w:rPr>
        <w:t xml:space="preserve"> </w:t>
      </w:r>
      <w:r>
        <w:rPr>
          <w:spacing w:val="8"/>
        </w:rPr>
        <w:t>协商解决争议，有效降低消费者维权成本。</w:t>
      </w:r>
    </w:p>
    <w:p w14:paraId="7C4D5087">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right"/>
        <w:textAlignment w:val="baseline"/>
      </w:pPr>
      <w:r>
        <w:rPr>
          <w:b/>
          <w:bCs/>
          <w:spacing w:val="5"/>
        </w:rPr>
        <w:t>强化重点消费领域监管执法。</w:t>
      </w:r>
      <w:r>
        <w:rPr>
          <w:spacing w:val="5"/>
        </w:rPr>
        <w:t>加大查处制售假冒伪劣商品、</w:t>
      </w:r>
    </w:p>
    <w:p w14:paraId="088F009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sectPr>
          <w:footerReference r:id="rId14" w:type="default"/>
          <w:pgSz w:w="11906" w:h="16839"/>
          <w:pgMar w:top="1431" w:right="1391" w:bottom="1784" w:left="1593" w:header="0" w:footer="1421" w:gutter="0"/>
          <w:cols w:space="720" w:num="1"/>
        </w:sectPr>
      </w:pPr>
    </w:p>
    <w:p w14:paraId="6C2DCE1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3"/>
        <w:jc w:val="both"/>
        <w:textAlignment w:val="baseline"/>
      </w:pPr>
      <w:r>
        <w:rPr>
          <w:spacing w:val="5"/>
        </w:rPr>
        <w:t>虚假广告、虚假宣传、价格欺诈等各类侵害消费者合法权益的违</w:t>
      </w:r>
      <w:r>
        <w:rPr>
          <w:spacing w:val="16"/>
        </w:rPr>
        <w:t xml:space="preserve"> </w:t>
      </w:r>
      <w:r>
        <w:rPr>
          <w:spacing w:val="9"/>
        </w:rPr>
        <w:t>法行为力度。加大对关系人民群众生命财产安全的食品、药品、</w:t>
      </w:r>
      <w:r>
        <w:rPr>
          <w:spacing w:val="3"/>
        </w:rPr>
        <w:t xml:space="preserve"> </w:t>
      </w:r>
      <w:r>
        <w:rPr>
          <w:spacing w:val="-2"/>
        </w:rPr>
        <w:t>特种设备、重点工业产品等领域的安全监管。加强对旅游、文化、</w:t>
      </w:r>
      <w:r>
        <w:rPr>
          <w:spacing w:val="3"/>
        </w:rPr>
        <w:t xml:space="preserve"> </w:t>
      </w:r>
      <w:r>
        <w:rPr>
          <w:spacing w:val="5"/>
        </w:rPr>
        <w:t>体育、健康、养老、家政、教育培训等服务领域的消费监管，防</w:t>
      </w:r>
      <w:r>
        <w:rPr>
          <w:spacing w:val="17"/>
        </w:rPr>
        <w:t xml:space="preserve"> </w:t>
      </w:r>
      <w:r>
        <w:rPr>
          <w:spacing w:val="9"/>
        </w:rPr>
        <w:t>范重大或群体性消费风险。加强不公平合同格式条款监管执法，</w:t>
      </w:r>
      <w:r>
        <w:rPr>
          <w:spacing w:val="3"/>
        </w:rPr>
        <w:t xml:space="preserve"> </w:t>
      </w:r>
      <w:r>
        <w:rPr>
          <w:spacing w:val="8"/>
        </w:rPr>
        <w:t>推行合同示范文本。</w:t>
      </w:r>
    </w:p>
    <w:p w14:paraId="1919B2F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38C6E4DF">
      <w:pPr>
        <w:keepNext w:val="0"/>
        <w:keepLines w:val="0"/>
        <w:pageBreakBefore w:val="0"/>
        <w:widowControl/>
        <w:kinsoku w:val="0"/>
        <w:wordWrap/>
        <w:overflowPunct/>
        <w:topLinePunct w:val="0"/>
        <w:autoSpaceDE w:val="0"/>
        <w:autoSpaceDN w:val="0"/>
        <w:bidi w:val="0"/>
        <w:adjustRightInd w:val="0"/>
        <w:snapToGrid w:val="0"/>
        <w:spacing w:line="560" w:lineRule="exact"/>
        <w:ind w:left="2833"/>
        <w:textAlignment w:val="baseline"/>
        <w:outlineLvl w:val="1"/>
        <w:rPr>
          <w:rFonts w:ascii="KaiTi_GB2312" w:hAnsi="KaiTi_GB2312" w:eastAsia="KaiTi_GB2312" w:cs="KaiTi_GB2312"/>
          <w:sz w:val="31"/>
          <w:szCs w:val="31"/>
        </w:rPr>
      </w:pPr>
      <w:r>
        <w:rPr>
          <w:rFonts w:ascii="KaiTi_GB2312" w:hAnsi="KaiTi_GB2312" w:eastAsia="KaiTi_GB2312" w:cs="KaiTi_GB2312"/>
          <w:b/>
          <w:bCs/>
          <w:spacing w:val="5"/>
          <w:sz w:val="31"/>
          <w:szCs w:val="31"/>
        </w:rPr>
        <w:t>第三节</w:t>
      </w:r>
      <w:r>
        <w:rPr>
          <w:rFonts w:ascii="KaiTi_GB2312" w:hAnsi="KaiTi_GB2312" w:eastAsia="KaiTi_GB2312" w:cs="KaiTi_GB2312"/>
          <w:spacing w:val="5"/>
          <w:sz w:val="31"/>
          <w:szCs w:val="31"/>
        </w:rPr>
        <w:t xml:space="preserve">  </w:t>
      </w:r>
      <w:r>
        <w:rPr>
          <w:rFonts w:ascii="KaiTi_GB2312" w:hAnsi="KaiTi_GB2312" w:eastAsia="KaiTi_GB2312" w:cs="KaiTi_GB2312"/>
          <w:b/>
          <w:bCs/>
          <w:spacing w:val="5"/>
          <w:sz w:val="31"/>
          <w:szCs w:val="31"/>
        </w:rPr>
        <w:t>规范新型消费</w:t>
      </w:r>
    </w:p>
    <w:p w14:paraId="5B4CB3A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41" w:right="92" w:firstLine="601"/>
        <w:textAlignment w:val="baseline"/>
      </w:pPr>
      <w:r>
        <w:rPr>
          <w:b/>
          <w:bCs/>
          <w:spacing w:val="4"/>
        </w:rPr>
        <w:t>健全新型消费服务标准体系。</w:t>
      </w:r>
      <w:r>
        <w:rPr>
          <w:spacing w:val="4"/>
        </w:rPr>
        <w:t>支持和鼓励行</w:t>
      </w:r>
      <w:r>
        <w:rPr>
          <w:spacing w:val="3"/>
        </w:rPr>
        <w:t>业组织研究制定</w:t>
      </w:r>
      <w:r>
        <w:t xml:space="preserve"> </w:t>
      </w:r>
      <w:r>
        <w:rPr>
          <w:spacing w:val="7"/>
        </w:rPr>
        <w:t>网络交易服务系列标准，提升行业发展质量和水平。</w:t>
      </w:r>
    </w:p>
    <w:p w14:paraId="3F245B9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3" w:right="6" w:firstLine="654"/>
        <w:jc w:val="both"/>
        <w:textAlignment w:val="baseline"/>
      </w:pPr>
      <w:r>
        <w:rPr>
          <w:b/>
          <w:bCs/>
          <w:spacing w:val="3"/>
        </w:rPr>
        <w:t>强化新型消费监管。</w:t>
      </w:r>
      <w:r>
        <w:rPr>
          <w:spacing w:val="3"/>
        </w:rPr>
        <w:t>加强对网络交易经营者的信用监管，建</w:t>
      </w:r>
      <w:r>
        <w:rPr>
          <w:spacing w:val="6"/>
        </w:rPr>
        <w:t xml:space="preserve"> </w:t>
      </w:r>
      <w:r>
        <w:rPr>
          <w:spacing w:val="5"/>
        </w:rPr>
        <w:t>立网络交易违法失信行为联合惩戒机制。依托省建设的“广东省</w:t>
      </w:r>
      <w:r>
        <w:rPr>
          <w:spacing w:val="6"/>
        </w:rPr>
        <w:t xml:space="preserve"> </w:t>
      </w:r>
      <w:r>
        <w:rPr>
          <w:spacing w:val="5"/>
        </w:rPr>
        <w:t>电子商务经营行为监测平台”加强监管，健全以网管网的网络交</w:t>
      </w:r>
      <w:r>
        <w:rPr>
          <w:spacing w:val="3"/>
        </w:rPr>
        <w:t xml:space="preserve"> </w:t>
      </w:r>
      <w:r>
        <w:rPr>
          <w:spacing w:val="5"/>
        </w:rPr>
        <w:t>易市场新型监管模式。创新对依托互联网的新业态的监管。加强</w:t>
      </w:r>
      <w:r>
        <w:rPr>
          <w:spacing w:val="3"/>
        </w:rPr>
        <w:t xml:space="preserve"> </w:t>
      </w:r>
      <w:r>
        <w:rPr>
          <w:spacing w:val="5"/>
        </w:rPr>
        <w:t>对智能休闲产品的引导和规范。规范网络交易行为，督促生产企</w:t>
      </w:r>
      <w:r>
        <w:rPr>
          <w:spacing w:val="3"/>
        </w:rPr>
        <w:t xml:space="preserve"> </w:t>
      </w:r>
      <w:r>
        <w:rPr>
          <w:spacing w:val="-3"/>
        </w:rPr>
        <w:t>业完善质量安全标准，防范安全风险，切实维护消费者合法权益。</w:t>
      </w:r>
    </w:p>
    <w:p w14:paraId="45411F1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51A387E3">
      <w:pPr>
        <w:keepNext w:val="0"/>
        <w:keepLines w:val="0"/>
        <w:pageBreakBefore w:val="0"/>
        <w:widowControl/>
        <w:kinsoku w:val="0"/>
        <w:wordWrap/>
        <w:overflowPunct/>
        <w:topLinePunct w:val="0"/>
        <w:autoSpaceDE w:val="0"/>
        <w:autoSpaceDN w:val="0"/>
        <w:bidi w:val="0"/>
        <w:adjustRightInd w:val="0"/>
        <w:snapToGrid w:val="0"/>
        <w:spacing w:line="560" w:lineRule="exact"/>
        <w:ind w:left="757"/>
        <w:textAlignment w:val="baseline"/>
        <w:rPr>
          <w:rFonts w:ascii="黑体" w:hAnsi="黑体" w:eastAsia="黑体" w:cs="黑体"/>
          <w:sz w:val="31"/>
          <w:szCs w:val="31"/>
        </w:rPr>
      </w:pPr>
      <w:r>
        <w:rPr>
          <w:rFonts w:ascii="黑体" w:hAnsi="黑体" w:eastAsia="黑体" w:cs="黑体"/>
          <w:spacing w:val="8"/>
          <w:sz w:val="31"/>
          <w:szCs w:val="31"/>
        </w:rPr>
        <w:t>第五章  加强重点安全领域监管，筑牢市场安全底线</w:t>
      </w:r>
    </w:p>
    <w:p w14:paraId="0521962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6" w:right="95" w:firstLine="655"/>
        <w:textAlignment w:val="baseline"/>
      </w:pPr>
      <w:r>
        <w:rPr>
          <w:spacing w:val="4"/>
        </w:rPr>
        <w:t>坚持以人民为中心，坚守市场安全底线，突出监管重点，完</w:t>
      </w:r>
      <w:r>
        <w:rPr>
          <w:spacing w:val="14"/>
        </w:rPr>
        <w:t xml:space="preserve"> </w:t>
      </w:r>
      <w:r>
        <w:rPr>
          <w:spacing w:val="5"/>
        </w:rPr>
        <w:t>善机制手段，切实提高保障和改善民生的水平，不断满足人民群</w:t>
      </w:r>
      <w:r>
        <w:rPr>
          <w:spacing w:val="11"/>
        </w:rPr>
        <w:t xml:space="preserve"> </w:t>
      </w:r>
      <w:r>
        <w:rPr>
          <w:spacing w:val="5"/>
        </w:rPr>
        <w:t>众日益增长的美好生活需要，使人民群众的获得感、幸福感、安</w:t>
      </w:r>
      <w:r>
        <w:rPr>
          <w:spacing w:val="11"/>
        </w:rPr>
        <w:t xml:space="preserve"> </w:t>
      </w:r>
      <w:r>
        <w:rPr>
          <w:spacing w:val="8"/>
        </w:rPr>
        <w:t>全感更加充实、更有保障、更可持续。</w:t>
      </w:r>
    </w:p>
    <w:p w14:paraId="7A56192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sectPr>
          <w:footerReference r:id="rId15" w:type="default"/>
          <w:pgSz w:w="11906" w:h="16839"/>
          <w:pgMar w:top="1431" w:right="1378" w:bottom="1784" w:left="1591" w:header="0" w:footer="1419" w:gutter="0"/>
          <w:cols w:space="720" w:num="1"/>
        </w:sectPr>
      </w:pPr>
    </w:p>
    <w:p w14:paraId="5A15165C">
      <w:pPr>
        <w:keepNext w:val="0"/>
        <w:keepLines w:val="0"/>
        <w:pageBreakBefore w:val="0"/>
        <w:widowControl/>
        <w:kinsoku w:val="0"/>
        <w:wordWrap/>
        <w:overflowPunct/>
        <w:topLinePunct w:val="0"/>
        <w:autoSpaceDE w:val="0"/>
        <w:autoSpaceDN w:val="0"/>
        <w:bidi w:val="0"/>
        <w:adjustRightInd w:val="0"/>
        <w:snapToGrid w:val="0"/>
        <w:spacing w:line="560" w:lineRule="exact"/>
        <w:ind w:left="2513"/>
        <w:textAlignment w:val="baseline"/>
        <w:outlineLvl w:val="1"/>
        <w:rPr>
          <w:rFonts w:ascii="KaiTi_GB2312" w:hAnsi="KaiTi_GB2312" w:eastAsia="KaiTi_GB2312" w:cs="KaiTi_GB2312"/>
          <w:sz w:val="31"/>
          <w:szCs w:val="31"/>
        </w:rPr>
      </w:pPr>
      <w:r>
        <w:rPr>
          <w:rFonts w:ascii="KaiTi_GB2312" w:hAnsi="KaiTi_GB2312" w:eastAsia="KaiTi_GB2312" w:cs="KaiTi_GB2312"/>
          <w:b/>
          <w:bCs/>
          <w:spacing w:val="5"/>
          <w:sz w:val="31"/>
          <w:szCs w:val="31"/>
        </w:rPr>
        <w:t>第一节</w:t>
      </w:r>
      <w:r>
        <w:rPr>
          <w:rFonts w:ascii="KaiTi_GB2312" w:hAnsi="KaiTi_GB2312" w:eastAsia="KaiTi_GB2312" w:cs="KaiTi_GB2312"/>
          <w:spacing w:val="5"/>
          <w:sz w:val="31"/>
          <w:szCs w:val="31"/>
        </w:rPr>
        <w:t xml:space="preserve">  </w:t>
      </w:r>
      <w:r>
        <w:rPr>
          <w:rFonts w:ascii="KaiTi_GB2312" w:hAnsi="KaiTi_GB2312" w:eastAsia="KaiTi_GB2312" w:cs="KaiTi_GB2312"/>
          <w:b/>
          <w:bCs/>
          <w:spacing w:val="5"/>
          <w:sz w:val="31"/>
          <w:szCs w:val="31"/>
        </w:rPr>
        <w:t>加强食品安全监管</w:t>
      </w:r>
    </w:p>
    <w:p w14:paraId="2A86BAA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6" w:firstLine="651"/>
        <w:jc w:val="both"/>
        <w:textAlignment w:val="baseline"/>
      </w:pPr>
      <w:r>
        <w:rPr>
          <w:b/>
          <w:bCs/>
          <w:spacing w:val="3"/>
        </w:rPr>
        <w:t>强化食品生产质量安全监管。</w:t>
      </w:r>
      <w:r>
        <w:rPr>
          <w:spacing w:val="3"/>
        </w:rPr>
        <w:t xml:space="preserve">提升食品生产重点环节和婴幼 </w:t>
      </w:r>
      <w:r>
        <w:rPr>
          <w:spacing w:val="6"/>
        </w:rPr>
        <w:t>儿辅助食品、湿粉类食品、</w:t>
      </w:r>
      <w:r>
        <w:rPr>
          <w:spacing w:val="-76"/>
        </w:rPr>
        <w:t xml:space="preserve"> </w:t>
      </w:r>
      <w:r>
        <w:rPr>
          <w:spacing w:val="6"/>
        </w:rPr>
        <w:t>白酒等重点食品监管。强化肉制品、</w:t>
      </w:r>
      <w:r>
        <w:t xml:space="preserve"> </w:t>
      </w:r>
      <w:r>
        <w:rPr>
          <w:spacing w:val="5"/>
        </w:rPr>
        <w:t>乳制品等重点食品原料管控，提升产品研发能力，发挥示范企业</w:t>
      </w:r>
      <w:r>
        <w:rPr>
          <w:spacing w:val="12"/>
        </w:rPr>
        <w:t xml:space="preserve"> </w:t>
      </w:r>
      <w:r>
        <w:rPr>
          <w:spacing w:val="5"/>
        </w:rPr>
        <w:t>带动作用，开展食品生产小作坊提升行动，推动食品生产行业质</w:t>
      </w:r>
      <w:r>
        <w:rPr>
          <w:spacing w:val="12"/>
        </w:rPr>
        <w:t xml:space="preserve"> </w:t>
      </w:r>
      <w:r>
        <w:rPr>
          <w:spacing w:val="5"/>
        </w:rPr>
        <w:t>量水平提升。推动保健食品生产企业完善质量管理体系，不断提</w:t>
      </w:r>
      <w:r>
        <w:rPr>
          <w:spacing w:val="12"/>
        </w:rPr>
        <w:t xml:space="preserve"> </w:t>
      </w:r>
      <w:r>
        <w:rPr>
          <w:spacing w:val="-2"/>
        </w:rPr>
        <w:t>升质量安全保障水平。强化在产保健食品品种监督抽检</w:t>
      </w:r>
      <w:r>
        <w:rPr>
          <w:spacing w:val="-3"/>
        </w:rPr>
        <w:t>，通过省、</w:t>
      </w:r>
      <w:r>
        <w:t xml:space="preserve"> </w:t>
      </w:r>
      <w:r>
        <w:rPr>
          <w:spacing w:val="9"/>
        </w:rPr>
        <w:t>市、县三级食品安全监督抽检实现在产保健食品品种全覆盖。</w:t>
      </w:r>
    </w:p>
    <w:p w14:paraId="0815080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4" w:right="13" w:firstLine="662"/>
        <w:jc w:val="both"/>
        <w:textAlignment w:val="baseline"/>
      </w:pPr>
      <w:r>
        <w:rPr>
          <w:b/>
          <w:bCs/>
          <w:spacing w:val="6"/>
        </w:rPr>
        <w:t>强化食品经营质量安全监管。</w:t>
      </w:r>
      <w:r>
        <w:rPr>
          <w:spacing w:val="6"/>
        </w:rPr>
        <w:t>推进餐饮质量安全</w:t>
      </w:r>
      <w:r>
        <w:rPr>
          <w:spacing w:val="5"/>
        </w:rPr>
        <w:t>提升行动，</w:t>
      </w:r>
      <w:r>
        <w:t xml:space="preserve"> </w:t>
      </w:r>
      <w:r>
        <w:rPr>
          <w:spacing w:val="17"/>
        </w:rPr>
        <w:t>全面落实餐饮服务食品安全操作规范，全区持证餐饮服务单位</w:t>
      </w:r>
      <w:r>
        <w:rPr>
          <w:spacing w:val="2"/>
        </w:rPr>
        <w:t xml:space="preserve"> </w:t>
      </w:r>
      <w:r>
        <w:rPr>
          <w:spacing w:val="9"/>
        </w:rPr>
        <w:t>“</w:t>
      </w:r>
      <w:r>
        <w:rPr>
          <w:spacing w:val="-110"/>
        </w:rPr>
        <w:t xml:space="preserve"> </w:t>
      </w:r>
      <w:r>
        <w:rPr>
          <w:spacing w:val="9"/>
        </w:rPr>
        <w:t>明厨亮灶”覆盖率达90%以上。加强网络订餐等新兴业态餐饮</w:t>
      </w:r>
      <w:r>
        <w:t xml:space="preserve"> </w:t>
      </w:r>
      <w:r>
        <w:rPr>
          <w:spacing w:val="5"/>
        </w:rPr>
        <w:t>服务监管，网络餐饮服务第三方平台分支机构备案率达100%。到</w:t>
      </w:r>
      <w:r>
        <w:rPr>
          <w:spacing w:val="4"/>
        </w:rPr>
        <w:t xml:space="preserve"> </w:t>
      </w:r>
      <w:r>
        <w:rPr>
          <w:spacing w:val="5"/>
        </w:rPr>
        <w:t>2025年，全区所有食品销售者实现线上风险分级动态管理。督促</w:t>
      </w:r>
      <w:r>
        <w:rPr>
          <w:spacing w:val="1"/>
        </w:rPr>
        <w:t xml:space="preserve"> </w:t>
      </w:r>
      <w:r>
        <w:rPr>
          <w:spacing w:val="5"/>
        </w:rPr>
        <w:t>食品、特殊食品经营企业严格执行进货查验记录制度和标签标识</w:t>
      </w:r>
      <w:r>
        <w:rPr>
          <w:spacing w:val="11"/>
        </w:rPr>
        <w:t xml:space="preserve"> </w:t>
      </w:r>
      <w:r>
        <w:rPr>
          <w:spacing w:val="-3"/>
        </w:rPr>
        <w:t>管理等规定。持续做好食用农产品快检工作，强化市场准入把关，</w:t>
      </w:r>
      <w:r>
        <w:rPr>
          <w:spacing w:val="12"/>
        </w:rPr>
        <w:t xml:space="preserve"> </w:t>
      </w:r>
      <w:r>
        <w:rPr>
          <w:spacing w:val="9"/>
        </w:rPr>
        <w:t>构建全区农贸市场食用农产品快检筛查网络。</w:t>
      </w:r>
    </w:p>
    <w:p w14:paraId="6A77AC1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92" w:firstLine="666"/>
        <w:jc w:val="both"/>
        <w:textAlignment w:val="baseline"/>
      </w:pPr>
      <w:r>
        <w:rPr>
          <w:b/>
          <w:bCs/>
          <w:spacing w:val="3"/>
        </w:rPr>
        <w:t>强化食品安全重点领域监管。</w:t>
      </w:r>
      <w:r>
        <w:rPr>
          <w:spacing w:val="3"/>
        </w:rPr>
        <w:t>深入推进食品</w:t>
      </w:r>
      <w:r>
        <w:rPr>
          <w:spacing w:val="2"/>
        </w:rPr>
        <w:t>安全放心工程建</w:t>
      </w:r>
      <w:r>
        <w:t xml:space="preserve"> </w:t>
      </w:r>
      <w:r>
        <w:rPr>
          <w:spacing w:val="5"/>
        </w:rPr>
        <w:t>设攻坚行动，加大联合整治力度。重点治理食品生产环节超范围</w:t>
      </w:r>
      <w:r>
        <w:rPr>
          <w:spacing w:val="16"/>
        </w:rPr>
        <w:t xml:space="preserve"> </w:t>
      </w:r>
      <w:r>
        <w:rPr>
          <w:spacing w:val="5"/>
        </w:rPr>
        <w:t>超限量使用食品添加剂和在食品中违法添加非食用物质行为，规</w:t>
      </w:r>
      <w:r>
        <w:rPr>
          <w:spacing w:val="16"/>
        </w:rPr>
        <w:t xml:space="preserve"> </w:t>
      </w:r>
      <w:r>
        <w:rPr>
          <w:spacing w:val="5"/>
        </w:rPr>
        <w:t>范整治固体饮料、压片糖代用茶等企业生产行为。开展校园食品</w:t>
      </w:r>
      <w:r>
        <w:rPr>
          <w:spacing w:val="18"/>
        </w:rPr>
        <w:t xml:space="preserve"> </w:t>
      </w:r>
      <w:r>
        <w:rPr>
          <w:spacing w:val="5"/>
        </w:rPr>
        <w:t>安全守护行动，严格落实学校食品安全校长（园长）负责制，全</w:t>
      </w:r>
      <w:r>
        <w:rPr>
          <w:spacing w:val="18"/>
        </w:rPr>
        <w:t xml:space="preserve"> </w:t>
      </w:r>
      <w:r>
        <w:rPr>
          <w:spacing w:val="11"/>
        </w:rPr>
        <w:t>面推行“互联网+明厨亮灶”等智慧管理模式，对学校食堂食品</w:t>
      </w:r>
      <w:r>
        <w:rPr>
          <w:spacing w:val="3"/>
        </w:rPr>
        <w:t xml:space="preserve"> </w:t>
      </w:r>
      <w:r>
        <w:rPr>
          <w:spacing w:val="5"/>
        </w:rPr>
        <w:t>安全管理人员现场抽查考核全面覆盖。加强养老机构等食品安全</w:t>
      </w:r>
    </w:p>
    <w:p w14:paraId="3C27F443">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sectPr>
          <w:footerReference r:id="rId16" w:type="default"/>
          <w:pgSz w:w="11906" w:h="16839"/>
          <w:pgMar w:top="1431" w:right="1378" w:bottom="1784" w:left="1592" w:header="0" w:footer="1421" w:gutter="0"/>
          <w:cols w:space="720" w:num="1"/>
        </w:sectPr>
      </w:pPr>
    </w:p>
    <w:p w14:paraId="725920BB">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right"/>
        <w:textAlignment w:val="baseline"/>
      </w:pPr>
      <w:r>
        <w:rPr>
          <w:spacing w:val="6"/>
        </w:rPr>
        <w:t>监管，持续开展农村假冒伪劣食品、保健食品等专项治理行动。</w:t>
      </w:r>
    </w:p>
    <w:p w14:paraId="20FEA2F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6" w:firstLine="636"/>
        <w:jc w:val="both"/>
        <w:textAlignment w:val="baseline"/>
      </w:pPr>
      <w:r>
        <w:rPr>
          <w:b/>
          <w:bCs/>
          <w:spacing w:val="3"/>
        </w:rPr>
        <w:t>提升食品安全风险防控能力。</w:t>
      </w:r>
      <w:r>
        <w:rPr>
          <w:spacing w:val="3"/>
        </w:rPr>
        <w:t>实施食品安全风险监测能力提</w:t>
      </w:r>
      <w:r>
        <w:rPr>
          <w:spacing w:val="16"/>
        </w:rPr>
        <w:t xml:space="preserve"> </w:t>
      </w:r>
      <w:r>
        <w:rPr>
          <w:spacing w:val="5"/>
        </w:rPr>
        <w:t>升工程，建立覆盖“从农田到餐桌”全过程食品安全风险监测网</w:t>
      </w:r>
      <w:r>
        <w:rPr>
          <w:spacing w:val="11"/>
        </w:rPr>
        <w:t xml:space="preserve"> </w:t>
      </w:r>
      <w:r>
        <w:rPr>
          <w:spacing w:val="5"/>
        </w:rPr>
        <w:t>络。建立食品安全专家委员会，健全食品安全风险研判机制，把</w:t>
      </w:r>
      <w:r>
        <w:rPr>
          <w:spacing w:val="11"/>
        </w:rPr>
        <w:t xml:space="preserve"> </w:t>
      </w:r>
      <w:r>
        <w:rPr>
          <w:spacing w:val="-3"/>
        </w:rPr>
        <w:t>风险研判成果转化为针对性监管措施，严防区域性、系统性风险。</w:t>
      </w:r>
      <w:r>
        <w:rPr>
          <w:spacing w:val="17"/>
        </w:rPr>
        <w:t xml:space="preserve"> </w:t>
      </w:r>
      <w:r>
        <w:rPr>
          <w:spacing w:val="6"/>
        </w:rPr>
        <w:t>完善食品抽检工作机制，以发现问题导向，加大食品抽检力度，</w:t>
      </w:r>
      <w:r>
        <w:t xml:space="preserve"> </w:t>
      </w:r>
      <w:r>
        <w:rPr>
          <w:spacing w:val="8"/>
        </w:rPr>
        <w:t>按照市食药安办的统一部署，按时按质按量推进食品抽检工作。</w:t>
      </w:r>
      <w:r>
        <w:rPr>
          <w:spacing w:val="16"/>
        </w:rPr>
        <w:t xml:space="preserve"> </w:t>
      </w:r>
      <w:r>
        <w:rPr>
          <w:spacing w:val="5"/>
        </w:rPr>
        <w:t>充分发挥抽检机构技术支撑作用，深化“检管结合”，加强食品</w:t>
      </w:r>
      <w:r>
        <w:rPr>
          <w:spacing w:val="9"/>
        </w:rPr>
        <w:t xml:space="preserve"> </w:t>
      </w:r>
      <w:r>
        <w:rPr>
          <w:spacing w:val="5"/>
        </w:rPr>
        <w:t>安全抽检监测数据统计分析运用，规范不合格食品核查处置工作</w:t>
      </w:r>
      <w:r>
        <w:rPr>
          <w:spacing w:val="8"/>
        </w:rPr>
        <w:t xml:space="preserve"> </w:t>
      </w:r>
      <w:r>
        <w:rPr>
          <w:spacing w:val="5"/>
        </w:rPr>
        <w:t>制度，加大打击生产经营有毒有害食品违法犯罪行为力度，消除</w:t>
      </w:r>
      <w:r>
        <w:rPr>
          <w:spacing w:val="9"/>
        </w:rPr>
        <w:t xml:space="preserve"> </w:t>
      </w:r>
      <w:r>
        <w:rPr>
          <w:spacing w:val="5"/>
        </w:rPr>
        <w:t>食品安全风险隐患。完善覆盖区级的应急指挥调度系统建设，打</w:t>
      </w:r>
      <w:r>
        <w:rPr>
          <w:spacing w:val="11"/>
        </w:rPr>
        <w:t xml:space="preserve"> </w:t>
      </w:r>
      <w:r>
        <w:rPr>
          <w:spacing w:val="8"/>
        </w:rPr>
        <w:t>造统一权威、协调顺畅、指挥高效的应急体系。</w:t>
      </w:r>
    </w:p>
    <w:p w14:paraId="74CA77E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2" w:right="86" w:firstLine="643"/>
        <w:jc w:val="both"/>
        <w:textAlignment w:val="baseline"/>
      </w:pPr>
      <w:r>
        <w:rPr>
          <w:b/>
          <w:bCs/>
          <w:spacing w:val="4"/>
        </w:rPr>
        <w:t>构建优质食品供给体系。</w:t>
      </w:r>
      <w:r>
        <w:rPr>
          <w:spacing w:val="4"/>
        </w:rPr>
        <w:t>支持企业延长产业链</w:t>
      </w:r>
      <w:r>
        <w:rPr>
          <w:spacing w:val="3"/>
        </w:rPr>
        <w:t>条，构建“全</w:t>
      </w:r>
      <w:r>
        <w:t xml:space="preserve"> </w:t>
      </w:r>
      <w:r>
        <w:rPr>
          <w:spacing w:val="4"/>
        </w:rPr>
        <w:t>链条、全循环、高质量、高效益”</w:t>
      </w:r>
      <w:r>
        <w:rPr>
          <w:spacing w:val="-115"/>
        </w:rPr>
        <w:t xml:space="preserve"> </w:t>
      </w:r>
      <w:r>
        <w:rPr>
          <w:spacing w:val="4"/>
        </w:rPr>
        <w:t>的产业体系。倡导保健食品产</w:t>
      </w:r>
      <w:r>
        <w:t xml:space="preserve"> </w:t>
      </w:r>
      <w:r>
        <w:rPr>
          <w:spacing w:val="5"/>
        </w:rPr>
        <w:t>业升级行动，鼓励保健食品生产企业加大新产品研发，提高产品</w:t>
      </w:r>
      <w:r>
        <w:rPr>
          <w:spacing w:val="12"/>
        </w:rPr>
        <w:t xml:space="preserve"> </w:t>
      </w:r>
      <w:r>
        <w:rPr>
          <w:spacing w:val="5"/>
        </w:rPr>
        <w:t>核心竞争力。实施食品销售风险分级管理信息化，提高经营管理</w:t>
      </w:r>
      <w:r>
        <w:rPr>
          <w:spacing w:val="15"/>
        </w:rPr>
        <w:t xml:space="preserve"> </w:t>
      </w:r>
      <w:r>
        <w:rPr>
          <w:spacing w:val="6"/>
        </w:rPr>
        <w:t>规范化水平。</w:t>
      </w:r>
    </w:p>
    <w:p w14:paraId="7C30FB6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65"/>
        <w:jc w:val="both"/>
        <w:textAlignment w:val="baseline"/>
      </w:pPr>
      <w:r>
        <w:rPr>
          <w:b/>
          <w:bCs/>
          <w:spacing w:val="3"/>
        </w:rPr>
        <w:t>强化食品安全各方责任。</w:t>
      </w:r>
      <w:r>
        <w:rPr>
          <w:spacing w:val="3"/>
        </w:rPr>
        <w:t>坚持食品安全党政同责，压实食品</w:t>
      </w:r>
      <w:r>
        <w:t xml:space="preserve"> </w:t>
      </w:r>
      <w:r>
        <w:rPr>
          <w:spacing w:val="5"/>
        </w:rPr>
        <w:t>安全属地管理责任。加强食品安全评议考核。加强食品安全综合</w:t>
      </w:r>
      <w:r>
        <w:rPr>
          <w:spacing w:val="15"/>
        </w:rPr>
        <w:t xml:space="preserve"> </w:t>
      </w:r>
      <w:r>
        <w:rPr>
          <w:spacing w:val="9"/>
        </w:rPr>
        <w:t>协调，强化食品安全部门监管责任，完善沟通协调、</w:t>
      </w:r>
      <w:r>
        <w:rPr>
          <w:spacing w:val="8"/>
        </w:rPr>
        <w:t>决策咨询、</w:t>
      </w:r>
      <w:r>
        <w:t xml:space="preserve"> </w:t>
      </w:r>
      <w:r>
        <w:rPr>
          <w:spacing w:val="-2"/>
        </w:rPr>
        <w:t>风险研判、风险交流等工作机制，健全食品安全全过程</w:t>
      </w:r>
      <w:r>
        <w:rPr>
          <w:spacing w:val="-3"/>
        </w:rPr>
        <w:t>监管格局。</w:t>
      </w:r>
      <w:r>
        <w:t xml:space="preserve"> </w:t>
      </w:r>
      <w:r>
        <w:rPr>
          <w:spacing w:val="5"/>
        </w:rPr>
        <w:t>督促食用农产品、食品生产经营者落实食品安全主体责任，严格</w:t>
      </w:r>
      <w:r>
        <w:rPr>
          <w:spacing w:val="15"/>
        </w:rPr>
        <w:t xml:space="preserve"> </w:t>
      </w:r>
      <w:r>
        <w:rPr>
          <w:spacing w:val="5"/>
        </w:rPr>
        <w:t>依法依规从事生产经营活动。食品、特殊食品生产企业年度自查</w:t>
      </w:r>
    </w:p>
    <w:p w14:paraId="5D4AFB6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sectPr>
          <w:footerReference r:id="rId17" w:type="default"/>
          <w:pgSz w:w="11906" w:h="16839"/>
          <w:pgMar w:top="1431" w:right="1384" w:bottom="1784" w:left="1593" w:header="0" w:footer="1421" w:gutter="0"/>
          <w:cols w:space="720" w:num="1"/>
        </w:sectPr>
      </w:pPr>
    </w:p>
    <w:p w14:paraId="696F204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43" w:firstLine="13"/>
        <w:jc w:val="both"/>
        <w:textAlignment w:val="baseline"/>
      </w:pPr>
      <w:r>
        <w:rPr>
          <w:spacing w:val="5"/>
        </w:rPr>
        <w:t>报告率达100%。不断提升食品行业人员总体素</w:t>
      </w:r>
      <w:r>
        <w:rPr>
          <w:spacing w:val="4"/>
        </w:rPr>
        <w:t>质，食品质量安全</w:t>
      </w:r>
      <w:r>
        <w:t xml:space="preserve"> </w:t>
      </w:r>
      <w:r>
        <w:rPr>
          <w:spacing w:val="5"/>
        </w:rPr>
        <w:t>管理岗位人员法规知识抽查合格率达100%以上。鼓励企业积极投</w:t>
      </w:r>
      <w:r>
        <w:rPr>
          <w:spacing w:val="4"/>
        </w:rPr>
        <w:t xml:space="preserve"> </w:t>
      </w:r>
      <w:r>
        <w:rPr>
          <w:spacing w:val="8"/>
        </w:rPr>
        <w:t>保食品安全责任保险。</w:t>
      </w:r>
    </w:p>
    <w:p w14:paraId="762FD17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0ABFEDA0">
      <w:pPr>
        <w:keepNext w:val="0"/>
        <w:keepLines w:val="0"/>
        <w:pageBreakBefore w:val="0"/>
        <w:widowControl/>
        <w:kinsoku w:val="0"/>
        <w:wordWrap/>
        <w:overflowPunct/>
        <w:topLinePunct w:val="0"/>
        <w:autoSpaceDE w:val="0"/>
        <w:autoSpaceDN w:val="0"/>
        <w:bidi w:val="0"/>
        <w:adjustRightInd w:val="0"/>
        <w:snapToGrid w:val="0"/>
        <w:spacing w:line="560" w:lineRule="exact"/>
        <w:ind w:left="2510"/>
        <w:textAlignment w:val="baseline"/>
        <w:outlineLvl w:val="1"/>
        <w:rPr>
          <w:rFonts w:ascii="KaiTi_GB2312" w:hAnsi="KaiTi_GB2312" w:eastAsia="KaiTi_GB2312" w:cs="KaiTi_GB2312"/>
          <w:sz w:val="31"/>
          <w:szCs w:val="31"/>
        </w:rPr>
      </w:pPr>
      <w:r>
        <w:rPr>
          <w:rFonts w:ascii="KaiTi_GB2312" w:hAnsi="KaiTi_GB2312" w:eastAsia="KaiTi_GB2312" w:cs="KaiTi_GB2312"/>
          <w:b/>
          <w:bCs/>
          <w:spacing w:val="5"/>
          <w:sz w:val="31"/>
          <w:szCs w:val="31"/>
        </w:rPr>
        <w:t>第二节</w:t>
      </w:r>
      <w:r>
        <w:rPr>
          <w:rFonts w:ascii="KaiTi_GB2312" w:hAnsi="KaiTi_GB2312" w:eastAsia="KaiTi_GB2312" w:cs="KaiTi_GB2312"/>
          <w:spacing w:val="5"/>
          <w:sz w:val="31"/>
          <w:szCs w:val="31"/>
        </w:rPr>
        <w:t xml:space="preserve">  </w:t>
      </w:r>
      <w:r>
        <w:rPr>
          <w:rFonts w:ascii="KaiTi_GB2312" w:hAnsi="KaiTi_GB2312" w:eastAsia="KaiTi_GB2312" w:cs="KaiTi_GB2312"/>
          <w:b/>
          <w:bCs/>
          <w:spacing w:val="5"/>
          <w:sz w:val="31"/>
          <w:szCs w:val="31"/>
        </w:rPr>
        <w:t>加强药品安全监管</w:t>
      </w:r>
    </w:p>
    <w:p w14:paraId="4B83794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 w:firstLine="638"/>
        <w:jc w:val="both"/>
        <w:textAlignment w:val="baseline"/>
      </w:pPr>
      <w:r>
        <w:rPr>
          <w:b/>
          <w:bCs/>
          <w:spacing w:val="4"/>
        </w:rPr>
        <w:t>健全完善药品监管机制。</w:t>
      </w:r>
      <w:r>
        <w:rPr>
          <w:spacing w:val="4"/>
        </w:rPr>
        <w:t>探索推行药品监管质</w:t>
      </w:r>
      <w:r>
        <w:rPr>
          <w:spacing w:val="3"/>
        </w:rPr>
        <w:t>量管理体系和</w:t>
      </w:r>
      <w:r>
        <w:t xml:space="preserve"> </w:t>
      </w:r>
      <w:r>
        <w:rPr>
          <w:spacing w:val="7"/>
        </w:rPr>
        <w:t>绩效评估考核制度，推进药品安全工作纳入各级政府绩效考核。</w:t>
      </w:r>
      <w:r>
        <w:rPr>
          <w:spacing w:val="2"/>
        </w:rPr>
        <w:t xml:space="preserve"> </w:t>
      </w:r>
      <w:r>
        <w:rPr>
          <w:spacing w:val="5"/>
        </w:rPr>
        <w:t>提升监管技术支撑能力，提升执法装备配备水平，基层执法装备</w:t>
      </w:r>
      <w:r>
        <w:rPr>
          <w:spacing w:val="15"/>
        </w:rPr>
        <w:t xml:space="preserve"> </w:t>
      </w:r>
      <w:r>
        <w:rPr>
          <w:spacing w:val="5"/>
        </w:rPr>
        <w:t xml:space="preserve">标准配备率达70%以上。深入推进“互联网+政务服务”，打造药 </w:t>
      </w:r>
      <w:r>
        <w:rPr>
          <w:spacing w:val="7"/>
        </w:rPr>
        <w:t>品智慧监管体系。</w:t>
      </w:r>
    </w:p>
    <w:p w14:paraId="427F7A5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3" w:right="43" w:firstLine="640"/>
        <w:jc w:val="both"/>
        <w:textAlignment w:val="baseline"/>
      </w:pPr>
      <w:r>
        <w:rPr>
          <w:b/>
          <w:bCs/>
          <w:spacing w:val="4"/>
        </w:rPr>
        <w:t>加强药品监管。</w:t>
      </w:r>
      <w:r>
        <w:rPr>
          <w:spacing w:val="4"/>
        </w:rPr>
        <w:t>强化疫苗、血液制品等高风险药品的重点监</w:t>
      </w:r>
      <w:r>
        <w:rPr>
          <w:spacing w:val="5"/>
        </w:rPr>
        <w:t xml:space="preserve"> 管，加大高风险品种、抽检不合格品种、国家基本药物品种和国</w:t>
      </w:r>
      <w:r>
        <w:rPr>
          <w:spacing w:val="12"/>
        </w:rPr>
        <w:t xml:space="preserve"> </w:t>
      </w:r>
      <w:r>
        <w:rPr>
          <w:spacing w:val="5"/>
        </w:rPr>
        <w:t>家集中采购中选药品的监管力度。强化药品流通监管，严惩药品</w:t>
      </w:r>
      <w:r>
        <w:rPr>
          <w:spacing w:val="10"/>
        </w:rPr>
        <w:t xml:space="preserve"> </w:t>
      </w:r>
      <w:r>
        <w:rPr>
          <w:spacing w:val="5"/>
        </w:rPr>
        <w:t>购进和销售渠道不符合规定的违法行为，及时管控违规销售处方</w:t>
      </w:r>
      <w:r>
        <w:rPr>
          <w:spacing w:val="10"/>
        </w:rPr>
        <w:t xml:space="preserve"> </w:t>
      </w:r>
      <w:r>
        <w:rPr>
          <w:spacing w:val="5"/>
        </w:rPr>
        <w:t>药引发的舆情风险。加强日常监管，对药品生产批发企业监督检</w:t>
      </w:r>
      <w:r>
        <w:rPr>
          <w:spacing w:val="12"/>
        </w:rPr>
        <w:t xml:space="preserve"> </w:t>
      </w:r>
      <w:r>
        <w:rPr>
          <w:spacing w:val="8"/>
        </w:rPr>
        <w:t>查覆盖率达100%，市场流通药品可追溯率（基药）达98%以上。</w:t>
      </w:r>
    </w:p>
    <w:p w14:paraId="079D241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2" w:right="43" w:firstLine="642"/>
        <w:jc w:val="both"/>
        <w:textAlignment w:val="baseline"/>
      </w:pPr>
      <w:r>
        <w:rPr>
          <w:b/>
          <w:bCs/>
          <w:spacing w:val="4"/>
        </w:rPr>
        <w:t>加强医疗器械监管。</w:t>
      </w:r>
      <w:r>
        <w:rPr>
          <w:spacing w:val="4"/>
        </w:rPr>
        <w:t>全面实施医疗器械注册人制度，实</w:t>
      </w:r>
      <w:r>
        <w:rPr>
          <w:spacing w:val="3"/>
        </w:rPr>
        <w:t>行生</w:t>
      </w:r>
      <w:r>
        <w:t xml:space="preserve"> </w:t>
      </w:r>
      <w:r>
        <w:rPr>
          <w:spacing w:val="5"/>
        </w:rPr>
        <w:t>产企业风险信用量化分级分类监管，加强高风险医疗器械生产企</w:t>
      </w:r>
      <w:r>
        <w:rPr>
          <w:spacing w:val="13"/>
        </w:rPr>
        <w:t xml:space="preserve"> </w:t>
      </w:r>
      <w:r>
        <w:rPr>
          <w:spacing w:val="5"/>
        </w:rPr>
        <w:t>业重点监管，加强经营环节质量管理规范监督检查，医疗器械不</w:t>
      </w:r>
      <w:r>
        <w:rPr>
          <w:spacing w:val="11"/>
        </w:rPr>
        <w:t xml:space="preserve"> 良事件报告数达到400份/百万人口</w:t>
      </w:r>
      <w:r>
        <w:rPr>
          <w:spacing w:val="-92"/>
        </w:rPr>
        <w:t xml:space="preserve"> </w:t>
      </w:r>
      <w:r>
        <w:rPr>
          <w:spacing w:val="11"/>
        </w:rPr>
        <w:t>以上。建立医疗器械追溯制</w:t>
      </w:r>
      <w:r>
        <w:t xml:space="preserve"> </w:t>
      </w:r>
      <w:r>
        <w:rPr>
          <w:spacing w:val="5"/>
        </w:rPr>
        <w:t>度。探索实施高值医用耗材注册、采购、使用以及药品监管部门</w:t>
      </w:r>
      <w:r>
        <w:rPr>
          <w:spacing w:val="13"/>
        </w:rPr>
        <w:t xml:space="preserve"> </w:t>
      </w:r>
      <w:r>
        <w:rPr>
          <w:spacing w:val="9"/>
        </w:rPr>
        <w:t>监督检查等环节医疗器械唯一标识编码的衔接应用。</w:t>
      </w:r>
    </w:p>
    <w:p w14:paraId="326ED40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25"/>
        <w:jc w:val="right"/>
        <w:textAlignment w:val="baseline"/>
      </w:pPr>
      <w:r>
        <w:rPr>
          <w:b/>
          <w:bCs/>
          <w:spacing w:val="5"/>
        </w:rPr>
        <w:t>加强化妆品监管。</w:t>
      </w:r>
      <w:r>
        <w:rPr>
          <w:spacing w:val="5"/>
        </w:rPr>
        <w:t>严格化妆品备案后监督检查</w:t>
      </w:r>
      <w:r>
        <w:rPr>
          <w:spacing w:val="4"/>
        </w:rPr>
        <w:t>，以面膜、祛</w:t>
      </w:r>
    </w:p>
    <w:p w14:paraId="133C434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sectPr>
          <w:footerReference r:id="rId18" w:type="default"/>
          <w:pgSz w:w="11906" w:h="16839"/>
          <w:pgMar w:top="1431" w:right="1429" w:bottom="1784" w:left="1595" w:header="0" w:footer="1421" w:gutter="0"/>
          <w:cols w:space="720" w:num="1"/>
        </w:sectPr>
      </w:pPr>
    </w:p>
    <w:p w14:paraId="3480EEC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67E1B11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57DEBBF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0EDF956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7" w:right="95" w:firstLine="5"/>
        <w:jc w:val="both"/>
        <w:textAlignment w:val="baseline"/>
      </w:pPr>
      <w:r>
        <w:rPr>
          <w:spacing w:val="5"/>
        </w:rPr>
        <w:t>痘、祛斑、美白、防晒、染发及儿童护肤类化妆品等高风险品种</w:t>
      </w:r>
      <w:r>
        <w:rPr>
          <w:spacing w:val="4"/>
        </w:rPr>
        <w:t xml:space="preserve"> </w:t>
      </w:r>
      <w:r>
        <w:rPr>
          <w:spacing w:val="5"/>
        </w:rPr>
        <w:t>为重点检查品种，重点排查生产企业违规使用禁限用原料生产和擅自改变已注册备案配方生产等违法违规行为。推进化妆品生产</w:t>
      </w:r>
      <w:r>
        <w:rPr>
          <w:spacing w:val="10"/>
        </w:rPr>
        <w:t>企业风险分级分类监管，化妆品不良反应监测报告数达到70份/</w:t>
      </w:r>
      <w:r>
        <w:rPr>
          <w:spacing w:val="5"/>
        </w:rPr>
        <w:t>百万人口。对高风险企业开展全覆盖飞行检查。</w:t>
      </w:r>
    </w:p>
    <w:p w14:paraId="59946CB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3" w:right="92" w:firstLine="639"/>
        <w:jc w:val="both"/>
        <w:textAlignment w:val="baseline"/>
      </w:pPr>
      <w:r>
        <w:rPr>
          <w:b/>
          <w:bCs/>
          <w:spacing w:val="3"/>
        </w:rPr>
        <w:t>提升药品安全风险防控能力。</w:t>
      </w:r>
      <w:r>
        <w:rPr>
          <w:spacing w:val="3"/>
        </w:rPr>
        <w:t>开展年度药品、医疗器械和化</w:t>
      </w:r>
      <w:r>
        <w:rPr>
          <w:spacing w:val="16"/>
        </w:rPr>
        <w:t xml:space="preserve"> </w:t>
      </w:r>
      <w:r>
        <w:rPr>
          <w:spacing w:val="5"/>
        </w:rPr>
        <w:t>妆品质量监督抽检工作。加大“两品一械”违法犯罪案件查办力</w:t>
      </w:r>
      <w:r>
        <w:rPr>
          <w:spacing w:val="8"/>
        </w:rPr>
        <w:t>度，净化市场形成高压态势和震慑作用。</w:t>
      </w:r>
    </w:p>
    <w:p w14:paraId="14505E0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95" w:firstLine="642"/>
        <w:jc w:val="both"/>
        <w:textAlignment w:val="baseline"/>
      </w:pPr>
      <w:r>
        <w:rPr>
          <w:b/>
          <w:bCs/>
          <w:spacing w:val="3"/>
        </w:rPr>
        <w:t>促进医药产业高质量发展。</w:t>
      </w:r>
      <w:r>
        <w:rPr>
          <w:spacing w:val="3"/>
        </w:rPr>
        <w:t>支持中药传承和创新，推动中药</w:t>
      </w:r>
      <w:r>
        <w:rPr>
          <w:spacing w:val="18"/>
        </w:rPr>
        <w:t xml:space="preserve"> </w:t>
      </w:r>
      <w:r>
        <w:rPr>
          <w:spacing w:val="5"/>
        </w:rPr>
        <w:t>质量提升和产业发展。探索创新药品、创新医疗器械和医药网络</w:t>
      </w:r>
      <w:r>
        <w:rPr>
          <w:spacing w:val="15"/>
        </w:rPr>
        <w:t xml:space="preserve"> </w:t>
      </w:r>
      <w:r>
        <w:rPr>
          <w:spacing w:val="5"/>
        </w:rPr>
        <w:t>销售新商业模式的新型监管。全面助推生物医药强市建设，促进</w:t>
      </w:r>
      <w:r>
        <w:rPr>
          <w:spacing w:val="11"/>
        </w:rPr>
        <w:t>产业高质量发展，人民群众对药品供应可及</w:t>
      </w:r>
      <w:r>
        <w:rPr>
          <w:spacing w:val="10"/>
        </w:rPr>
        <w:t>性的满意度达到90%</w:t>
      </w:r>
      <w:r>
        <w:t xml:space="preserve"> </w:t>
      </w:r>
      <w:r>
        <w:rPr>
          <w:spacing w:val="3"/>
        </w:rPr>
        <w:t>以上。</w:t>
      </w:r>
    </w:p>
    <w:p w14:paraId="73E52BA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74E8BDE9">
      <w:pPr>
        <w:keepNext w:val="0"/>
        <w:keepLines w:val="0"/>
        <w:pageBreakBefore w:val="0"/>
        <w:widowControl/>
        <w:kinsoku w:val="0"/>
        <w:wordWrap/>
        <w:overflowPunct/>
        <w:topLinePunct w:val="0"/>
        <w:autoSpaceDE w:val="0"/>
        <w:autoSpaceDN w:val="0"/>
        <w:bidi w:val="0"/>
        <w:adjustRightInd w:val="0"/>
        <w:snapToGrid w:val="0"/>
        <w:spacing w:line="560" w:lineRule="exact"/>
        <w:ind w:left="2509"/>
        <w:textAlignment w:val="baseline"/>
        <w:rPr>
          <w:rFonts w:ascii="KaiTi_GB2312" w:hAnsi="KaiTi_GB2312" w:eastAsia="KaiTi_GB2312" w:cs="KaiTi_GB2312"/>
          <w:sz w:val="31"/>
          <w:szCs w:val="31"/>
        </w:rPr>
      </w:pPr>
      <w:r>
        <w:rPr>
          <w:rFonts w:ascii="KaiTi_GB2312" w:hAnsi="KaiTi_GB2312" w:eastAsia="KaiTi_GB2312" w:cs="KaiTi_GB2312"/>
          <w:b/>
          <w:bCs/>
          <w:spacing w:val="6"/>
          <w:sz w:val="31"/>
          <w:szCs w:val="31"/>
        </w:rPr>
        <w:t>第三节</w:t>
      </w:r>
      <w:r>
        <w:rPr>
          <w:rFonts w:ascii="KaiTi_GB2312" w:hAnsi="KaiTi_GB2312" w:eastAsia="KaiTi_GB2312" w:cs="KaiTi_GB2312"/>
          <w:spacing w:val="6"/>
          <w:sz w:val="31"/>
          <w:szCs w:val="31"/>
        </w:rPr>
        <w:t xml:space="preserve">  </w:t>
      </w:r>
      <w:r>
        <w:rPr>
          <w:rFonts w:ascii="KaiTi_GB2312" w:hAnsi="KaiTi_GB2312" w:eastAsia="KaiTi_GB2312" w:cs="KaiTi_GB2312"/>
          <w:b/>
          <w:bCs/>
          <w:spacing w:val="6"/>
          <w:sz w:val="31"/>
          <w:szCs w:val="31"/>
        </w:rPr>
        <w:t>加强特种设备安全监管</w:t>
      </w:r>
    </w:p>
    <w:p w14:paraId="565A663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6" w:firstLine="659"/>
        <w:jc w:val="both"/>
        <w:textAlignment w:val="baseline"/>
      </w:pPr>
      <w:r>
        <w:rPr>
          <w:b/>
          <w:bCs/>
          <w:spacing w:val="2"/>
        </w:rPr>
        <w:t>强化特种设备风险防范和检查整治。</w:t>
      </w:r>
      <w:r>
        <w:rPr>
          <w:spacing w:val="2"/>
        </w:rPr>
        <w:t>协助制定特种设备安全</w:t>
      </w:r>
      <w:r>
        <w:rPr>
          <w:spacing w:val="10"/>
        </w:rPr>
        <w:t xml:space="preserve"> </w:t>
      </w:r>
      <w:r>
        <w:rPr>
          <w:spacing w:val="5"/>
        </w:rPr>
        <w:t>风险分级管控和隐患排查治理分级实施细则，建立使用单位安全</w:t>
      </w:r>
      <w:r>
        <w:rPr>
          <w:spacing w:val="9"/>
        </w:rPr>
        <w:t xml:space="preserve"> </w:t>
      </w:r>
      <w:r>
        <w:rPr>
          <w:spacing w:val="-2"/>
        </w:rPr>
        <w:t>主体责任清单，推进特种设备实施分类监管。加大对</w:t>
      </w:r>
      <w:r>
        <w:rPr>
          <w:spacing w:val="-3"/>
        </w:rPr>
        <w:t>存在区域性、</w:t>
      </w:r>
      <w:r>
        <w:t xml:space="preserve"> </w:t>
      </w:r>
      <w:r>
        <w:rPr>
          <w:spacing w:val="5"/>
        </w:rPr>
        <w:t>普遍性严重事故隐患的特种设备使用单位监督检查频次，做好重大活动和节假日特种设备安全保障工作，加强学校、幼儿园、医院、车站、客运码头、商场、体育场馆、展览馆、公园等公众聚</w:t>
      </w:r>
      <w:r>
        <w:rPr>
          <w:spacing w:val="13"/>
        </w:rPr>
        <w:t xml:space="preserve"> </w:t>
      </w:r>
      <w:r>
        <w:rPr>
          <w:spacing w:val="5"/>
        </w:rPr>
        <w:t>集场所特种设备的重点风险防控。开展特种设备专项监督检查和整治，有效预防区域性、行业性安全隐患，强化挂牌督办和问责约谈，落实整改闭环。保持执法高压态势，敢</w:t>
      </w:r>
      <w:r>
        <w:rPr>
          <w:spacing w:val="4"/>
        </w:rPr>
        <w:t>于动真碰硬，对监</w:t>
      </w:r>
      <w:r>
        <w:rPr>
          <w:spacing w:val="14"/>
        </w:rPr>
        <w:t>督检查中发现的或群众举报投诉的严重事故隐患，</w:t>
      </w:r>
      <w:r>
        <w:rPr>
          <w:spacing w:val="-73"/>
        </w:rPr>
        <w:t xml:space="preserve"> </w:t>
      </w:r>
      <w:r>
        <w:rPr>
          <w:spacing w:val="14"/>
        </w:rPr>
        <w:t>以及屡教不</w:t>
      </w:r>
      <w:r>
        <w:rPr>
          <w:spacing w:val="5"/>
        </w:rPr>
        <w:t>改、屡犯不止和拒不改正的企业进行立案查处，确保违法行为得</w:t>
      </w:r>
      <w:r>
        <w:rPr>
          <w:spacing w:val="10"/>
        </w:rPr>
        <w:t xml:space="preserve"> </w:t>
      </w:r>
      <w:r>
        <w:rPr>
          <w:spacing w:val="8"/>
        </w:rPr>
        <w:t>到纠正，隐患设备得到整改。</w:t>
      </w:r>
    </w:p>
    <w:p w14:paraId="7D27910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5" w:right="43" w:firstLine="640"/>
        <w:jc w:val="both"/>
        <w:textAlignment w:val="baseline"/>
      </w:pPr>
      <w:r>
        <w:rPr>
          <w:b/>
          <w:bCs/>
          <w:spacing w:val="3"/>
        </w:rPr>
        <w:t>加强特种设备源头监管。</w:t>
      </w:r>
      <w:r>
        <w:rPr>
          <w:spacing w:val="3"/>
        </w:rPr>
        <w:t>加强对特种设备许可获证单位的事</w:t>
      </w:r>
      <w:r>
        <w:rPr>
          <w:spacing w:val="18"/>
        </w:rPr>
        <w:t xml:space="preserve"> </w:t>
      </w:r>
      <w:r>
        <w:rPr>
          <w:spacing w:val="5"/>
        </w:rPr>
        <w:t>中事后监管，规范许可鉴定评审和作业人员考核工作流程，加大</w:t>
      </w:r>
      <w:r>
        <w:rPr>
          <w:spacing w:val="10"/>
        </w:rPr>
        <w:t xml:space="preserve"> </w:t>
      </w:r>
      <w:r>
        <w:rPr>
          <w:spacing w:val="5"/>
        </w:rPr>
        <w:t>行政许可和日常监管信息共享，强化生产单位和检验检测机构证</w:t>
      </w:r>
      <w:r>
        <w:rPr>
          <w:spacing w:val="10"/>
        </w:rPr>
        <w:t xml:space="preserve"> </w:t>
      </w:r>
      <w:r>
        <w:rPr>
          <w:spacing w:val="5"/>
        </w:rPr>
        <w:t>后监督抽查。</w:t>
      </w:r>
    </w:p>
    <w:p w14:paraId="3FD0365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5" w:right="43" w:firstLine="640"/>
        <w:jc w:val="both"/>
        <w:textAlignment w:val="baseline"/>
      </w:pPr>
      <w:r>
        <w:rPr>
          <w:b/>
          <w:bCs/>
          <w:spacing w:val="3"/>
        </w:rPr>
        <w:t>推进特种设备智慧监管。</w:t>
      </w:r>
      <w:r>
        <w:rPr>
          <w:spacing w:val="3"/>
        </w:rPr>
        <w:t>完善特种设备电子监管系统，推进</w:t>
      </w:r>
      <w:r>
        <w:rPr>
          <w:spacing w:val="18"/>
        </w:rPr>
        <w:t xml:space="preserve"> </w:t>
      </w:r>
      <w:r>
        <w:rPr>
          <w:spacing w:val="5"/>
        </w:rPr>
        <w:t>移动式压力容器、气瓶信息化追溯体系建设。归集各类特种安全</w:t>
      </w:r>
      <w:r>
        <w:rPr>
          <w:spacing w:val="10"/>
        </w:rPr>
        <w:t xml:space="preserve"> </w:t>
      </w:r>
      <w:r>
        <w:rPr>
          <w:spacing w:val="5"/>
        </w:rPr>
        <w:t>风险信息，开展数据统计分析。发挥检验机构的技术支撑公益作</w:t>
      </w:r>
      <w:r>
        <w:rPr>
          <w:spacing w:val="12"/>
        </w:rPr>
        <w:t xml:space="preserve"> </w:t>
      </w:r>
      <w:r>
        <w:rPr>
          <w:spacing w:val="5"/>
        </w:rPr>
        <w:t>用，鼓励检验机构和社会组织参与指导特种设备使用单位开展风</w:t>
      </w:r>
      <w:r>
        <w:rPr>
          <w:spacing w:val="10"/>
        </w:rPr>
        <w:t xml:space="preserve"> </w:t>
      </w:r>
      <w:r>
        <w:rPr>
          <w:spacing w:val="9"/>
        </w:rPr>
        <w:t>险识别评估、隐患排查治理和高耗能特种设备节能环保服务。</w:t>
      </w:r>
    </w:p>
    <w:p w14:paraId="5AF294E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43"/>
        <w:jc w:val="both"/>
        <w:textAlignment w:val="baseline"/>
      </w:pPr>
      <w:r>
        <w:rPr>
          <w:b/>
          <w:bCs/>
          <w:spacing w:val="3"/>
        </w:rPr>
        <w:t>提高特种设备应急处置能力。</w:t>
      </w:r>
      <w:r>
        <w:rPr>
          <w:spacing w:val="3"/>
        </w:rPr>
        <w:t>督促使用单位加强特种设备事</w:t>
      </w:r>
      <w:r>
        <w:rPr>
          <w:spacing w:val="16"/>
        </w:rPr>
        <w:t xml:space="preserve"> </w:t>
      </w:r>
      <w:r>
        <w:rPr>
          <w:spacing w:val="5"/>
        </w:rPr>
        <w:t>故应急管理，制定应急预案并组织演练，开展相关知识培训、法</w:t>
      </w:r>
      <w:r>
        <w:rPr>
          <w:spacing w:val="17"/>
        </w:rPr>
        <w:t xml:space="preserve"> </w:t>
      </w:r>
      <w:r>
        <w:rPr>
          <w:spacing w:val="5"/>
        </w:rPr>
        <w:t>规宣传和事故案例警示教育，配齐安全防护装备和用品。建立特</w:t>
      </w:r>
      <w:r>
        <w:rPr>
          <w:spacing w:val="17"/>
        </w:rPr>
        <w:t xml:space="preserve"> </w:t>
      </w:r>
      <w:r>
        <w:rPr>
          <w:spacing w:val="7"/>
        </w:rPr>
        <w:t>种设备事故应急专家库和应急队伍库，完善特种设备基础数据。</w:t>
      </w:r>
      <w:r>
        <w:rPr>
          <w:spacing w:val="5"/>
        </w:rPr>
        <w:t xml:space="preserve"> </w:t>
      </w:r>
      <w:r>
        <w:rPr>
          <w:spacing w:val="9"/>
        </w:rPr>
        <w:t>健全特种设备事故调查制度，落实事故预防和纠正措施。</w:t>
      </w:r>
    </w:p>
    <w:p w14:paraId="13D457A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1D9DDE3B">
      <w:pPr>
        <w:keepNext w:val="0"/>
        <w:keepLines w:val="0"/>
        <w:pageBreakBefore w:val="0"/>
        <w:widowControl/>
        <w:kinsoku w:val="0"/>
        <w:wordWrap/>
        <w:overflowPunct/>
        <w:topLinePunct w:val="0"/>
        <w:autoSpaceDE w:val="0"/>
        <w:autoSpaceDN w:val="0"/>
        <w:bidi w:val="0"/>
        <w:adjustRightInd w:val="0"/>
        <w:snapToGrid w:val="0"/>
        <w:spacing w:line="560" w:lineRule="exact"/>
        <w:ind w:left="2190"/>
        <w:textAlignment w:val="baseline"/>
        <w:outlineLvl w:val="1"/>
        <w:rPr>
          <w:rFonts w:ascii="KaiTi_GB2312" w:hAnsi="KaiTi_GB2312" w:eastAsia="KaiTi_GB2312" w:cs="KaiTi_GB2312"/>
          <w:sz w:val="31"/>
          <w:szCs w:val="31"/>
        </w:rPr>
      </w:pPr>
      <w:r>
        <w:rPr>
          <w:rFonts w:ascii="KaiTi_GB2312" w:hAnsi="KaiTi_GB2312" w:eastAsia="KaiTi_GB2312" w:cs="KaiTi_GB2312"/>
          <w:b/>
          <w:bCs/>
          <w:spacing w:val="5"/>
          <w:sz w:val="31"/>
          <w:szCs w:val="31"/>
        </w:rPr>
        <w:t>第四节</w:t>
      </w:r>
      <w:r>
        <w:rPr>
          <w:rFonts w:ascii="KaiTi_GB2312" w:hAnsi="KaiTi_GB2312" w:eastAsia="KaiTi_GB2312" w:cs="KaiTi_GB2312"/>
          <w:spacing w:val="5"/>
          <w:sz w:val="31"/>
          <w:szCs w:val="31"/>
        </w:rPr>
        <w:t xml:space="preserve">  </w:t>
      </w:r>
      <w:r>
        <w:rPr>
          <w:rFonts w:ascii="KaiTi_GB2312" w:hAnsi="KaiTi_GB2312" w:eastAsia="KaiTi_GB2312" w:cs="KaiTi_GB2312"/>
          <w:b/>
          <w:bCs/>
          <w:spacing w:val="5"/>
          <w:sz w:val="31"/>
          <w:szCs w:val="31"/>
        </w:rPr>
        <w:t>加强产品质量安全监管</w:t>
      </w:r>
    </w:p>
    <w:p w14:paraId="28D34FD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2" w:right="43" w:firstLine="653"/>
        <w:jc w:val="both"/>
        <w:textAlignment w:val="baseline"/>
      </w:pPr>
      <w:r>
        <w:rPr>
          <w:b/>
          <w:bCs/>
          <w:spacing w:val="3"/>
        </w:rPr>
        <w:t>强化产品质量监测分析。</w:t>
      </w:r>
      <w:r>
        <w:rPr>
          <w:spacing w:val="3"/>
        </w:rPr>
        <w:t>积极参与建立产品质量安全</w:t>
      </w:r>
      <w:r>
        <w:rPr>
          <w:spacing w:val="2"/>
        </w:rPr>
        <w:t>信息监</w:t>
      </w:r>
      <w:r>
        <w:t xml:space="preserve"> </w:t>
      </w:r>
      <w:r>
        <w:rPr>
          <w:spacing w:val="5"/>
        </w:rPr>
        <w:t>测采集机制。加强产品监管数据、消费者投诉举报数据、产品伤 害数据采集以及社会舆情监测，有效归集产品质量安全信息、风</w:t>
      </w:r>
    </w:p>
    <w:p w14:paraId="0BF5A9B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5" w:right="52" w:firstLine="23"/>
        <w:jc w:val="both"/>
        <w:textAlignment w:val="baseline"/>
      </w:pPr>
      <w:r>
        <w:rPr>
          <w:spacing w:val="4"/>
        </w:rPr>
        <w:t>险信息、伤害信息，开展产品质量安全状况动态分析研判运用工</w:t>
      </w:r>
      <w:r>
        <w:rPr>
          <w:spacing w:val="13"/>
        </w:rPr>
        <w:t xml:space="preserve"> </w:t>
      </w:r>
      <w:r>
        <w:rPr>
          <w:spacing w:val="5"/>
        </w:rPr>
        <w:t>作。将监测研判结果应用于监管工作，提高处置不同质量问题和</w:t>
      </w:r>
      <w:r>
        <w:rPr>
          <w:spacing w:val="8"/>
        </w:rPr>
        <w:t xml:space="preserve"> </w:t>
      </w:r>
      <w:r>
        <w:rPr>
          <w:spacing w:val="5"/>
        </w:rPr>
        <w:t>风险能力。</w:t>
      </w:r>
    </w:p>
    <w:p w14:paraId="03DA941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 w:right="47" w:firstLine="663"/>
        <w:jc w:val="both"/>
        <w:textAlignment w:val="baseline"/>
      </w:pPr>
      <w:r>
        <w:rPr>
          <w:b/>
          <w:bCs/>
          <w:spacing w:val="2"/>
        </w:rPr>
        <w:t>强化产品质量监督抽查后处理力度。</w:t>
      </w:r>
      <w:r>
        <w:rPr>
          <w:spacing w:val="2"/>
        </w:rPr>
        <w:t>全面厘清产品质量安全</w:t>
      </w:r>
      <w:r>
        <w:rPr>
          <w:spacing w:val="10"/>
        </w:rPr>
        <w:t xml:space="preserve"> </w:t>
      </w:r>
      <w:r>
        <w:rPr>
          <w:spacing w:val="5"/>
        </w:rPr>
        <w:t>监管层级和属地责任，强化抽查结果应用，抽查不合格结论省内</w:t>
      </w:r>
      <w:r>
        <w:rPr>
          <w:spacing w:val="15"/>
        </w:rPr>
        <w:t xml:space="preserve"> </w:t>
      </w:r>
      <w:r>
        <w:rPr>
          <w:spacing w:val="5"/>
        </w:rPr>
        <w:t>互认共用，对不合格产品实行生产、流通双向追溯，同一不合格</w:t>
      </w:r>
      <w:r>
        <w:rPr>
          <w:spacing w:val="12"/>
        </w:rPr>
        <w:t xml:space="preserve"> </w:t>
      </w:r>
      <w:r>
        <w:rPr>
          <w:spacing w:val="5"/>
        </w:rPr>
        <w:t>产品线上、线下销售者全面退市。完善消费品召回分级管理工作</w:t>
      </w:r>
      <w:r>
        <w:rPr>
          <w:spacing w:val="12"/>
        </w:rPr>
        <w:t xml:space="preserve"> </w:t>
      </w:r>
      <w:r>
        <w:rPr>
          <w:spacing w:val="5"/>
        </w:rPr>
        <w:t>机制和部门间产品伤害信息共享机制，强化消费品召回实施情况</w:t>
      </w:r>
      <w:r>
        <w:rPr>
          <w:spacing w:val="12"/>
        </w:rPr>
        <w:t xml:space="preserve"> </w:t>
      </w:r>
      <w:r>
        <w:rPr>
          <w:spacing w:val="9"/>
        </w:rPr>
        <w:t>监督管理，督促企业依法履行产品质量安全义务。</w:t>
      </w:r>
    </w:p>
    <w:p w14:paraId="4663F54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2" w:right="47" w:firstLine="662"/>
        <w:jc w:val="both"/>
        <w:textAlignment w:val="baseline"/>
      </w:pPr>
      <w:r>
        <w:rPr>
          <w:b/>
          <w:bCs/>
          <w:spacing w:val="1"/>
        </w:rPr>
        <w:t>强化产品质量分类监管。</w:t>
      </w:r>
      <w:r>
        <w:rPr>
          <w:spacing w:val="1"/>
        </w:rPr>
        <w:t>开展“清无”“治</w:t>
      </w:r>
      <w:r>
        <w:t>伪”</w:t>
      </w:r>
      <w:r>
        <w:rPr>
          <w:spacing w:val="-96"/>
        </w:rPr>
        <w:t xml:space="preserve"> </w:t>
      </w:r>
      <w:r>
        <w:t xml:space="preserve">以及产品标 </w:t>
      </w:r>
      <w:r>
        <w:rPr>
          <w:spacing w:val="5"/>
        </w:rPr>
        <w:t>签标识专项监管，强化产品实名实证管理。制定重点监管产品目</w:t>
      </w:r>
      <w:r>
        <w:rPr>
          <w:spacing w:val="13"/>
        </w:rPr>
        <w:t xml:space="preserve"> </w:t>
      </w:r>
      <w:r>
        <w:rPr>
          <w:spacing w:val="5"/>
        </w:rPr>
        <w:t>录，实施重点产品严格监管。依托省建设的全省产品质量安全信</w:t>
      </w:r>
      <w:r>
        <w:rPr>
          <w:spacing w:val="13"/>
        </w:rPr>
        <w:t xml:space="preserve"> </w:t>
      </w:r>
      <w:r>
        <w:rPr>
          <w:spacing w:val="5"/>
        </w:rPr>
        <w:t>息平台，规范产品类别及产品名称，完善产品质量溯源体系。配</w:t>
      </w:r>
      <w:r>
        <w:rPr>
          <w:spacing w:val="14"/>
        </w:rPr>
        <w:t xml:space="preserve"> </w:t>
      </w:r>
      <w:r>
        <w:rPr>
          <w:spacing w:val="5"/>
        </w:rPr>
        <w:t>合建立产品质量信用分级监管机制，完善产品质量信用档案，支</w:t>
      </w:r>
      <w:r>
        <w:rPr>
          <w:spacing w:val="14"/>
        </w:rPr>
        <w:t xml:space="preserve"> </w:t>
      </w:r>
      <w:r>
        <w:rPr>
          <w:spacing w:val="5"/>
        </w:rPr>
        <w:t>持行业组织开展信用评价，推动经营者落实主体责任。发挥产品</w:t>
      </w:r>
      <w:r>
        <w:rPr>
          <w:spacing w:val="11"/>
        </w:rPr>
        <w:t xml:space="preserve"> </w:t>
      </w:r>
      <w:r>
        <w:rPr>
          <w:spacing w:val="5"/>
        </w:rPr>
        <w:t>科研机构、检测技术机构专业技术优势，提升产品质量监管专业</w:t>
      </w:r>
      <w:r>
        <w:rPr>
          <w:spacing w:val="11"/>
        </w:rPr>
        <w:t xml:space="preserve"> </w:t>
      </w:r>
      <w:r>
        <w:rPr>
          <w:spacing w:val="7"/>
        </w:rPr>
        <w:t>化水平和技术服务能力。</w:t>
      </w:r>
    </w:p>
    <w:p w14:paraId="10EA6BE7">
      <w:pPr>
        <w:keepNext w:val="0"/>
        <w:keepLines w:val="0"/>
        <w:pageBreakBefore w:val="0"/>
        <w:widowControl/>
        <w:kinsoku w:val="0"/>
        <w:wordWrap/>
        <w:overflowPunct/>
        <w:topLinePunct w:val="0"/>
        <w:autoSpaceDE w:val="0"/>
        <w:autoSpaceDN w:val="0"/>
        <w:bidi w:val="0"/>
        <w:adjustRightInd w:val="0"/>
        <w:snapToGrid w:val="0"/>
        <w:spacing w:line="560" w:lineRule="exact"/>
        <w:ind w:left="583"/>
        <w:textAlignment w:val="baseline"/>
        <w:outlineLvl w:val="0"/>
        <w:rPr>
          <w:rFonts w:ascii="黑体" w:hAnsi="黑体" w:eastAsia="黑体" w:cs="黑体"/>
          <w:sz w:val="31"/>
          <w:szCs w:val="31"/>
        </w:rPr>
      </w:pPr>
      <w:r>
        <w:rPr>
          <w:rFonts w:ascii="黑体" w:hAnsi="黑体" w:eastAsia="黑体" w:cs="黑体"/>
          <w:spacing w:val="8"/>
          <w:sz w:val="31"/>
          <w:szCs w:val="31"/>
        </w:rPr>
        <w:t>第六章  强化知识产权保护运用，激励提升经济竞争力</w:t>
      </w:r>
    </w:p>
    <w:p w14:paraId="63AC575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2" w:firstLine="634"/>
        <w:jc w:val="both"/>
        <w:textAlignment w:val="baseline"/>
      </w:pPr>
      <w:r>
        <w:rPr>
          <w:spacing w:val="7"/>
        </w:rPr>
        <w:t>创新是引领发展的第一动力，保护知识产权就是保护创新。</w:t>
      </w:r>
      <w:r>
        <w:rPr>
          <w:spacing w:val="6"/>
        </w:rPr>
        <w:t xml:space="preserve"> </w:t>
      </w:r>
      <w:r>
        <w:rPr>
          <w:spacing w:val="7"/>
        </w:rPr>
        <w:t xml:space="preserve">全面加强知识产权保护工作，打通知识产权创造、运用、保护、 </w:t>
      </w:r>
      <w:r>
        <w:rPr>
          <w:spacing w:val="5"/>
        </w:rPr>
        <w:t>管理、服务全链条，提高知识产权创造水平和能力，提升知识产</w:t>
      </w:r>
      <w:r>
        <w:rPr>
          <w:spacing w:val="11"/>
        </w:rPr>
        <w:t xml:space="preserve"> </w:t>
      </w:r>
      <w:r>
        <w:rPr>
          <w:spacing w:val="5"/>
        </w:rPr>
        <w:t>权运用综合效益，健全知识产权综合管理体制，增强系统保护能</w:t>
      </w:r>
      <w:r>
        <w:rPr>
          <w:spacing w:val="11"/>
        </w:rPr>
        <w:t xml:space="preserve"> </w:t>
      </w:r>
      <w:r>
        <w:rPr>
          <w:spacing w:val="8"/>
        </w:rPr>
        <w:t>力，高标准打造知识产权保护高地。</w:t>
      </w:r>
    </w:p>
    <w:p w14:paraId="4312CC23">
      <w:pPr>
        <w:keepNext w:val="0"/>
        <w:keepLines w:val="0"/>
        <w:pageBreakBefore w:val="0"/>
        <w:widowControl/>
        <w:kinsoku w:val="0"/>
        <w:wordWrap/>
        <w:overflowPunct/>
        <w:topLinePunct w:val="0"/>
        <w:autoSpaceDE w:val="0"/>
        <w:autoSpaceDN w:val="0"/>
        <w:bidi w:val="0"/>
        <w:adjustRightInd w:val="0"/>
        <w:snapToGrid w:val="0"/>
        <w:spacing w:line="560" w:lineRule="exact"/>
        <w:ind w:left="2027"/>
        <w:textAlignment w:val="baseline"/>
        <w:outlineLvl w:val="1"/>
        <w:rPr>
          <w:rFonts w:ascii="KaiTi_GB2312" w:hAnsi="KaiTi_GB2312" w:eastAsia="KaiTi_GB2312" w:cs="KaiTi_GB2312"/>
          <w:sz w:val="31"/>
          <w:szCs w:val="31"/>
        </w:rPr>
      </w:pPr>
      <w:r>
        <w:rPr>
          <w:rFonts w:ascii="KaiTi_GB2312" w:hAnsi="KaiTi_GB2312" w:eastAsia="KaiTi_GB2312" w:cs="KaiTi_GB2312"/>
          <w:b/>
          <w:bCs/>
          <w:spacing w:val="6"/>
          <w:sz w:val="31"/>
          <w:szCs w:val="31"/>
        </w:rPr>
        <w:t>第一节</w:t>
      </w:r>
      <w:r>
        <w:rPr>
          <w:rFonts w:ascii="KaiTi_GB2312" w:hAnsi="KaiTi_GB2312" w:eastAsia="KaiTi_GB2312" w:cs="KaiTi_GB2312"/>
          <w:spacing w:val="6"/>
          <w:sz w:val="31"/>
          <w:szCs w:val="31"/>
        </w:rPr>
        <w:t xml:space="preserve">  </w:t>
      </w:r>
      <w:r>
        <w:rPr>
          <w:rFonts w:ascii="KaiTi_GB2312" w:hAnsi="KaiTi_GB2312" w:eastAsia="KaiTi_GB2312" w:cs="KaiTi_GB2312"/>
          <w:b/>
          <w:bCs/>
          <w:spacing w:val="6"/>
          <w:sz w:val="31"/>
          <w:szCs w:val="31"/>
        </w:rPr>
        <w:t>强化知识产权高标准保护</w:t>
      </w:r>
    </w:p>
    <w:p w14:paraId="4DD6B1C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2" w:right="97" w:firstLine="631"/>
        <w:jc w:val="both"/>
        <w:textAlignment w:val="baseline"/>
      </w:pPr>
      <w:r>
        <w:rPr>
          <w:b/>
          <w:bCs/>
          <w:spacing w:val="4"/>
        </w:rPr>
        <w:t>加强知识产权政策供给。</w:t>
      </w:r>
      <w:r>
        <w:rPr>
          <w:spacing w:val="4"/>
        </w:rPr>
        <w:t>高标准落实国家和省、市强化知识</w:t>
      </w:r>
      <w:r>
        <w:rPr>
          <w:spacing w:val="1"/>
        </w:rPr>
        <w:t xml:space="preserve"> </w:t>
      </w:r>
      <w:r>
        <w:rPr>
          <w:spacing w:val="5"/>
        </w:rPr>
        <w:t>产权保护的意见和若干措施，建立健全执法奖优惩劣制度。优化实施知识产权高质量创造激励政策，强化知识产权奖励资助政策质量导向。</w:t>
      </w:r>
    </w:p>
    <w:p w14:paraId="60EA975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61" w:firstLine="633"/>
        <w:jc w:val="both"/>
        <w:textAlignment w:val="baseline"/>
      </w:pPr>
      <w:r>
        <w:rPr>
          <w:b/>
          <w:bCs/>
          <w:spacing w:val="4"/>
        </w:rPr>
        <w:t>加强知识产权司法保护。</w:t>
      </w:r>
      <w:r>
        <w:rPr>
          <w:spacing w:val="4"/>
        </w:rPr>
        <w:t>提升知识产权司法保护能力，加大</w:t>
      </w:r>
      <w:r>
        <w:rPr>
          <w:spacing w:val="1"/>
        </w:rPr>
        <w:t xml:space="preserve"> </w:t>
      </w:r>
      <w:r>
        <w:rPr>
          <w:spacing w:val="5"/>
        </w:rPr>
        <w:t>对重复侵权、恶意侵权等严重侵犯知识产权行为判赔力度，增强</w:t>
      </w:r>
      <w:r>
        <w:rPr>
          <w:spacing w:val="12"/>
        </w:rPr>
        <w:t xml:space="preserve"> </w:t>
      </w:r>
      <w:r>
        <w:rPr>
          <w:spacing w:val="5"/>
        </w:rPr>
        <w:t>司法保护威慑力。有效执行惩罚性赔偿制度，依法加大损害赔偿</w:t>
      </w:r>
      <w:r>
        <w:rPr>
          <w:spacing w:val="12"/>
        </w:rPr>
        <w:t xml:space="preserve"> </w:t>
      </w:r>
      <w:r>
        <w:rPr>
          <w:spacing w:val="5"/>
        </w:rPr>
        <w:t>力度。完善行政执法和司法衔接机制，推进行政执法和刑事司法</w:t>
      </w:r>
      <w:r>
        <w:rPr>
          <w:spacing w:val="12"/>
        </w:rPr>
        <w:t xml:space="preserve"> </w:t>
      </w:r>
      <w:r>
        <w:rPr>
          <w:spacing w:val="5"/>
        </w:rPr>
        <w:t>立案标准协调衔接，完善案件移送程序。开展打击侵犯知识产权</w:t>
      </w:r>
      <w:r>
        <w:rPr>
          <w:spacing w:val="12"/>
        </w:rPr>
        <w:t xml:space="preserve"> </w:t>
      </w:r>
      <w:r>
        <w:rPr>
          <w:spacing w:val="5"/>
        </w:rPr>
        <w:t>犯罪专项行动，严厉打击侵犯商业秘密、假冒注册商标、侵犯重</w:t>
      </w:r>
      <w:r>
        <w:rPr>
          <w:spacing w:val="15"/>
        </w:rPr>
        <w:t xml:space="preserve"> </w:t>
      </w:r>
      <w:r>
        <w:rPr>
          <w:spacing w:val="7"/>
        </w:rPr>
        <w:t>点领域著作权等犯罪行为，依法快捕快诉。完善诉调</w:t>
      </w:r>
      <w:r>
        <w:rPr>
          <w:spacing w:val="6"/>
        </w:rPr>
        <w:t>对接机制，</w:t>
      </w:r>
      <w:r>
        <w:t xml:space="preserve"> </w:t>
      </w:r>
      <w:r>
        <w:rPr>
          <w:spacing w:val="9"/>
        </w:rPr>
        <w:t>建立健全知识产权纠纷调解协议司法确认机</w:t>
      </w:r>
      <w:r>
        <w:rPr>
          <w:spacing w:val="8"/>
        </w:rPr>
        <w:t>制。</w:t>
      </w:r>
    </w:p>
    <w:p w14:paraId="5B20CC7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97" w:firstLine="633"/>
        <w:jc w:val="both"/>
        <w:textAlignment w:val="baseline"/>
      </w:pPr>
      <w:r>
        <w:rPr>
          <w:b/>
          <w:bCs/>
          <w:spacing w:val="4"/>
        </w:rPr>
        <w:t>加强知识产权行政保护。</w:t>
      </w:r>
      <w:r>
        <w:rPr>
          <w:spacing w:val="4"/>
        </w:rPr>
        <w:t>健全知识产权综合管理和行政保护</w:t>
      </w:r>
      <w:r>
        <w:rPr>
          <w:spacing w:val="1"/>
        </w:rPr>
        <w:t xml:space="preserve"> </w:t>
      </w:r>
      <w:r>
        <w:rPr>
          <w:spacing w:val="5"/>
        </w:rPr>
        <w:t>机制，综合提高行政保护能力。加强专利执法培训，充实专利执法队伍，改善执法条件，配备和完善执法办案设备，提升综合素</w:t>
      </w:r>
      <w:r>
        <w:rPr>
          <w:spacing w:val="12"/>
        </w:rPr>
        <w:t xml:space="preserve"> </w:t>
      </w:r>
      <w:r>
        <w:rPr>
          <w:spacing w:val="5"/>
        </w:rPr>
        <w:t>质和执法能力。建立健全打击侵犯知识产权和制售假冒伪劣商品工作长效机制，在专利侵权易发的重点领域、重点区域定期开展</w:t>
      </w:r>
      <w:r>
        <w:rPr>
          <w:spacing w:val="12"/>
        </w:rPr>
        <w:t xml:space="preserve"> </w:t>
      </w:r>
      <w:r>
        <w:rPr>
          <w:spacing w:val="5"/>
        </w:rPr>
        <w:t>专项查处行动。加强展会、专业市场、电子商务平台等领域专利</w:t>
      </w:r>
      <w:r>
        <w:rPr>
          <w:spacing w:val="12"/>
        </w:rPr>
        <w:t xml:space="preserve"> </w:t>
      </w:r>
      <w:r>
        <w:rPr>
          <w:spacing w:val="5"/>
        </w:rPr>
        <w:t>行政执法。</w:t>
      </w:r>
    </w:p>
    <w:p w14:paraId="6DA922F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8" w:firstLine="624"/>
        <w:jc w:val="both"/>
        <w:textAlignment w:val="baseline"/>
      </w:pPr>
      <w:r>
        <w:rPr>
          <w:b/>
          <w:bCs/>
          <w:spacing w:val="-4"/>
        </w:rPr>
        <w:t>加强知识产权协同保护。</w:t>
      </w:r>
      <w:r>
        <w:rPr>
          <w:spacing w:val="-4"/>
        </w:rPr>
        <w:t>综合运用法律、行政、经济、技术、</w:t>
      </w:r>
      <w:r>
        <w:rPr>
          <w:spacing w:val="1"/>
        </w:rPr>
        <w:t xml:space="preserve"> </w:t>
      </w:r>
      <w:r>
        <w:rPr>
          <w:spacing w:val="5"/>
        </w:rPr>
        <w:t>社会治理等手段强化知识产权保护，增强系统保护能力。完善知</w:t>
      </w:r>
      <w:r>
        <w:rPr>
          <w:spacing w:val="6"/>
        </w:rPr>
        <w:t xml:space="preserve"> </w:t>
      </w:r>
      <w:r>
        <w:rPr>
          <w:spacing w:val="5"/>
        </w:rPr>
        <w:t>识产权纠纷多元化解决机制，支持发展知识产权调解组织、仲裁机构和公证机构。鼓励建立知识产权保护自律机制，引导代理行</w:t>
      </w:r>
      <w:r>
        <w:rPr>
          <w:spacing w:val="12"/>
        </w:rPr>
        <w:t xml:space="preserve"> </w:t>
      </w:r>
      <w:r>
        <w:rPr>
          <w:spacing w:val="6"/>
        </w:rPr>
        <w:t>业加强自律自治，推动行业协会、商会建立知</w:t>
      </w:r>
      <w:r>
        <w:rPr>
          <w:spacing w:val="5"/>
        </w:rPr>
        <w:t>识产权保护自律和</w:t>
      </w:r>
      <w:r>
        <w:t xml:space="preserve"> </w:t>
      </w:r>
      <w:r>
        <w:rPr>
          <w:spacing w:val="9"/>
        </w:rPr>
        <w:t>信息沟通机制。加强知识产权领域诚信体系建设。</w:t>
      </w:r>
    </w:p>
    <w:p w14:paraId="1E0D13B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671A246B">
      <w:pPr>
        <w:keepNext w:val="0"/>
        <w:keepLines w:val="0"/>
        <w:pageBreakBefore w:val="0"/>
        <w:widowControl/>
        <w:kinsoku w:val="0"/>
        <w:wordWrap/>
        <w:overflowPunct/>
        <w:topLinePunct w:val="0"/>
        <w:autoSpaceDE w:val="0"/>
        <w:autoSpaceDN w:val="0"/>
        <w:bidi w:val="0"/>
        <w:adjustRightInd w:val="0"/>
        <w:snapToGrid w:val="0"/>
        <w:spacing w:line="560" w:lineRule="exact"/>
        <w:ind w:left="1712"/>
        <w:textAlignment w:val="baseline"/>
        <w:outlineLvl w:val="1"/>
        <w:rPr>
          <w:rFonts w:ascii="KaiTi_GB2312" w:hAnsi="KaiTi_GB2312" w:eastAsia="KaiTi_GB2312" w:cs="KaiTi_GB2312"/>
          <w:sz w:val="31"/>
          <w:szCs w:val="31"/>
        </w:rPr>
      </w:pPr>
      <w:r>
        <w:rPr>
          <w:rFonts w:ascii="KaiTi_GB2312" w:hAnsi="KaiTi_GB2312" w:eastAsia="KaiTi_GB2312" w:cs="KaiTi_GB2312"/>
          <w:b/>
          <w:bCs/>
          <w:spacing w:val="6"/>
          <w:sz w:val="31"/>
          <w:szCs w:val="31"/>
        </w:rPr>
        <w:t>第二节</w:t>
      </w:r>
      <w:r>
        <w:rPr>
          <w:rFonts w:ascii="KaiTi_GB2312" w:hAnsi="KaiTi_GB2312" w:eastAsia="KaiTi_GB2312" w:cs="KaiTi_GB2312"/>
          <w:spacing w:val="6"/>
          <w:sz w:val="31"/>
          <w:szCs w:val="31"/>
        </w:rPr>
        <w:t xml:space="preserve">  </w:t>
      </w:r>
      <w:r>
        <w:rPr>
          <w:rFonts w:ascii="KaiTi_GB2312" w:hAnsi="KaiTi_GB2312" w:eastAsia="KaiTi_GB2312" w:cs="KaiTi_GB2312"/>
          <w:b/>
          <w:bCs/>
          <w:spacing w:val="6"/>
          <w:sz w:val="31"/>
          <w:szCs w:val="31"/>
        </w:rPr>
        <w:t>强化知识产权高质量创造运用</w:t>
      </w:r>
    </w:p>
    <w:p w14:paraId="7386CB1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2" w:right="79" w:firstLine="631"/>
        <w:jc w:val="both"/>
        <w:textAlignment w:val="baseline"/>
      </w:pPr>
      <w:r>
        <w:rPr>
          <w:b/>
          <w:bCs/>
          <w:spacing w:val="3"/>
        </w:rPr>
        <w:t>加强关键领域自主知识产权创造和储备。</w:t>
      </w:r>
      <w:r>
        <w:rPr>
          <w:spacing w:val="3"/>
        </w:rPr>
        <w:t>支持开展关键领域</w:t>
      </w:r>
      <w:r>
        <w:rPr>
          <w:spacing w:val="4"/>
        </w:rPr>
        <w:t xml:space="preserve"> </w:t>
      </w:r>
      <w:r>
        <w:rPr>
          <w:spacing w:val="5"/>
        </w:rPr>
        <w:t>高价值专利培育布局，至2025年，全区每万人口高价值发</w:t>
      </w:r>
      <w:r>
        <w:rPr>
          <w:spacing w:val="4"/>
        </w:rPr>
        <w:t>明专利</w:t>
      </w:r>
      <w:r>
        <w:t xml:space="preserve"> </w:t>
      </w:r>
      <w:r>
        <w:rPr>
          <w:spacing w:val="10"/>
        </w:rPr>
        <w:t>拥有量达1.5件。加强品牌培育工程建设，培育发展高质量商标</w:t>
      </w:r>
      <w:r>
        <w:rPr>
          <w:spacing w:val="12"/>
        </w:rPr>
        <w:t xml:space="preserve"> </w:t>
      </w:r>
      <w:r>
        <w:rPr>
          <w:spacing w:val="5"/>
        </w:rPr>
        <w:t>品牌，挖掘培育地理标志产品和地理标志商标。提升创新主体知识产权管理效能，培育关键核心技术专利产出源泉，打造一批具</w:t>
      </w:r>
      <w:r>
        <w:rPr>
          <w:spacing w:val="7"/>
        </w:rPr>
        <w:t xml:space="preserve"> </w:t>
      </w:r>
      <w:r>
        <w:rPr>
          <w:spacing w:val="5"/>
        </w:rPr>
        <w:t>有自主知识产权和市场竞争优势的知识产权强企。支持高新技术企业、科技型中小企业、规模以上工业企业、国有工业企业高质</w:t>
      </w:r>
      <w:r>
        <w:rPr>
          <w:spacing w:val="10"/>
        </w:rPr>
        <w:t xml:space="preserve"> </w:t>
      </w:r>
      <w:r>
        <w:rPr>
          <w:spacing w:val="5"/>
        </w:rPr>
        <w:t>量贯彻实施知识产权管理规范，培育创建更多国家级知识产权优势示范企业，壮大知识产权强企群。提高规模以上工业企业和高</w:t>
      </w:r>
      <w:r>
        <w:rPr>
          <w:spacing w:val="10"/>
        </w:rPr>
        <w:t xml:space="preserve"> </w:t>
      </w:r>
      <w:r>
        <w:rPr>
          <w:spacing w:val="8"/>
        </w:rPr>
        <w:t>新技术企业有效发明专利拥有率。</w:t>
      </w:r>
    </w:p>
    <w:p w14:paraId="4A24E89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2" w:firstLine="658"/>
        <w:textAlignment w:val="baseline"/>
      </w:pPr>
      <w:r>
        <w:rPr>
          <w:b/>
          <w:bCs/>
          <w:spacing w:val="3"/>
        </w:rPr>
        <w:t>完善知识产权市场运行体制机制。</w:t>
      </w:r>
      <w:r>
        <w:rPr>
          <w:spacing w:val="3"/>
        </w:rPr>
        <w:t>优化知识产权运营</w:t>
      </w:r>
      <w:r>
        <w:rPr>
          <w:spacing w:val="2"/>
        </w:rPr>
        <w:t>市场环</w:t>
      </w:r>
      <w:r>
        <w:t xml:space="preserve"> </w:t>
      </w:r>
      <w:r>
        <w:rPr>
          <w:spacing w:val="6"/>
        </w:rPr>
        <w:t>境，积极引进专利运营公司，帮助企业对专利</w:t>
      </w:r>
      <w:r>
        <w:rPr>
          <w:spacing w:val="5"/>
        </w:rPr>
        <w:t>、品牌等知识产权</w:t>
      </w:r>
      <w:r>
        <w:t xml:space="preserve"> </w:t>
      </w:r>
      <w:r>
        <w:rPr>
          <w:spacing w:val="-3"/>
        </w:rPr>
        <w:t>进行转让、许可、质押融资等运营。扩大知识产权质押融资规模，</w:t>
      </w:r>
      <w:r>
        <w:rPr>
          <w:spacing w:val="18"/>
        </w:rPr>
        <w:t xml:space="preserve"> </w:t>
      </w:r>
      <w:r>
        <w:rPr>
          <w:spacing w:val="5"/>
        </w:rPr>
        <w:t>依法依规推进知识产权证券化，推动形成“质押融资-投资基金-</w:t>
      </w:r>
      <w:r>
        <w:rPr>
          <w:spacing w:val="13"/>
        </w:rPr>
        <w:t xml:space="preserve"> </w:t>
      </w:r>
      <w:r>
        <w:rPr>
          <w:spacing w:val="17"/>
        </w:rPr>
        <w:t>资产证券化-保险-上市辅导”知识产权金融资金服务供应链。</w:t>
      </w:r>
      <w:r>
        <w:rPr>
          <w:spacing w:val="7"/>
        </w:rPr>
        <w:t>“十四五”时期，全区知识产权质押融资额达三千万元。</w:t>
      </w:r>
    </w:p>
    <w:p w14:paraId="53ACA69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6" w:right="81" w:firstLine="643"/>
        <w:textAlignment w:val="baseline"/>
      </w:pPr>
      <w:r>
        <w:rPr>
          <w:b/>
          <w:bCs/>
          <w:spacing w:val="3"/>
        </w:rPr>
        <w:t>深化知识产权与产业发展融合。</w:t>
      </w:r>
      <w:r>
        <w:rPr>
          <w:spacing w:val="3"/>
        </w:rPr>
        <w:t>深化开展战略性产业集群专</w:t>
      </w:r>
      <w:r>
        <w:rPr>
          <w:spacing w:val="5"/>
        </w:rPr>
        <w:t>利导航，加强产业集群知识产权储备和运营。推进企业、高校和科研机构开展知识产权转化运用。推动以知识产权为重要支撑的</w:t>
      </w:r>
      <w:r>
        <w:rPr>
          <w:spacing w:val="11"/>
        </w:rPr>
        <w:t xml:space="preserve"> </w:t>
      </w:r>
      <w:r>
        <w:rPr>
          <w:spacing w:val="5"/>
        </w:rPr>
        <w:t>品牌经济高端化发展。实施地理标志运用促进工程，推进区域地</w:t>
      </w:r>
      <w:r>
        <w:rPr>
          <w:spacing w:val="12"/>
        </w:rPr>
        <w:t xml:space="preserve"> </w:t>
      </w:r>
      <w:r>
        <w:rPr>
          <w:spacing w:val="5"/>
        </w:rPr>
        <w:t>理标志优势产业和品牌培育相结合，打造一批地理标志品牌服务</w:t>
      </w:r>
      <w:r>
        <w:rPr>
          <w:spacing w:val="8"/>
        </w:rPr>
        <w:t>机构，推进地理标志产品贸易。</w:t>
      </w:r>
    </w:p>
    <w:p w14:paraId="3335CA0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6" w:firstLine="634"/>
        <w:jc w:val="both"/>
        <w:textAlignment w:val="baseline"/>
      </w:pPr>
      <w:r>
        <w:rPr>
          <w:b/>
          <w:bCs/>
          <w:spacing w:val="3"/>
        </w:rPr>
        <w:t>构建便民利民的知识产权公共服务体系。</w:t>
      </w:r>
      <w:r>
        <w:rPr>
          <w:spacing w:val="3"/>
        </w:rPr>
        <w:t>建设区级知识产权</w:t>
      </w:r>
      <w:r>
        <w:rPr>
          <w:spacing w:val="4"/>
        </w:rPr>
        <w:t xml:space="preserve"> </w:t>
      </w:r>
      <w:r>
        <w:rPr>
          <w:spacing w:val="3"/>
        </w:rPr>
        <w:t>公共服务节点，开设知识产权公共服务窗口，布局网点，提升公</w:t>
      </w:r>
      <w:r>
        <w:t xml:space="preserve"> </w:t>
      </w:r>
      <w:r>
        <w:rPr>
          <w:spacing w:val="5"/>
        </w:rPr>
        <w:t>共服务能力。强化知识产权服务业监管，深入开展知识产权代理</w:t>
      </w:r>
      <w:r>
        <w:rPr>
          <w:spacing w:val="11"/>
        </w:rPr>
        <w:t xml:space="preserve"> </w:t>
      </w:r>
      <w:r>
        <w:rPr>
          <w:spacing w:val="8"/>
        </w:rPr>
        <w:t>行业专项整治，建立健全行业发展长效机制。</w:t>
      </w:r>
    </w:p>
    <w:p w14:paraId="2E780F6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4802137F">
      <w:pPr>
        <w:keepNext w:val="0"/>
        <w:keepLines w:val="0"/>
        <w:pageBreakBefore w:val="0"/>
        <w:widowControl/>
        <w:kinsoku w:val="0"/>
        <w:wordWrap/>
        <w:overflowPunct/>
        <w:topLinePunct w:val="0"/>
        <w:autoSpaceDE w:val="0"/>
        <w:autoSpaceDN w:val="0"/>
        <w:bidi w:val="0"/>
        <w:adjustRightInd w:val="0"/>
        <w:snapToGrid w:val="0"/>
        <w:spacing w:line="560" w:lineRule="exact"/>
        <w:ind w:left="745"/>
        <w:textAlignment w:val="baseline"/>
        <w:outlineLvl w:val="0"/>
        <w:rPr>
          <w:rFonts w:ascii="黑体" w:hAnsi="黑体" w:eastAsia="黑体" w:cs="黑体"/>
          <w:sz w:val="31"/>
          <w:szCs w:val="31"/>
        </w:rPr>
      </w:pPr>
      <w:r>
        <w:rPr>
          <w:rFonts w:ascii="黑体" w:hAnsi="黑体" w:eastAsia="黑体" w:cs="黑体"/>
          <w:spacing w:val="8"/>
          <w:sz w:val="31"/>
          <w:szCs w:val="31"/>
        </w:rPr>
        <w:t>第七章  深入推进质量强区建设，提升质量供给水平</w:t>
      </w:r>
    </w:p>
    <w:p w14:paraId="1EF124A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2" w:right="2" w:firstLine="689"/>
        <w:jc w:val="both"/>
        <w:textAlignment w:val="baseline"/>
      </w:pPr>
      <w:r>
        <w:rPr>
          <w:spacing w:val="3"/>
        </w:rPr>
        <w:t>以提高发展质量和效益为中心，将质量强区放在更加突出的</w:t>
      </w:r>
      <w:r>
        <w:rPr>
          <w:spacing w:val="7"/>
        </w:rPr>
        <w:t xml:space="preserve"> </w:t>
      </w:r>
      <w:r>
        <w:rPr>
          <w:spacing w:val="5"/>
        </w:rPr>
        <w:t>位置，开展质量提升行动，夯实质量基础，加快实现武江经济发</w:t>
      </w:r>
      <w:r>
        <w:rPr>
          <w:spacing w:val="17"/>
        </w:rPr>
        <w:t xml:space="preserve"> </w:t>
      </w:r>
      <w:r>
        <w:rPr>
          <w:spacing w:val="5"/>
        </w:rPr>
        <w:t>展质量变革、效率变革、动力变革，为新发展格局奠定质量发展</w:t>
      </w:r>
      <w:r>
        <w:rPr>
          <w:spacing w:val="17"/>
        </w:rPr>
        <w:t xml:space="preserve"> </w:t>
      </w:r>
      <w:r>
        <w:rPr>
          <w:spacing w:val="3"/>
        </w:rPr>
        <w:t>基础。</w:t>
      </w:r>
    </w:p>
    <w:p w14:paraId="56F235B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16A4DAD2">
      <w:pPr>
        <w:keepNext w:val="0"/>
        <w:keepLines w:val="0"/>
        <w:pageBreakBefore w:val="0"/>
        <w:widowControl/>
        <w:kinsoku w:val="0"/>
        <w:wordWrap/>
        <w:overflowPunct/>
        <w:topLinePunct w:val="0"/>
        <w:autoSpaceDE w:val="0"/>
        <w:autoSpaceDN w:val="0"/>
        <w:bidi w:val="0"/>
        <w:adjustRightInd w:val="0"/>
        <w:snapToGrid w:val="0"/>
        <w:spacing w:line="560" w:lineRule="exact"/>
        <w:ind w:left="2192"/>
        <w:textAlignment w:val="baseline"/>
        <w:outlineLvl w:val="1"/>
        <w:rPr>
          <w:rFonts w:ascii="KaiTi_GB2312" w:hAnsi="KaiTi_GB2312" w:eastAsia="KaiTi_GB2312" w:cs="KaiTi_GB2312"/>
          <w:sz w:val="31"/>
          <w:szCs w:val="31"/>
        </w:rPr>
      </w:pPr>
      <w:r>
        <w:rPr>
          <w:rFonts w:ascii="KaiTi_GB2312" w:hAnsi="KaiTi_GB2312" w:eastAsia="KaiTi_GB2312" w:cs="KaiTi_GB2312"/>
          <w:b/>
          <w:bCs/>
          <w:spacing w:val="5"/>
          <w:sz w:val="31"/>
          <w:szCs w:val="31"/>
        </w:rPr>
        <w:t>第一节</w:t>
      </w:r>
      <w:r>
        <w:rPr>
          <w:rFonts w:ascii="KaiTi_GB2312" w:hAnsi="KaiTi_GB2312" w:eastAsia="KaiTi_GB2312" w:cs="KaiTi_GB2312"/>
          <w:spacing w:val="5"/>
          <w:sz w:val="31"/>
          <w:szCs w:val="31"/>
        </w:rPr>
        <w:t xml:space="preserve">  </w:t>
      </w:r>
      <w:r>
        <w:rPr>
          <w:rFonts w:ascii="KaiTi_GB2312" w:hAnsi="KaiTi_GB2312" w:eastAsia="KaiTi_GB2312" w:cs="KaiTi_GB2312"/>
          <w:b/>
          <w:bCs/>
          <w:spacing w:val="5"/>
          <w:sz w:val="31"/>
          <w:szCs w:val="31"/>
        </w:rPr>
        <w:t>大力开展质量提升行动</w:t>
      </w:r>
    </w:p>
    <w:p w14:paraId="76C7C4D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2" w:firstLine="645"/>
        <w:jc w:val="both"/>
        <w:textAlignment w:val="baseline"/>
        <w:rPr>
          <w:rFonts w:ascii="Arial"/>
          <w:sz w:val="21"/>
        </w:rPr>
      </w:pPr>
      <w:r>
        <w:rPr>
          <w:b/>
          <w:bCs/>
          <w:spacing w:val="4"/>
        </w:rPr>
        <w:t>提升产品质量。</w:t>
      </w:r>
      <w:r>
        <w:rPr>
          <w:spacing w:val="4"/>
        </w:rPr>
        <w:t>大力配合开展产品质量提升行动，围绕战略</w:t>
      </w:r>
      <w:r>
        <w:rPr>
          <w:spacing w:val="7"/>
        </w:rPr>
        <w:t xml:space="preserve"> </w:t>
      </w:r>
      <w:r>
        <w:rPr>
          <w:spacing w:val="5"/>
        </w:rPr>
        <w:t>性产业和传统优势产业，选取重点产品开展质量对比提升。提高</w:t>
      </w:r>
      <w:r>
        <w:rPr>
          <w:spacing w:val="17"/>
        </w:rPr>
        <w:t xml:space="preserve"> </w:t>
      </w:r>
      <w:r>
        <w:rPr>
          <w:spacing w:val="6"/>
        </w:rPr>
        <w:t>核心基础零部件、关键基础材料产品性能，提</w:t>
      </w:r>
      <w:r>
        <w:rPr>
          <w:spacing w:val="5"/>
        </w:rPr>
        <w:t>升制造业关键领域</w:t>
      </w:r>
      <w:r>
        <w:t xml:space="preserve"> </w:t>
      </w:r>
      <w:r>
        <w:rPr>
          <w:spacing w:val="6"/>
        </w:rPr>
        <w:t>核心竞争力。加强全面质量管理，鼓励企业开</w:t>
      </w:r>
      <w:r>
        <w:rPr>
          <w:spacing w:val="5"/>
        </w:rPr>
        <w:t>展质量攻关和质量</w:t>
      </w:r>
      <w:r>
        <w:t xml:space="preserve"> </w:t>
      </w:r>
      <w:r>
        <w:rPr>
          <w:spacing w:val="5"/>
        </w:rPr>
        <w:t>创新活动，攻克一批关键共性质量技术。推动围绕产业链构建质</w:t>
      </w:r>
      <w:r>
        <w:rPr>
          <w:spacing w:val="17"/>
        </w:rPr>
        <w:t xml:space="preserve"> </w:t>
      </w:r>
      <w:r>
        <w:rPr>
          <w:spacing w:val="6"/>
        </w:rPr>
        <w:t>量链，建立完善产业链标准体系、质量管理体</w:t>
      </w:r>
      <w:r>
        <w:rPr>
          <w:spacing w:val="5"/>
        </w:rPr>
        <w:t>系，以质量链推动</w:t>
      </w:r>
      <w:r>
        <w:t xml:space="preserve"> </w:t>
      </w:r>
      <w:r>
        <w:rPr>
          <w:spacing w:val="5"/>
        </w:rPr>
        <w:t>产业集群向产业链中高端提质升级。到2025年，全区制造业产品</w:t>
      </w:r>
      <w:r>
        <w:rPr>
          <w:spacing w:val="7"/>
        </w:rPr>
        <w:t xml:space="preserve"> 质量合格率稳定在94%以上。</w:t>
      </w:r>
    </w:p>
    <w:p w14:paraId="0A9F926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9" w:firstLine="638"/>
        <w:textAlignment w:val="baseline"/>
      </w:pPr>
      <w:r>
        <w:rPr>
          <w:b/>
          <w:bCs/>
          <w:spacing w:val="4"/>
        </w:rPr>
        <w:t>提升企业质量能力。</w:t>
      </w:r>
      <w:r>
        <w:rPr>
          <w:spacing w:val="4"/>
        </w:rPr>
        <w:t>加大质量工作财政投入，大力支持企业</w:t>
      </w:r>
      <w:r>
        <w:t xml:space="preserve">   </w:t>
      </w:r>
      <w:r>
        <w:rPr>
          <w:spacing w:val="5"/>
        </w:rPr>
        <w:t>质量创新和质量提升。加强企业质量人才培训，支持企业设立首</w:t>
      </w:r>
      <w:r>
        <w:rPr>
          <w:spacing w:val="3"/>
        </w:rPr>
        <w:t xml:space="preserve">   </w:t>
      </w:r>
      <w:r>
        <w:rPr>
          <w:spacing w:val="5"/>
        </w:rPr>
        <w:t>席质量官制度，培育一批质量标准领军人才。大力提升质量基础</w:t>
      </w:r>
      <w:r>
        <w:rPr>
          <w:spacing w:val="3"/>
        </w:rPr>
        <w:t xml:space="preserve">   </w:t>
      </w:r>
      <w:r>
        <w:rPr>
          <w:spacing w:val="5"/>
        </w:rPr>
        <w:t>设施协同服务产业发展和企业质量需求能力，配合建立检验检测</w:t>
      </w:r>
      <w:r>
        <w:rPr>
          <w:spacing w:val="3"/>
        </w:rPr>
        <w:t xml:space="preserve">   </w:t>
      </w:r>
      <w:r>
        <w:rPr>
          <w:spacing w:val="5"/>
        </w:rPr>
        <w:t>等专业机构、技术专家与企业互动机制，支持专业机构与企业共</w:t>
      </w:r>
      <w:r>
        <w:rPr>
          <w:spacing w:val="3"/>
        </w:rPr>
        <w:t xml:space="preserve">   </w:t>
      </w:r>
      <w:r>
        <w:rPr>
          <w:spacing w:val="5"/>
        </w:rPr>
        <w:t>享实验室和技术专家，为企业质量创新和质量改进提供“一站式”</w:t>
      </w:r>
      <w:r>
        <w:rPr>
          <w:spacing w:val="8"/>
        </w:rPr>
        <w:t>服务，实现企业质量技术精准帮扶。</w:t>
      </w:r>
    </w:p>
    <w:p w14:paraId="2C14322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313" w:firstLine="654"/>
        <w:jc w:val="both"/>
        <w:textAlignment w:val="baseline"/>
      </w:pPr>
      <w:r>
        <w:rPr>
          <w:b/>
          <w:bCs/>
          <w:spacing w:val="4"/>
        </w:rPr>
        <w:t>培育高质量品牌。</w:t>
      </w:r>
      <w:r>
        <w:rPr>
          <w:spacing w:val="4"/>
        </w:rPr>
        <w:t>积极配合完善质量奖评审机制，拓宽</w:t>
      </w:r>
      <w:r>
        <w:rPr>
          <w:spacing w:val="3"/>
        </w:rPr>
        <w:t>评审</w:t>
      </w:r>
      <w:r>
        <w:t xml:space="preserve"> </w:t>
      </w:r>
      <w:r>
        <w:rPr>
          <w:spacing w:val="6"/>
        </w:rPr>
        <w:t>领域，总结、提炼、推广一批先进的质量管理</w:t>
      </w:r>
      <w:r>
        <w:rPr>
          <w:spacing w:val="5"/>
        </w:rPr>
        <w:t>模式，发挥获奖单</w:t>
      </w:r>
      <w:r>
        <w:rPr>
          <w:spacing w:val="6"/>
        </w:rPr>
        <w:t>位的示范带动效应。推动建立以质量标准为基础的</w:t>
      </w:r>
      <w:r>
        <w:rPr>
          <w:spacing w:val="5"/>
        </w:rPr>
        <w:t>品牌战略，鼓</w:t>
      </w:r>
      <w:r>
        <w:rPr>
          <w:spacing w:val="6"/>
        </w:rPr>
        <w:t>励企业开展高端品质认证，以高品质赋能品牌</w:t>
      </w:r>
      <w:r>
        <w:rPr>
          <w:spacing w:val="5"/>
        </w:rPr>
        <w:t>创建，培育一批有</w:t>
      </w:r>
      <w:r>
        <w:rPr>
          <w:spacing w:val="6"/>
        </w:rPr>
        <w:t>竞争力的区域品牌和企业品牌。规范市场化品</w:t>
      </w:r>
      <w:r>
        <w:rPr>
          <w:spacing w:val="5"/>
        </w:rPr>
        <w:t>牌评价机制，培育</w:t>
      </w:r>
      <w:r>
        <w:rPr>
          <w:spacing w:val="6"/>
        </w:rPr>
        <w:t>一批有实力的质量品牌服务机构。推动开展质</w:t>
      </w:r>
      <w:r>
        <w:rPr>
          <w:spacing w:val="5"/>
        </w:rPr>
        <w:t>量品牌提升示范区建设。</w:t>
      </w:r>
    </w:p>
    <w:p w14:paraId="1781B85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3E9A6CD5">
      <w:pPr>
        <w:keepNext w:val="0"/>
        <w:keepLines w:val="0"/>
        <w:pageBreakBefore w:val="0"/>
        <w:widowControl/>
        <w:kinsoku w:val="0"/>
        <w:wordWrap/>
        <w:overflowPunct/>
        <w:topLinePunct w:val="0"/>
        <w:autoSpaceDE w:val="0"/>
        <w:autoSpaceDN w:val="0"/>
        <w:bidi w:val="0"/>
        <w:adjustRightInd w:val="0"/>
        <w:snapToGrid w:val="0"/>
        <w:spacing w:line="560" w:lineRule="exact"/>
        <w:ind w:left="2356"/>
        <w:textAlignment w:val="baseline"/>
        <w:outlineLvl w:val="1"/>
        <w:rPr>
          <w:rFonts w:ascii="KaiTi_GB2312" w:hAnsi="KaiTi_GB2312" w:eastAsia="KaiTi_GB2312" w:cs="KaiTi_GB2312"/>
          <w:sz w:val="31"/>
          <w:szCs w:val="31"/>
        </w:rPr>
      </w:pPr>
      <w:r>
        <w:rPr>
          <w:rFonts w:ascii="KaiTi_GB2312" w:hAnsi="KaiTi_GB2312" w:eastAsia="KaiTi_GB2312" w:cs="KaiTi_GB2312"/>
          <w:b/>
          <w:bCs/>
          <w:spacing w:val="5"/>
          <w:sz w:val="31"/>
          <w:szCs w:val="31"/>
        </w:rPr>
        <w:t>第二节</w:t>
      </w:r>
      <w:r>
        <w:rPr>
          <w:rFonts w:ascii="KaiTi_GB2312" w:hAnsi="KaiTi_GB2312" w:eastAsia="KaiTi_GB2312" w:cs="KaiTi_GB2312"/>
          <w:spacing w:val="5"/>
          <w:sz w:val="31"/>
          <w:szCs w:val="31"/>
        </w:rPr>
        <w:t xml:space="preserve">  </w:t>
      </w:r>
      <w:r>
        <w:rPr>
          <w:rFonts w:ascii="KaiTi_GB2312" w:hAnsi="KaiTi_GB2312" w:eastAsia="KaiTi_GB2312" w:cs="KaiTi_GB2312"/>
          <w:b/>
          <w:bCs/>
          <w:spacing w:val="5"/>
          <w:sz w:val="31"/>
          <w:szCs w:val="31"/>
        </w:rPr>
        <w:t>深入实施标准化战略</w:t>
      </w:r>
    </w:p>
    <w:p w14:paraId="43A637E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1" w:right="313" w:firstLine="627"/>
        <w:jc w:val="both"/>
        <w:textAlignment w:val="baseline"/>
      </w:pPr>
      <w:r>
        <w:rPr>
          <w:b/>
          <w:bCs/>
          <w:spacing w:val="4"/>
        </w:rPr>
        <w:t>建设武江先进标准体系。</w:t>
      </w:r>
      <w:r>
        <w:rPr>
          <w:spacing w:val="4"/>
        </w:rPr>
        <w:t xml:space="preserve">建立政府主导制定标准与市场自主 </w:t>
      </w:r>
      <w:r>
        <w:rPr>
          <w:spacing w:val="5"/>
        </w:rPr>
        <w:t>制定标准有机结合、协同发展的新型标准体系，推动地方标准向</w:t>
      </w:r>
      <w:r>
        <w:rPr>
          <w:spacing w:val="9"/>
        </w:rPr>
        <w:t xml:space="preserve"> </w:t>
      </w:r>
      <w:r>
        <w:rPr>
          <w:spacing w:val="5"/>
        </w:rPr>
        <w:t>以公益性标准为主的方向过渡，推动市场类标准符合市场竞争和</w:t>
      </w:r>
      <w:r>
        <w:rPr>
          <w:spacing w:val="8"/>
        </w:rPr>
        <w:t xml:space="preserve"> </w:t>
      </w:r>
      <w:r>
        <w:rPr>
          <w:spacing w:val="5"/>
        </w:rPr>
        <w:t>技术创新的需要。重点围绕战略性集群产业、现代服务业、社会</w:t>
      </w:r>
      <w:r>
        <w:rPr>
          <w:spacing w:val="9"/>
        </w:rPr>
        <w:t xml:space="preserve"> </w:t>
      </w:r>
      <w:r>
        <w:rPr>
          <w:spacing w:val="5"/>
        </w:rPr>
        <w:t>管理和公共服务等领域以及南粤家政、广东技工、粤菜师傅等民</w:t>
      </w:r>
      <w:r>
        <w:rPr>
          <w:spacing w:val="11"/>
        </w:rPr>
        <w:t xml:space="preserve"> </w:t>
      </w:r>
      <w:r>
        <w:rPr>
          <w:spacing w:val="5"/>
        </w:rPr>
        <w:t>生工程，加快建立健全标准体系。大力推动团体标准发展，鼓励</w:t>
      </w:r>
      <w:r>
        <w:rPr>
          <w:spacing w:val="9"/>
        </w:rPr>
        <w:t xml:space="preserve"> </w:t>
      </w:r>
      <w:r>
        <w:rPr>
          <w:spacing w:val="5"/>
        </w:rPr>
        <w:t>企业开展对标达标提升活动、企业标准“领跑者”活动，提升企</w:t>
      </w:r>
      <w:r>
        <w:rPr>
          <w:spacing w:val="6"/>
        </w:rPr>
        <w:t>业标准化水平。探索开展科技成果、专利技术向标准转化工作。</w:t>
      </w:r>
      <w:r>
        <w:rPr>
          <w:spacing w:val="5"/>
        </w:rPr>
        <w:t>积极参与各类标准制修订活动，到2025年，全区新增主导或参与</w:t>
      </w:r>
      <w:r>
        <w:rPr>
          <w:spacing w:val="11"/>
        </w:rPr>
        <w:t>制修订国家标准和行业标准1项、地方标准1项、团体标准1项、</w:t>
      </w:r>
      <w:r>
        <w:rPr>
          <w:spacing w:val="6"/>
        </w:rPr>
        <w:t>企业标准2项以上。</w:t>
      </w:r>
    </w:p>
    <w:p w14:paraId="136DCB4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1" w:right="41" w:firstLine="642"/>
        <w:jc w:val="both"/>
        <w:textAlignment w:val="baseline"/>
      </w:pPr>
      <w:r>
        <w:rPr>
          <w:b/>
          <w:bCs/>
          <w:spacing w:val="3"/>
        </w:rPr>
        <w:t>强化标准实施与保障。</w:t>
      </w:r>
      <w:r>
        <w:rPr>
          <w:spacing w:val="3"/>
        </w:rPr>
        <w:t>贯彻落实《广东省标准化条例》，建</w:t>
      </w:r>
      <w:r>
        <w:rPr>
          <w:spacing w:val="13"/>
        </w:rPr>
        <w:t xml:space="preserve"> </w:t>
      </w:r>
      <w:r>
        <w:rPr>
          <w:spacing w:val="17"/>
        </w:rPr>
        <w:t>立健全全区标准化战略工作机制，优化标准</w:t>
      </w:r>
      <w:r>
        <w:rPr>
          <w:spacing w:val="16"/>
        </w:rPr>
        <w:t>化工作奖励激励机</w:t>
      </w:r>
      <w:r>
        <w:t xml:space="preserve"> </w:t>
      </w:r>
      <w:r>
        <w:rPr>
          <w:spacing w:val="5"/>
        </w:rPr>
        <w:t>制。强化企业标准自我声明公开和监督检查制度，提升标准实施</w:t>
      </w:r>
      <w:r>
        <w:rPr>
          <w:spacing w:val="4"/>
        </w:rPr>
        <w:t xml:space="preserve"> </w:t>
      </w:r>
      <w:r>
        <w:rPr>
          <w:spacing w:val="10"/>
        </w:rPr>
        <w:t>效果。加强标准化示范试点项目建设，新创建1个以上国家级和</w:t>
      </w:r>
      <w:r>
        <w:rPr>
          <w:spacing w:val="16"/>
        </w:rPr>
        <w:t xml:space="preserve"> </w:t>
      </w:r>
      <w:r>
        <w:rPr>
          <w:spacing w:val="7"/>
        </w:rPr>
        <w:t>省级标准化示范试点项目。</w:t>
      </w:r>
    </w:p>
    <w:p w14:paraId="496B8F5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52AF7C83">
      <w:pPr>
        <w:keepNext w:val="0"/>
        <w:keepLines w:val="0"/>
        <w:pageBreakBefore w:val="0"/>
        <w:widowControl/>
        <w:kinsoku w:val="0"/>
        <w:wordWrap/>
        <w:overflowPunct/>
        <w:topLinePunct w:val="0"/>
        <w:autoSpaceDE w:val="0"/>
        <w:autoSpaceDN w:val="0"/>
        <w:bidi w:val="0"/>
        <w:adjustRightInd w:val="0"/>
        <w:snapToGrid w:val="0"/>
        <w:spacing w:line="560" w:lineRule="exact"/>
        <w:ind w:left="2187"/>
        <w:textAlignment w:val="baseline"/>
        <w:outlineLvl w:val="1"/>
        <w:rPr>
          <w:rFonts w:ascii="KaiTi_GB2312" w:hAnsi="KaiTi_GB2312" w:eastAsia="KaiTi_GB2312" w:cs="KaiTi_GB2312"/>
          <w:sz w:val="31"/>
          <w:szCs w:val="31"/>
        </w:rPr>
      </w:pPr>
      <w:r>
        <w:rPr>
          <w:rFonts w:ascii="KaiTi_GB2312" w:hAnsi="KaiTi_GB2312" w:eastAsia="KaiTi_GB2312" w:cs="KaiTi_GB2312"/>
          <w:b/>
          <w:bCs/>
          <w:spacing w:val="5"/>
          <w:sz w:val="31"/>
          <w:szCs w:val="31"/>
        </w:rPr>
        <w:t>第三节</w:t>
      </w:r>
      <w:r>
        <w:rPr>
          <w:rFonts w:ascii="KaiTi_GB2312" w:hAnsi="KaiTi_GB2312" w:eastAsia="KaiTi_GB2312" w:cs="KaiTi_GB2312"/>
          <w:spacing w:val="5"/>
          <w:sz w:val="31"/>
          <w:szCs w:val="31"/>
        </w:rPr>
        <w:t xml:space="preserve">  </w:t>
      </w:r>
      <w:r>
        <w:rPr>
          <w:rFonts w:ascii="KaiTi_GB2312" w:hAnsi="KaiTi_GB2312" w:eastAsia="KaiTi_GB2312" w:cs="KaiTi_GB2312"/>
          <w:b/>
          <w:bCs/>
          <w:spacing w:val="5"/>
          <w:sz w:val="31"/>
          <w:szCs w:val="31"/>
        </w:rPr>
        <w:t>加大质量基础设施建设</w:t>
      </w:r>
    </w:p>
    <w:p w14:paraId="40325A5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0" w:right="43" w:firstLine="623"/>
        <w:jc w:val="both"/>
        <w:textAlignment w:val="baseline"/>
      </w:pPr>
      <w:r>
        <w:rPr>
          <w:b/>
          <w:bCs/>
          <w:spacing w:val="4"/>
        </w:rPr>
        <w:t>加快构建先进测量体系。</w:t>
      </w:r>
      <w:r>
        <w:rPr>
          <w:spacing w:val="4"/>
        </w:rPr>
        <w:t>积极配合开展以量子传感为核心的</w:t>
      </w:r>
      <w:r>
        <w:rPr>
          <w:spacing w:val="1"/>
        </w:rPr>
        <w:t xml:space="preserve"> </w:t>
      </w:r>
      <w:r>
        <w:rPr>
          <w:spacing w:val="5"/>
        </w:rPr>
        <w:t>计量前沿基础研究，推动量子化计量基标准研制和应用。配合推 动建立一批社会民生和高质量发展急需的高准确度、高稳定性计</w:t>
      </w:r>
      <w:r>
        <w:rPr>
          <w:spacing w:val="2"/>
        </w:rPr>
        <w:t xml:space="preserve"> </w:t>
      </w:r>
      <w:r>
        <w:rPr>
          <w:spacing w:val="5"/>
        </w:rPr>
        <w:t>量标准，提升社会公用计量标准能级和覆盖率。加强行业计量器</w:t>
      </w:r>
      <w:r>
        <w:rPr>
          <w:spacing w:val="2"/>
        </w:rPr>
        <w:t xml:space="preserve"> </w:t>
      </w:r>
      <w:r>
        <w:rPr>
          <w:spacing w:val="5"/>
        </w:rPr>
        <w:t xml:space="preserve">具和能源计量监管。引导企业建立健全计量检测和管理体系，推 </w:t>
      </w:r>
      <w:r>
        <w:rPr>
          <w:spacing w:val="6"/>
        </w:rPr>
        <w:t>动诚信计量体系建设。</w:t>
      </w:r>
    </w:p>
    <w:p w14:paraId="4466415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7" w:firstLine="641"/>
        <w:jc w:val="both"/>
        <w:textAlignment w:val="baseline"/>
      </w:pPr>
      <w:r>
        <w:rPr>
          <w:b/>
          <w:bCs/>
          <w:spacing w:val="3"/>
        </w:rPr>
        <w:t>支持检验检测技术服务体系建设。</w:t>
      </w:r>
      <w:r>
        <w:rPr>
          <w:spacing w:val="3"/>
        </w:rPr>
        <w:t>支持检验检测平台加强实</w:t>
      </w:r>
      <w:r>
        <w:rPr>
          <w:spacing w:val="9"/>
        </w:rPr>
        <w:t xml:space="preserve"> </w:t>
      </w:r>
      <w:r>
        <w:rPr>
          <w:spacing w:val="5"/>
        </w:rPr>
        <w:t>验室环境及硬件设施建设，提升检测能力。配合建立面向全产业</w:t>
      </w:r>
      <w:r>
        <w:rPr>
          <w:spacing w:val="12"/>
        </w:rPr>
        <w:t xml:space="preserve"> </w:t>
      </w:r>
      <w:r>
        <w:rPr>
          <w:spacing w:val="7"/>
        </w:rPr>
        <w:t>链的新型服务综合体，为产业发展提供全生命周期的</w:t>
      </w:r>
      <w:r>
        <w:rPr>
          <w:spacing w:val="6"/>
        </w:rPr>
        <w:t>技术支持，</w:t>
      </w:r>
      <w:r>
        <w:t xml:space="preserve"> </w:t>
      </w:r>
      <w:r>
        <w:rPr>
          <w:spacing w:val="8"/>
        </w:rPr>
        <w:t>提高平台公共服务水平。</w:t>
      </w:r>
    </w:p>
    <w:p w14:paraId="02D7F71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50" w:right="43" w:firstLine="583"/>
        <w:textAlignment w:val="baseline"/>
      </w:pPr>
      <w:r>
        <w:rPr>
          <w:b/>
          <w:bCs/>
          <w:spacing w:val="4"/>
        </w:rPr>
        <w:t>加强质量认证体系建设。</w:t>
      </w:r>
      <w:r>
        <w:rPr>
          <w:spacing w:val="4"/>
        </w:rPr>
        <w:t>配合开展检验检测机构能力验证和</w:t>
      </w:r>
      <w:r>
        <w:rPr>
          <w:spacing w:val="1"/>
        </w:rPr>
        <w:t xml:space="preserve"> </w:t>
      </w:r>
      <w:r>
        <w:rPr>
          <w:spacing w:val="4"/>
        </w:rPr>
        <w:t>比对，技能比武、盲样考核等评价考核活动。推</w:t>
      </w:r>
      <w:r>
        <w:rPr>
          <w:spacing w:val="3"/>
        </w:rPr>
        <w:t>动检验检测认证</w:t>
      </w:r>
    </w:p>
    <w:p w14:paraId="574A83A3">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sectPr>
          <w:footerReference r:id="rId19" w:type="default"/>
          <w:pgSz w:w="11906" w:h="16839"/>
          <w:pgMar w:top="1431" w:right="1429" w:bottom="1784" w:left="1596" w:header="0" w:footer="1421" w:gutter="0"/>
          <w:cols w:space="720" w:num="1"/>
        </w:sectPr>
      </w:pPr>
    </w:p>
    <w:p w14:paraId="54B7CBF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5" w:firstLine="2"/>
        <w:jc w:val="both"/>
        <w:textAlignment w:val="baseline"/>
      </w:pPr>
      <w:r>
        <w:rPr>
          <w:spacing w:val="7"/>
        </w:rPr>
        <w:t>服务和监管信息关联归集和分析应用，构建以信用管理为核心、</w:t>
      </w:r>
      <w:r>
        <w:rPr>
          <w:spacing w:val="2"/>
        </w:rPr>
        <w:t xml:space="preserve"> </w:t>
      </w:r>
      <w:r>
        <w:rPr>
          <w:spacing w:val="5"/>
        </w:rPr>
        <w:t>以信息化手段为支撑的检验检测认证现代化监管体系。鼓励企业</w:t>
      </w:r>
      <w:r>
        <w:rPr>
          <w:spacing w:val="9"/>
        </w:rPr>
        <w:t xml:space="preserve"> </w:t>
      </w:r>
      <w:r>
        <w:rPr>
          <w:spacing w:val="5"/>
        </w:rPr>
        <w:t>参加绿色环保、功能性、智能化、卫生健康等质量特性的高端品</w:t>
      </w:r>
      <w:r>
        <w:rPr>
          <w:spacing w:val="11"/>
        </w:rPr>
        <w:t xml:space="preserve"> </w:t>
      </w:r>
      <w:r>
        <w:rPr>
          <w:spacing w:val="5"/>
        </w:rPr>
        <w:t>质认证，推广应用绿色产品认证。组织开展小微企业质量管理体</w:t>
      </w:r>
      <w:r>
        <w:rPr>
          <w:spacing w:val="8"/>
        </w:rPr>
        <w:t xml:space="preserve"> </w:t>
      </w:r>
      <w:r>
        <w:rPr>
          <w:spacing w:val="5"/>
        </w:rPr>
        <w:t>系认证提升行动。严厉打击虚假认证、超范围检测、出具虚假报</w:t>
      </w:r>
      <w:r>
        <w:rPr>
          <w:spacing w:val="9"/>
        </w:rPr>
        <w:t xml:space="preserve"> </w:t>
      </w:r>
      <w:r>
        <w:rPr>
          <w:spacing w:val="7"/>
        </w:rPr>
        <w:t>告等违法违规行为。</w:t>
      </w:r>
    </w:p>
    <w:p w14:paraId="2B019FE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73691EC8">
      <w:pPr>
        <w:keepNext w:val="0"/>
        <w:keepLines w:val="0"/>
        <w:pageBreakBefore w:val="0"/>
        <w:widowControl/>
        <w:kinsoku w:val="0"/>
        <w:wordWrap/>
        <w:overflowPunct/>
        <w:topLinePunct w:val="0"/>
        <w:autoSpaceDE w:val="0"/>
        <w:autoSpaceDN w:val="0"/>
        <w:bidi w:val="0"/>
        <w:adjustRightInd w:val="0"/>
        <w:snapToGrid w:val="0"/>
        <w:spacing w:line="560" w:lineRule="exact"/>
        <w:ind w:left="1389"/>
        <w:textAlignment w:val="baseline"/>
        <w:rPr>
          <w:rFonts w:ascii="黑体" w:hAnsi="黑体" w:eastAsia="黑体" w:cs="黑体"/>
          <w:sz w:val="31"/>
          <w:szCs w:val="31"/>
        </w:rPr>
      </w:pPr>
      <w:r>
        <w:rPr>
          <w:rFonts w:ascii="黑体" w:hAnsi="黑体" w:eastAsia="黑体" w:cs="黑体"/>
          <w:spacing w:val="8"/>
          <w:sz w:val="31"/>
          <w:szCs w:val="31"/>
        </w:rPr>
        <w:t>第八章  完善新型监管机制，提高市场监管效能</w:t>
      </w:r>
    </w:p>
    <w:p w14:paraId="4284C3D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7" w:right="52" w:firstLine="629"/>
        <w:textAlignment w:val="baseline"/>
      </w:pPr>
      <w:r>
        <w:rPr>
          <w:spacing w:val="5"/>
        </w:rPr>
        <w:t>创新监管方式，强化信息支撑，构建共治格局，提升市场综</w:t>
      </w:r>
      <w:r>
        <w:rPr>
          <w:spacing w:val="6"/>
        </w:rPr>
        <w:t xml:space="preserve"> </w:t>
      </w:r>
      <w:r>
        <w:rPr>
          <w:spacing w:val="5"/>
        </w:rPr>
        <w:t>合监管效能。</w:t>
      </w:r>
    </w:p>
    <w:p w14:paraId="72E2F6B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5DC14022">
      <w:pPr>
        <w:keepNext w:val="0"/>
        <w:keepLines w:val="0"/>
        <w:pageBreakBefore w:val="0"/>
        <w:widowControl/>
        <w:kinsoku w:val="0"/>
        <w:wordWrap/>
        <w:overflowPunct/>
        <w:topLinePunct w:val="0"/>
        <w:autoSpaceDE w:val="0"/>
        <w:autoSpaceDN w:val="0"/>
        <w:bidi w:val="0"/>
        <w:adjustRightInd w:val="0"/>
        <w:snapToGrid w:val="0"/>
        <w:spacing w:line="560" w:lineRule="exact"/>
        <w:ind w:left="2669"/>
        <w:textAlignment w:val="baseline"/>
        <w:rPr>
          <w:rFonts w:ascii="KaiTi_GB2312" w:hAnsi="KaiTi_GB2312" w:eastAsia="KaiTi_GB2312" w:cs="KaiTi_GB2312"/>
          <w:sz w:val="31"/>
          <w:szCs w:val="31"/>
        </w:rPr>
      </w:pPr>
      <w:r>
        <w:rPr>
          <w:rFonts w:ascii="KaiTi_GB2312" w:hAnsi="KaiTi_GB2312" w:eastAsia="KaiTi_GB2312" w:cs="KaiTi_GB2312"/>
          <w:b/>
          <w:bCs/>
          <w:spacing w:val="5"/>
          <w:sz w:val="31"/>
          <w:szCs w:val="31"/>
        </w:rPr>
        <w:t>第一节</w:t>
      </w:r>
      <w:r>
        <w:rPr>
          <w:rFonts w:ascii="KaiTi_GB2312" w:hAnsi="KaiTi_GB2312" w:eastAsia="KaiTi_GB2312" w:cs="KaiTi_GB2312"/>
          <w:spacing w:val="5"/>
          <w:sz w:val="31"/>
          <w:szCs w:val="31"/>
        </w:rPr>
        <w:t xml:space="preserve">  </w:t>
      </w:r>
      <w:r>
        <w:rPr>
          <w:rFonts w:ascii="KaiTi_GB2312" w:hAnsi="KaiTi_GB2312" w:eastAsia="KaiTi_GB2312" w:cs="KaiTi_GB2312"/>
          <w:b/>
          <w:bCs/>
          <w:spacing w:val="5"/>
          <w:sz w:val="31"/>
          <w:szCs w:val="31"/>
        </w:rPr>
        <w:t>创新和完善监管方式</w:t>
      </w:r>
    </w:p>
    <w:p w14:paraId="6A8A606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2" w:right="13" w:firstLine="642"/>
        <w:jc w:val="both"/>
        <w:textAlignment w:val="baseline"/>
      </w:pPr>
      <w:r>
        <w:rPr>
          <w:b/>
          <w:bCs/>
          <w:spacing w:val="4"/>
        </w:rPr>
        <w:t>加强信用监管。</w:t>
      </w:r>
      <w:r>
        <w:rPr>
          <w:spacing w:val="4"/>
        </w:rPr>
        <w:t>落实企业信用信息归集、共享、公示、惩戒</w:t>
      </w:r>
      <w:r>
        <w:rPr>
          <w:spacing w:val="2"/>
        </w:rPr>
        <w:t xml:space="preserve"> </w:t>
      </w:r>
      <w:r>
        <w:rPr>
          <w:spacing w:val="5"/>
        </w:rPr>
        <w:t>和信用修复等制度。围绕食品药品、特种设备、重点工业产品安</w:t>
      </w:r>
      <w:r>
        <w:rPr>
          <w:spacing w:val="13"/>
        </w:rPr>
        <w:t xml:space="preserve"> </w:t>
      </w:r>
      <w:r>
        <w:rPr>
          <w:spacing w:val="5"/>
        </w:rPr>
        <w:t>全监管等重要民生领域，强化信用约束，发挥信用监管效能。建</w:t>
      </w:r>
      <w:r>
        <w:rPr>
          <w:spacing w:val="14"/>
        </w:rPr>
        <w:t xml:space="preserve"> </w:t>
      </w:r>
      <w:r>
        <w:rPr>
          <w:spacing w:val="5"/>
        </w:rPr>
        <w:t>立市场监管部门统一的严重违法失信名单管理制度，完善市场监</w:t>
      </w:r>
      <w:r>
        <w:rPr>
          <w:spacing w:val="11"/>
        </w:rPr>
        <w:t xml:space="preserve"> </w:t>
      </w:r>
      <w:r>
        <w:rPr>
          <w:spacing w:val="7"/>
        </w:rPr>
        <w:t>管领域失信联合惩戒措施清单，规范失信行为认</w:t>
      </w:r>
      <w:r>
        <w:rPr>
          <w:spacing w:val="6"/>
        </w:rPr>
        <w:t>定依据、程序，</w:t>
      </w:r>
      <w:r>
        <w:t xml:space="preserve"> </w:t>
      </w:r>
      <w:r>
        <w:rPr>
          <w:spacing w:val="8"/>
        </w:rPr>
        <w:t>强化联合惩戒力度。建立信用修复机制。</w:t>
      </w:r>
    </w:p>
    <w:p w14:paraId="4012F6F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3" w:right="49" w:firstLine="640"/>
        <w:jc w:val="both"/>
        <w:textAlignment w:val="baseline"/>
      </w:pPr>
      <w:r>
        <w:rPr>
          <w:b/>
          <w:bCs/>
          <w:spacing w:val="3"/>
        </w:rPr>
        <w:t>推行信用风险分类监管。</w:t>
      </w:r>
      <w:r>
        <w:rPr>
          <w:spacing w:val="3"/>
        </w:rPr>
        <w:t>按照省、市局的统一</w:t>
      </w:r>
      <w:r>
        <w:rPr>
          <w:rFonts w:hint="eastAsia"/>
          <w:spacing w:val="3"/>
          <w:lang w:eastAsia="zh-CN"/>
        </w:rPr>
        <w:t>部署</w:t>
      </w:r>
      <w:r>
        <w:rPr>
          <w:spacing w:val="3"/>
        </w:rPr>
        <w:t>，建立风</w:t>
      </w:r>
      <w:r>
        <w:rPr>
          <w:spacing w:val="18"/>
        </w:rPr>
        <w:t xml:space="preserve"> </w:t>
      </w:r>
      <w:r>
        <w:rPr>
          <w:spacing w:val="5"/>
        </w:rPr>
        <w:t>险预警预判机制，构建企业信用风险监测预警模型，对企业主要</w:t>
      </w:r>
      <w:r>
        <w:rPr>
          <w:spacing w:val="10"/>
        </w:rPr>
        <w:t xml:space="preserve"> </w:t>
      </w:r>
      <w:r>
        <w:rPr>
          <w:spacing w:val="5"/>
        </w:rPr>
        <w:t>风险点实施监测，对重点行业、重点区域的整体信用风险状况进</w:t>
      </w:r>
      <w:r>
        <w:rPr>
          <w:spacing w:val="12"/>
        </w:rPr>
        <w:t xml:space="preserve"> </w:t>
      </w:r>
      <w:r>
        <w:rPr>
          <w:spacing w:val="5"/>
        </w:rPr>
        <w:t>行数据分析研判，及早发现苗头性、区域性、行业性风险，有效</w:t>
      </w:r>
      <w:r>
        <w:rPr>
          <w:spacing w:val="10"/>
        </w:rPr>
        <w:t xml:space="preserve"> </w:t>
      </w:r>
      <w:r>
        <w:rPr>
          <w:spacing w:val="5"/>
        </w:rPr>
        <w:t>推动监管关口前移，从重事后处罚和惩戒向重事前信用风险防范</w:t>
      </w:r>
    </w:p>
    <w:p w14:paraId="5E6E805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sectPr>
          <w:footerReference r:id="rId20" w:type="default"/>
          <w:pgSz w:w="11906" w:h="16839"/>
          <w:pgMar w:top="1431" w:right="1423" w:bottom="1784" w:left="1595" w:header="0" w:footer="1421" w:gutter="0"/>
          <w:cols w:space="720" w:num="1"/>
        </w:sectPr>
      </w:pPr>
    </w:p>
    <w:p w14:paraId="6E3F3CE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2" w:right="267" w:firstLine="13"/>
        <w:textAlignment w:val="baseline"/>
      </w:pPr>
      <w:r>
        <w:rPr>
          <w:spacing w:val="5"/>
        </w:rPr>
        <w:t>转变。发挥信用监管导向作用，加强企业信用信息分析</w:t>
      </w:r>
      <w:r>
        <w:rPr>
          <w:spacing w:val="4"/>
        </w:rPr>
        <w:t>，助力政</w:t>
      </w:r>
      <w:r>
        <w:t xml:space="preserve"> </w:t>
      </w:r>
      <w:r>
        <w:rPr>
          <w:spacing w:val="5"/>
        </w:rPr>
        <w:t>府决策参考。</w:t>
      </w:r>
    </w:p>
    <w:p w14:paraId="5D9D294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57"/>
        <w:jc w:val="both"/>
        <w:textAlignment w:val="baseline"/>
      </w:pPr>
      <w:r>
        <w:rPr>
          <w:b/>
          <w:bCs/>
          <w:spacing w:val="3"/>
        </w:rPr>
        <w:t>深化</w:t>
      </w:r>
      <w:r>
        <w:rPr>
          <w:rFonts w:ascii="Times New Roman" w:hAnsi="Times New Roman" w:eastAsia="Times New Roman" w:cs="Times New Roman"/>
          <w:b/>
          <w:bCs/>
          <w:spacing w:val="3"/>
        </w:rPr>
        <w:t>“</w:t>
      </w:r>
      <w:r>
        <w:rPr>
          <w:b/>
          <w:bCs/>
          <w:spacing w:val="3"/>
        </w:rPr>
        <w:t>双随机、一公开</w:t>
      </w:r>
      <w:r>
        <w:rPr>
          <w:rFonts w:ascii="Times New Roman" w:hAnsi="Times New Roman" w:eastAsia="Times New Roman" w:cs="Times New Roman"/>
          <w:b/>
          <w:bCs/>
          <w:spacing w:val="3"/>
        </w:rPr>
        <w:t>”</w:t>
      </w:r>
      <w:r>
        <w:rPr>
          <w:b/>
          <w:bCs/>
          <w:spacing w:val="3"/>
        </w:rPr>
        <w:t>监管。</w:t>
      </w:r>
      <w:r>
        <w:rPr>
          <w:spacing w:val="3"/>
        </w:rPr>
        <w:t xml:space="preserve">完善市场监管领域部门联合随  </w:t>
      </w:r>
      <w:r>
        <w:rPr>
          <w:spacing w:val="6"/>
        </w:rPr>
        <w:t>机抽查事项清单，依据《韶关市市场监管领域部门</w:t>
      </w:r>
      <w:r>
        <w:rPr>
          <w:spacing w:val="5"/>
        </w:rPr>
        <w:t>联合抽查事项</w:t>
      </w:r>
      <w:r>
        <w:t xml:space="preserve">  </w:t>
      </w:r>
      <w:r>
        <w:rPr>
          <w:spacing w:val="6"/>
        </w:rPr>
        <w:t>清单》将更多事项纳入部门联合抽查范围，涵盖教</w:t>
      </w:r>
      <w:r>
        <w:rPr>
          <w:spacing w:val="5"/>
        </w:rPr>
        <w:t>育、文化、建</w:t>
      </w:r>
      <w:r>
        <w:t xml:space="preserve">  </w:t>
      </w:r>
      <w:r>
        <w:rPr>
          <w:spacing w:val="15"/>
        </w:rPr>
        <w:t>筑、交通、农业、消防等领域。应用广东省“双随机、一公开”</w:t>
      </w:r>
      <w:r>
        <w:rPr>
          <w:spacing w:val="10"/>
        </w:rPr>
        <w:t xml:space="preserve"> </w:t>
      </w:r>
      <w:r>
        <w:rPr>
          <w:spacing w:val="6"/>
        </w:rPr>
        <w:t>综合监管平台，建立健全与部门职责相对应的检查</w:t>
      </w:r>
      <w:r>
        <w:rPr>
          <w:spacing w:val="5"/>
        </w:rPr>
        <w:t>对象名录库和</w:t>
      </w:r>
      <w:r>
        <w:t xml:space="preserve">  </w:t>
      </w:r>
      <w:r>
        <w:rPr>
          <w:spacing w:val="6"/>
        </w:rPr>
        <w:t>执法检查人员库，推动“两库”标签化管理、动态</w:t>
      </w:r>
      <w:r>
        <w:rPr>
          <w:spacing w:val="5"/>
        </w:rPr>
        <w:t>管理。开展平</w:t>
      </w:r>
      <w:r>
        <w:t xml:space="preserve">  </w:t>
      </w:r>
      <w:r>
        <w:rPr>
          <w:spacing w:val="6"/>
        </w:rPr>
        <w:t>台应用培训，深化平台推广应用，提高联合抽查水</w:t>
      </w:r>
      <w:r>
        <w:rPr>
          <w:spacing w:val="5"/>
        </w:rPr>
        <w:t>平和实效。建</w:t>
      </w:r>
      <w:r>
        <w:t xml:space="preserve">  </w:t>
      </w:r>
      <w:r>
        <w:rPr>
          <w:spacing w:val="6"/>
        </w:rPr>
        <w:t>立健全以信用为基础的新型监管机制，创新监管理</w:t>
      </w:r>
      <w:r>
        <w:rPr>
          <w:spacing w:val="5"/>
        </w:rPr>
        <w:t>念和方式，依</w:t>
      </w:r>
      <w:r>
        <w:t xml:space="preserve">  </w:t>
      </w:r>
      <w:r>
        <w:rPr>
          <w:spacing w:val="6"/>
        </w:rPr>
        <w:t>托企业信用风险分类管理专业模型，结合食品</w:t>
      </w:r>
      <w:r>
        <w:rPr>
          <w:spacing w:val="5"/>
        </w:rPr>
        <w:t>、特种设备生产企</w:t>
      </w:r>
      <w:r>
        <w:t xml:space="preserve">  </w:t>
      </w:r>
      <w:r>
        <w:rPr>
          <w:spacing w:val="6"/>
        </w:rPr>
        <w:t>业风险特点，按照不同风险等级对企业进行分</w:t>
      </w:r>
      <w:r>
        <w:rPr>
          <w:spacing w:val="5"/>
        </w:rPr>
        <w:t>级分类。科学运用</w:t>
      </w:r>
      <w:r>
        <w:t xml:space="preserve">  </w:t>
      </w:r>
      <w:r>
        <w:rPr>
          <w:spacing w:val="6"/>
        </w:rPr>
        <w:t>信用监管风险分类结果，合理确定双随机抽查</w:t>
      </w:r>
      <w:r>
        <w:rPr>
          <w:spacing w:val="5"/>
        </w:rPr>
        <w:t>的范围、对象和频</w:t>
      </w:r>
      <w:r>
        <w:t xml:space="preserve">  </w:t>
      </w:r>
      <w:r>
        <w:rPr>
          <w:spacing w:val="9"/>
        </w:rPr>
        <w:t>次，提高监督检查的靶向性、精准性。</w:t>
      </w:r>
    </w:p>
    <w:p w14:paraId="33BE08B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218" w:firstLine="666"/>
        <w:jc w:val="both"/>
        <w:textAlignment w:val="baseline"/>
      </w:pPr>
      <w:r>
        <w:rPr>
          <w:b/>
          <w:bCs/>
          <w:spacing w:val="3"/>
        </w:rPr>
        <w:t>实施包容审慎监管。</w:t>
      </w:r>
      <w:r>
        <w:rPr>
          <w:spacing w:val="3"/>
        </w:rPr>
        <w:t>加强对新技术、新产业、新业态、新模</w:t>
      </w:r>
      <w:r>
        <w:rPr>
          <w:spacing w:val="8"/>
        </w:rPr>
        <w:t xml:space="preserve"> </w:t>
      </w:r>
      <w:r>
        <w:rPr>
          <w:spacing w:val="6"/>
        </w:rPr>
        <w:t>式等新生事物发展规律研究，分类施策、量身</w:t>
      </w:r>
      <w:r>
        <w:rPr>
          <w:spacing w:val="5"/>
        </w:rPr>
        <w:t>定制监管规则和标</w:t>
      </w:r>
      <w:r>
        <w:t xml:space="preserve"> </w:t>
      </w:r>
      <w:r>
        <w:rPr>
          <w:spacing w:val="6"/>
        </w:rPr>
        <w:t>准，在坚守质量和安全底线前提下，留足发展</w:t>
      </w:r>
      <w:r>
        <w:rPr>
          <w:spacing w:val="5"/>
        </w:rPr>
        <w:t>空间。依据《韶关</w:t>
      </w:r>
      <w:r>
        <w:t xml:space="preserve"> </w:t>
      </w:r>
      <w:r>
        <w:rPr>
          <w:spacing w:val="17"/>
        </w:rPr>
        <w:t>市市场监督管理局关于推行包容审慎监管优化营商环境的指导</w:t>
      </w:r>
      <w:r>
        <w:rPr>
          <w:spacing w:val="11"/>
        </w:rPr>
        <w:t xml:space="preserve"> </w:t>
      </w:r>
      <w:r>
        <w:rPr>
          <w:spacing w:val="6"/>
        </w:rPr>
        <w:t>意见》，通过营造宽松开放的市场准入环境、建立</w:t>
      </w:r>
      <w:r>
        <w:rPr>
          <w:spacing w:val="5"/>
        </w:rPr>
        <w:t>包容审慎的执</w:t>
      </w:r>
      <w:r>
        <w:t xml:space="preserve"> </w:t>
      </w:r>
      <w:r>
        <w:rPr>
          <w:spacing w:val="7"/>
        </w:rPr>
        <w:t>法监管机制、构建规范高效的风险管控体系，着力营造新技术、</w:t>
      </w:r>
      <w:r>
        <w:rPr>
          <w:spacing w:val="16"/>
        </w:rPr>
        <w:t xml:space="preserve"> </w:t>
      </w:r>
      <w:r>
        <w:rPr>
          <w:spacing w:val="6"/>
        </w:rPr>
        <w:t>新产业、新业态、新商业模式的良好营商环境，推</w:t>
      </w:r>
      <w:r>
        <w:rPr>
          <w:spacing w:val="5"/>
        </w:rPr>
        <w:t>动市场主体健</w:t>
      </w:r>
      <w:r>
        <w:t xml:space="preserve"> </w:t>
      </w:r>
      <w:r>
        <w:rPr>
          <w:spacing w:val="6"/>
        </w:rPr>
        <w:t>康有序发展。以“双随机、一公开”为主要监</w:t>
      </w:r>
      <w:r>
        <w:rPr>
          <w:spacing w:val="5"/>
        </w:rPr>
        <w:t>管手段，切实减少</w:t>
      </w:r>
      <w:r>
        <w:t xml:space="preserve"> </w:t>
      </w:r>
      <w:r>
        <w:rPr>
          <w:spacing w:val="9"/>
        </w:rPr>
        <w:t>对市场主体正常生产经营活动的干预。</w:t>
      </w:r>
    </w:p>
    <w:p w14:paraId="28358E3C">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sectPr>
          <w:footerReference r:id="rId21" w:type="default"/>
          <w:pgSz w:w="11906" w:h="16839"/>
          <w:pgMar w:top="1431" w:right="1205" w:bottom="1784" w:left="1588" w:header="0" w:footer="1421" w:gutter="0"/>
          <w:cols w:space="720" w:num="1"/>
        </w:sectPr>
      </w:pPr>
    </w:p>
    <w:p w14:paraId="036F4307">
      <w:pPr>
        <w:keepNext w:val="0"/>
        <w:keepLines w:val="0"/>
        <w:pageBreakBefore w:val="0"/>
        <w:widowControl/>
        <w:kinsoku w:val="0"/>
        <w:wordWrap/>
        <w:overflowPunct/>
        <w:topLinePunct w:val="0"/>
        <w:autoSpaceDE w:val="0"/>
        <w:autoSpaceDN w:val="0"/>
        <w:bidi w:val="0"/>
        <w:adjustRightInd w:val="0"/>
        <w:snapToGrid w:val="0"/>
        <w:spacing w:line="560" w:lineRule="exact"/>
        <w:ind w:left="2516"/>
        <w:textAlignment w:val="baseline"/>
        <w:outlineLvl w:val="1"/>
        <w:rPr>
          <w:rFonts w:ascii="KaiTi_GB2312" w:hAnsi="KaiTi_GB2312" w:eastAsia="KaiTi_GB2312" w:cs="KaiTi_GB2312"/>
          <w:sz w:val="31"/>
          <w:szCs w:val="31"/>
        </w:rPr>
      </w:pPr>
      <w:r>
        <w:rPr>
          <w:rFonts w:ascii="KaiTi_GB2312" w:hAnsi="KaiTi_GB2312" w:eastAsia="KaiTi_GB2312" w:cs="KaiTi_GB2312"/>
          <w:b/>
          <w:bCs/>
          <w:spacing w:val="5"/>
          <w:sz w:val="31"/>
          <w:szCs w:val="31"/>
        </w:rPr>
        <w:t>第二节</w:t>
      </w:r>
      <w:r>
        <w:rPr>
          <w:rFonts w:ascii="KaiTi_GB2312" w:hAnsi="KaiTi_GB2312" w:eastAsia="KaiTi_GB2312" w:cs="KaiTi_GB2312"/>
          <w:spacing w:val="5"/>
          <w:sz w:val="31"/>
          <w:szCs w:val="31"/>
        </w:rPr>
        <w:t xml:space="preserve">  </w:t>
      </w:r>
      <w:r>
        <w:rPr>
          <w:rFonts w:ascii="KaiTi_GB2312" w:hAnsi="KaiTi_GB2312" w:eastAsia="KaiTi_GB2312" w:cs="KaiTi_GB2312"/>
          <w:b/>
          <w:bCs/>
          <w:spacing w:val="5"/>
          <w:sz w:val="31"/>
          <w:szCs w:val="31"/>
        </w:rPr>
        <w:t>构建多元监管格局</w:t>
      </w:r>
    </w:p>
    <w:p w14:paraId="63ADE47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2" w:right="45" w:firstLine="648"/>
        <w:jc w:val="both"/>
        <w:textAlignment w:val="baseline"/>
      </w:pPr>
      <w:r>
        <w:rPr>
          <w:b/>
          <w:bCs/>
          <w:spacing w:val="3"/>
        </w:rPr>
        <w:t>加强政府部门协同监管。</w:t>
      </w:r>
      <w:r>
        <w:rPr>
          <w:spacing w:val="3"/>
        </w:rPr>
        <w:t>完善跨部门、跨区域监管联动响应</w:t>
      </w:r>
      <w:r>
        <w:rPr>
          <w:spacing w:val="18"/>
        </w:rPr>
        <w:t xml:space="preserve"> </w:t>
      </w:r>
      <w:r>
        <w:rPr>
          <w:spacing w:val="7"/>
        </w:rPr>
        <w:t>和协作机制，强化行业主管部门与综合监管部门间的协同联动，</w:t>
      </w:r>
      <w:r>
        <w:t xml:space="preserve"> </w:t>
      </w:r>
      <w:r>
        <w:rPr>
          <w:spacing w:val="5"/>
        </w:rPr>
        <w:t>实现监管标准互通、违法线索互联、处理结果互认。构建区域性</w:t>
      </w:r>
      <w:r>
        <w:rPr>
          <w:spacing w:val="17"/>
        </w:rPr>
        <w:t xml:space="preserve"> </w:t>
      </w:r>
      <w:r>
        <w:rPr>
          <w:spacing w:val="6"/>
        </w:rPr>
        <w:t>监管协作平台，推动食品、药品、文化旅游、</w:t>
      </w:r>
      <w:r>
        <w:rPr>
          <w:spacing w:val="5"/>
        </w:rPr>
        <w:t>自然资源、生态环</w:t>
      </w:r>
      <w:r>
        <w:t xml:space="preserve"> </w:t>
      </w:r>
      <w:r>
        <w:rPr>
          <w:spacing w:val="9"/>
        </w:rPr>
        <w:t>境等重点领域的监管协作机制建设。</w:t>
      </w:r>
    </w:p>
    <w:p w14:paraId="750889F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81" w:firstLine="670"/>
        <w:jc w:val="both"/>
        <w:textAlignment w:val="baseline"/>
      </w:pPr>
      <w:r>
        <w:rPr>
          <w:b/>
          <w:bCs/>
          <w:spacing w:val="3"/>
        </w:rPr>
        <w:t>强化市场主体责任。</w:t>
      </w:r>
      <w:r>
        <w:rPr>
          <w:spacing w:val="3"/>
        </w:rPr>
        <w:t>健全完善市场主体首负责任制度，引导</w:t>
      </w:r>
      <w:r>
        <w:rPr>
          <w:spacing w:val="4"/>
        </w:rPr>
        <w:t xml:space="preserve"> </w:t>
      </w:r>
      <w:r>
        <w:rPr>
          <w:spacing w:val="6"/>
        </w:rPr>
        <w:t>市场主体建立健全管理体系、内部控制体系，履行</w:t>
      </w:r>
      <w:r>
        <w:rPr>
          <w:spacing w:val="5"/>
        </w:rPr>
        <w:t>法定义务，不</w:t>
      </w:r>
      <w:r>
        <w:t xml:space="preserve"> </w:t>
      </w:r>
      <w:r>
        <w:rPr>
          <w:spacing w:val="6"/>
        </w:rPr>
        <w:t>断提升产品与服务质量。规范企业信息披露，</w:t>
      </w:r>
      <w:r>
        <w:rPr>
          <w:spacing w:val="5"/>
        </w:rPr>
        <w:t>推动企业开展标准</w:t>
      </w:r>
      <w:r>
        <w:t xml:space="preserve"> </w:t>
      </w:r>
      <w:r>
        <w:rPr>
          <w:spacing w:val="6"/>
        </w:rPr>
        <w:t>自我声明和服务质量公开承诺，推行信用承诺</w:t>
      </w:r>
      <w:r>
        <w:rPr>
          <w:spacing w:val="5"/>
        </w:rPr>
        <w:t>制度，将市场主体</w:t>
      </w:r>
      <w:r>
        <w:t xml:space="preserve"> </w:t>
      </w:r>
      <w:r>
        <w:rPr>
          <w:spacing w:val="6"/>
        </w:rPr>
        <w:t>信用承诺履行情况纳入信用记录。推动建立消</w:t>
      </w:r>
      <w:r>
        <w:rPr>
          <w:spacing w:val="5"/>
        </w:rPr>
        <w:t>费品质量安全事故</w:t>
      </w:r>
      <w:r>
        <w:t xml:space="preserve"> </w:t>
      </w:r>
      <w:r>
        <w:rPr>
          <w:spacing w:val="6"/>
        </w:rPr>
        <w:t>强制报告制度，切实保障公众知情权。鼓励市</w:t>
      </w:r>
      <w:r>
        <w:rPr>
          <w:spacing w:val="5"/>
        </w:rPr>
        <w:t>场主体发扬企业家</w:t>
      </w:r>
      <w:r>
        <w:t xml:space="preserve"> </w:t>
      </w:r>
      <w:r>
        <w:rPr>
          <w:spacing w:val="9"/>
        </w:rPr>
        <w:t>精神，坚持诚信守法，勇于担当社会责任，履行社会义务。</w:t>
      </w:r>
    </w:p>
    <w:p w14:paraId="5F4B32F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3" w:firstLine="634"/>
        <w:jc w:val="both"/>
        <w:textAlignment w:val="baseline"/>
      </w:pPr>
      <w:r>
        <w:rPr>
          <w:b/>
          <w:bCs/>
          <w:spacing w:val="4"/>
        </w:rPr>
        <w:t>提升行业自律水平。</w:t>
      </w:r>
      <w:r>
        <w:rPr>
          <w:spacing w:val="4"/>
        </w:rPr>
        <w:t>指导行业协会商会健全行业经营自律规</w:t>
      </w:r>
      <w:r>
        <w:rPr>
          <w:spacing w:val="1"/>
        </w:rPr>
        <w:t xml:space="preserve"> </w:t>
      </w:r>
      <w:r>
        <w:rPr>
          <w:spacing w:val="5"/>
        </w:rPr>
        <w:t>范、自律公约和职业道德准则，规范会员行为。完善涉企政策制</w:t>
      </w:r>
      <w:r>
        <w:rPr>
          <w:spacing w:val="8"/>
        </w:rPr>
        <w:t xml:space="preserve"> </w:t>
      </w:r>
      <w:r>
        <w:rPr>
          <w:spacing w:val="5"/>
        </w:rPr>
        <w:t>定和执行机制，鼓励行业协会商会参与制定国家标准、行业规划</w:t>
      </w:r>
      <w:r>
        <w:rPr>
          <w:spacing w:val="6"/>
        </w:rPr>
        <w:t xml:space="preserve"> </w:t>
      </w:r>
      <w:r>
        <w:rPr>
          <w:spacing w:val="5"/>
        </w:rPr>
        <w:t>和政策法规，制定发布行业产品和服务标准。发挥行业协会商会</w:t>
      </w:r>
      <w:r>
        <w:rPr>
          <w:spacing w:val="6"/>
        </w:rPr>
        <w:t xml:space="preserve"> </w:t>
      </w:r>
      <w:r>
        <w:rPr>
          <w:spacing w:val="-3"/>
        </w:rPr>
        <w:t>在权益保护、纠纷处理、行业信用建设和信用监管等方面的作用，</w:t>
      </w:r>
      <w:r>
        <w:rPr>
          <w:spacing w:val="7"/>
        </w:rPr>
        <w:t xml:space="preserve"> </w:t>
      </w:r>
      <w:r>
        <w:rPr>
          <w:spacing w:val="5"/>
        </w:rPr>
        <w:t>支持行业协会商会参与公益诉讼、专业调解工作。规范行业协会</w:t>
      </w:r>
      <w:r>
        <w:rPr>
          <w:spacing w:val="8"/>
        </w:rPr>
        <w:t xml:space="preserve"> </w:t>
      </w:r>
      <w:r>
        <w:rPr>
          <w:spacing w:val="7"/>
        </w:rPr>
        <w:t>商会收费、评奖等行为。</w:t>
      </w:r>
    </w:p>
    <w:p w14:paraId="18CB949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8" w:right="79" w:firstLine="642"/>
        <w:jc w:val="both"/>
        <w:textAlignment w:val="baseline"/>
      </w:pPr>
      <w:r>
        <w:rPr>
          <w:b/>
          <w:bCs/>
          <w:spacing w:val="4"/>
        </w:rPr>
        <w:t>发挥社会监督作用。</w:t>
      </w:r>
      <w:r>
        <w:rPr>
          <w:spacing w:val="4"/>
        </w:rPr>
        <w:t>畅通群众监督渠道，拓展政务新媒体投</w:t>
      </w:r>
      <w:r>
        <w:rPr>
          <w:spacing w:val="1"/>
        </w:rPr>
        <w:t xml:space="preserve"> </w:t>
      </w:r>
      <w:r>
        <w:rPr>
          <w:spacing w:val="5"/>
        </w:rPr>
        <w:t>诉举报方式，加强对投诉举报数据的分析研判运用，及时发现市</w:t>
      </w:r>
      <w:r>
        <w:rPr>
          <w:spacing w:val="11"/>
        </w:rPr>
        <w:t xml:space="preserve"> </w:t>
      </w:r>
      <w:r>
        <w:rPr>
          <w:spacing w:val="5"/>
        </w:rPr>
        <w:t>场监管的热点、难点问题。健全完善对举报严重违法违规行为和</w:t>
      </w:r>
    </w:p>
    <w:p w14:paraId="00D5378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sectPr>
          <w:footerReference r:id="rId22" w:type="default"/>
          <w:pgSz w:w="11906" w:h="16839"/>
          <w:pgMar w:top="1431" w:right="1391" w:bottom="1784" w:left="1588" w:header="0" w:footer="1421" w:gutter="0"/>
          <w:cols w:space="720" w:num="1"/>
        </w:sectPr>
      </w:pPr>
    </w:p>
    <w:p w14:paraId="7369D82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81" w:firstLine="84"/>
        <w:jc w:val="both"/>
        <w:textAlignment w:val="baseline"/>
      </w:pPr>
      <w:r>
        <w:rPr>
          <w:spacing w:val="5"/>
        </w:rPr>
        <w:t>重大风险隐患的有功人员予以奖励和保护制度，依法规</w:t>
      </w:r>
      <w:r>
        <w:rPr>
          <w:spacing w:val="4"/>
        </w:rPr>
        <w:t>范牟利性</w:t>
      </w:r>
      <w:r>
        <w:t xml:space="preserve"> </w:t>
      </w:r>
      <w:r>
        <w:rPr>
          <w:rFonts w:ascii="Times New Roman" w:hAnsi="Times New Roman" w:eastAsia="Times New Roman" w:cs="Times New Roman"/>
          <w:spacing w:val="9"/>
        </w:rPr>
        <w:t>“</w:t>
      </w:r>
      <w:r>
        <w:rPr>
          <w:spacing w:val="9"/>
        </w:rPr>
        <w:t>打假</w:t>
      </w:r>
      <w:r>
        <w:rPr>
          <w:rFonts w:ascii="Times New Roman" w:hAnsi="Times New Roman" w:eastAsia="Times New Roman" w:cs="Times New Roman"/>
          <w:spacing w:val="9"/>
        </w:rPr>
        <w:t>”</w:t>
      </w:r>
      <w:r>
        <w:rPr>
          <w:spacing w:val="9"/>
        </w:rPr>
        <w:t>和索赔行为。发挥会计师事务所、审计师事务所、</w:t>
      </w:r>
      <w:r>
        <w:rPr>
          <w:spacing w:val="8"/>
        </w:rPr>
        <w:t>税务师</w:t>
      </w:r>
      <w:r>
        <w:t xml:space="preserve"> </w:t>
      </w:r>
      <w:r>
        <w:rPr>
          <w:spacing w:val="8"/>
        </w:rPr>
        <w:t>事务所、检验检测机构等专业机构的监督作用，在监管</w:t>
      </w:r>
      <w:r>
        <w:rPr>
          <w:spacing w:val="7"/>
        </w:rPr>
        <w:t>执法中更</w:t>
      </w:r>
      <w:r>
        <w:t xml:space="preserve"> </w:t>
      </w:r>
      <w:r>
        <w:rPr>
          <w:spacing w:val="8"/>
        </w:rPr>
        <w:t>多参考专业意见。强化舆论监督，加强与主流媒体合作，主动公</w:t>
      </w:r>
      <w:r>
        <w:t xml:space="preserve"> </w:t>
      </w:r>
      <w:r>
        <w:rPr>
          <w:spacing w:val="8"/>
        </w:rPr>
        <w:t>开市场监管相关信息，回应社会关切，适时发布典型案件</w:t>
      </w:r>
      <w:r>
        <w:rPr>
          <w:spacing w:val="7"/>
        </w:rPr>
        <w:t>，震慑</w:t>
      </w:r>
      <w:r>
        <w:t xml:space="preserve"> </w:t>
      </w:r>
      <w:r>
        <w:rPr>
          <w:spacing w:val="16"/>
        </w:rPr>
        <w:t>违法犯罪行为。</w:t>
      </w:r>
    </w:p>
    <w:p w14:paraId="38460C7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583E6132">
      <w:pPr>
        <w:keepNext w:val="0"/>
        <w:keepLines w:val="0"/>
        <w:pageBreakBefore w:val="0"/>
        <w:widowControl/>
        <w:kinsoku w:val="0"/>
        <w:wordWrap/>
        <w:overflowPunct/>
        <w:topLinePunct w:val="0"/>
        <w:autoSpaceDE w:val="0"/>
        <w:autoSpaceDN w:val="0"/>
        <w:bidi w:val="0"/>
        <w:adjustRightInd w:val="0"/>
        <w:snapToGrid w:val="0"/>
        <w:spacing w:line="560" w:lineRule="exact"/>
        <w:ind w:left="1843"/>
        <w:textAlignment w:val="baseline"/>
        <w:outlineLvl w:val="1"/>
        <w:rPr>
          <w:rFonts w:ascii="Times New Roman" w:hAnsi="Times New Roman" w:eastAsia="Times New Roman" w:cs="Times New Roman"/>
          <w:sz w:val="31"/>
          <w:szCs w:val="31"/>
        </w:rPr>
      </w:pPr>
      <w:r>
        <w:rPr>
          <w:rFonts w:ascii="KaiTi_GB2312" w:hAnsi="KaiTi_GB2312" w:eastAsia="KaiTi_GB2312" w:cs="KaiTi_GB2312"/>
          <w:b/>
          <w:bCs/>
          <w:spacing w:val="10"/>
          <w:sz w:val="31"/>
          <w:szCs w:val="31"/>
        </w:rPr>
        <w:t>第三节</w:t>
      </w:r>
      <w:r>
        <w:rPr>
          <w:rFonts w:ascii="KaiTi_GB2312" w:hAnsi="KaiTi_GB2312" w:eastAsia="KaiTi_GB2312" w:cs="KaiTi_GB2312"/>
          <w:spacing w:val="10"/>
          <w:sz w:val="31"/>
          <w:szCs w:val="31"/>
        </w:rPr>
        <w:t xml:space="preserve">  </w:t>
      </w:r>
      <w:r>
        <w:rPr>
          <w:rFonts w:ascii="KaiTi_GB2312" w:hAnsi="KaiTi_GB2312" w:eastAsia="KaiTi_GB2312" w:cs="KaiTi_GB2312"/>
          <w:b/>
          <w:bCs/>
          <w:spacing w:val="10"/>
          <w:sz w:val="31"/>
          <w:szCs w:val="31"/>
        </w:rPr>
        <w:t>推进</w:t>
      </w:r>
      <w:r>
        <w:rPr>
          <w:rFonts w:ascii="Times New Roman" w:hAnsi="Times New Roman" w:eastAsia="Times New Roman" w:cs="Times New Roman"/>
          <w:b/>
          <w:bCs/>
          <w:spacing w:val="10"/>
          <w:sz w:val="31"/>
          <w:szCs w:val="31"/>
        </w:rPr>
        <w:t>“</w:t>
      </w:r>
      <w:r>
        <w:rPr>
          <w:rFonts w:ascii="KaiTi_GB2312" w:hAnsi="KaiTi_GB2312" w:eastAsia="KaiTi_GB2312" w:cs="KaiTi_GB2312"/>
          <w:b/>
          <w:bCs/>
          <w:spacing w:val="10"/>
          <w:sz w:val="31"/>
          <w:szCs w:val="31"/>
        </w:rPr>
        <w:t>互联网</w:t>
      </w:r>
      <w:r>
        <w:rPr>
          <w:rFonts w:ascii="Times New Roman" w:hAnsi="Times New Roman" w:eastAsia="Times New Roman" w:cs="Times New Roman"/>
          <w:b/>
          <w:bCs/>
          <w:spacing w:val="10"/>
          <w:sz w:val="31"/>
          <w:szCs w:val="31"/>
        </w:rPr>
        <w:t>+</w:t>
      </w:r>
      <w:r>
        <w:rPr>
          <w:rFonts w:ascii="KaiTi_GB2312" w:hAnsi="KaiTi_GB2312" w:eastAsia="KaiTi_GB2312" w:cs="KaiTi_GB2312"/>
          <w:b/>
          <w:bCs/>
          <w:spacing w:val="10"/>
          <w:sz w:val="31"/>
          <w:szCs w:val="31"/>
        </w:rPr>
        <w:t>智慧市场监管</w:t>
      </w:r>
      <w:r>
        <w:rPr>
          <w:rFonts w:ascii="Times New Roman" w:hAnsi="Times New Roman" w:eastAsia="Times New Roman" w:cs="Times New Roman"/>
          <w:b/>
          <w:bCs/>
          <w:spacing w:val="10"/>
          <w:sz w:val="31"/>
          <w:szCs w:val="31"/>
        </w:rPr>
        <w:t>”</w:t>
      </w:r>
    </w:p>
    <w:p w14:paraId="32E5117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63" w:firstLine="648"/>
        <w:jc w:val="both"/>
        <w:textAlignment w:val="baseline"/>
      </w:pPr>
      <w:r>
        <w:rPr>
          <w:b/>
          <w:bCs/>
          <w:spacing w:val="3"/>
        </w:rPr>
        <w:t>构建智慧市场监管信息化体系。</w:t>
      </w:r>
      <w:r>
        <w:rPr>
          <w:spacing w:val="3"/>
        </w:rPr>
        <w:t>着眼构建市场监管信息化融</w:t>
      </w:r>
      <w:r>
        <w:rPr>
          <w:spacing w:val="8"/>
        </w:rPr>
        <w:t xml:space="preserve"> </w:t>
      </w:r>
      <w:r>
        <w:rPr>
          <w:spacing w:val="5"/>
        </w:rPr>
        <w:t>合创新发展格局，推动市场监管领域条块信息化系统及数据的融</w:t>
      </w:r>
      <w:r>
        <w:rPr>
          <w:spacing w:val="17"/>
        </w:rPr>
        <w:t xml:space="preserve"> </w:t>
      </w:r>
      <w:r>
        <w:rPr>
          <w:spacing w:val="5"/>
        </w:rPr>
        <w:t>合与创新应用，在总局和省、市局工作部署下，完善统一的一体</w:t>
      </w:r>
      <w:r>
        <w:rPr>
          <w:spacing w:val="17"/>
        </w:rPr>
        <w:t xml:space="preserve"> </w:t>
      </w:r>
      <w:r>
        <w:rPr>
          <w:spacing w:val="5"/>
        </w:rPr>
        <w:t>化、智能化市场监管信息化体系。根据省局和市政务服务数据管</w:t>
      </w:r>
      <w:r>
        <w:rPr>
          <w:spacing w:val="17"/>
        </w:rPr>
        <w:t xml:space="preserve"> </w:t>
      </w:r>
      <w:r>
        <w:rPr>
          <w:spacing w:val="6"/>
        </w:rPr>
        <w:t>理局的规划和工作部署，加强跨地区、跨部门</w:t>
      </w:r>
      <w:r>
        <w:rPr>
          <w:spacing w:val="5"/>
        </w:rPr>
        <w:t>、跨层级的业务协</w:t>
      </w:r>
      <w:r>
        <w:t xml:space="preserve"> </w:t>
      </w:r>
      <w:r>
        <w:rPr>
          <w:spacing w:val="-3"/>
        </w:rPr>
        <w:t>调和信息共享，助力构建市、县（区）上下联动的信息资源通路，</w:t>
      </w:r>
      <w:r>
        <w:rPr>
          <w:spacing w:val="18"/>
        </w:rPr>
        <w:t xml:space="preserve"> </w:t>
      </w:r>
      <w:r>
        <w:rPr>
          <w:spacing w:val="6"/>
        </w:rPr>
        <w:t>实现信息资源的共享与交互。坚持安全与建设</w:t>
      </w:r>
      <w:r>
        <w:rPr>
          <w:spacing w:val="5"/>
        </w:rPr>
        <w:t>同步推进，健全安</w:t>
      </w:r>
      <w:r>
        <w:t xml:space="preserve"> </w:t>
      </w:r>
      <w:r>
        <w:rPr>
          <w:spacing w:val="6"/>
        </w:rPr>
        <w:t>全防御和风险预警机制，强化数据保护，确保</w:t>
      </w:r>
      <w:r>
        <w:rPr>
          <w:spacing w:val="5"/>
        </w:rPr>
        <w:t>重要网络设施、关</w:t>
      </w:r>
      <w:r>
        <w:t xml:space="preserve"> </w:t>
      </w:r>
      <w:r>
        <w:rPr>
          <w:spacing w:val="9"/>
        </w:rPr>
        <w:t>键信息系统和核心信息资源安全可控。</w:t>
      </w:r>
    </w:p>
    <w:p w14:paraId="0F3BEA0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69" w:right="79" w:firstLine="645"/>
        <w:jc w:val="both"/>
        <w:textAlignment w:val="baseline"/>
      </w:pPr>
      <w:r>
        <w:rPr>
          <w:b/>
          <w:bCs/>
          <w:spacing w:val="3"/>
        </w:rPr>
        <w:t>拓展智慧市场监管应用。</w:t>
      </w:r>
      <w:r>
        <w:rPr>
          <w:spacing w:val="3"/>
        </w:rPr>
        <w:t>按照省、市局统一规划和部署，探</w:t>
      </w:r>
      <w:r>
        <w:rPr>
          <w:spacing w:val="16"/>
        </w:rPr>
        <w:t xml:space="preserve"> </w:t>
      </w:r>
      <w:r>
        <w:rPr>
          <w:spacing w:val="5"/>
        </w:rPr>
        <w:t>索推进运用互联网、大数据、人工智能、区块链等新技术推动市</w:t>
      </w:r>
      <w:r>
        <w:rPr>
          <w:spacing w:val="13"/>
        </w:rPr>
        <w:t xml:space="preserve"> </w:t>
      </w:r>
      <w:r>
        <w:rPr>
          <w:spacing w:val="5"/>
        </w:rPr>
        <w:t>场各领域、各业务监管智能化、智慧化，推行以远程监管、移动</w:t>
      </w:r>
      <w:r>
        <w:rPr>
          <w:spacing w:val="11"/>
        </w:rPr>
        <w:t xml:space="preserve"> </w:t>
      </w:r>
      <w:r>
        <w:rPr>
          <w:spacing w:val="5"/>
        </w:rPr>
        <w:t>监管、预警防控为特征的非现场监管，不断探索创新电子信息监</w:t>
      </w:r>
      <w:r>
        <w:rPr>
          <w:spacing w:val="11"/>
        </w:rPr>
        <w:t xml:space="preserve"> </w:t>
      </w:r>
      <w:r>
        <w:rPr>
          <w:spacing w:val="5"/>
        </w:rPr>
        <w:t>管新技术。积极推动“粤省事”“粤商通”等粤系列平台在市场</w:t>
      </w:r>
      <w:r>
        <w:rPr>
          <w:spacing w:val="13"/>
        </w:rPr>
        <w:t xml:space="preserve"> </w:t>
      </w:r>
      <w:r>
        <w:rPr>
          <w:spacing w:val="5"/>
        </w:rPr>
        <w:t>监管领域的应用。按照省、市局统一规划和部署，探索推进建设</w:t>
      </w:r>
    </w:p>
    <w:p w14:paraId="603A8B1C">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sectPr>
          <w:footerReference r:id="rId23" w:type="default"/>
          <w:pgSz w:w="11906" w:h="16839"/>
          <w:pgMar w:top="1431" w:right="1391" w:bottom="1784" w:left="1528" w:header="0" w:footer="1421" w:gutter="0"/>
          <w:cols w:space="720" w:num="1"/>
        </w:sectPr>
      </w:pPr>
    </w:p>
    <w:p w14:paraId="4928E90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7" w:firstLine="21"/>
        <w:jc w:val="both"/>
        <w:textAlignment w:val="baseline"/>
      </w:pPr>
      <w:r>
        <w:rPr>
          <w:spacing w:val="2"/>
        </w:rPr>
        <w:t>“互联网+明厨亮灶”、深化电子商务行为监测、产品质量监管、</w:t>
      </w:r>
      <w:r>
        <w:rPr>
          <w:spacing w:val="9"/>
        </w:rPr>
        <w:t xml:space="preserve"> </w:t>
      </w:r>
      <w:r>
        <w:rPr>
          <w:spacing w:val="5"/>
        </w:rPr>
        <w:t>特种设备监管等市场监管信息化系统应用，推进一体化监管。建</w:t>
      </w:r>
      <w:r>
        <w:rPr>
          <w:spacing w:val="8"/>
        </w:rPr>
        <w:t xml:space="preserve"> </w:t>
      </w:r>
      <w:r>
        <w:rPr>
          <w:spacing w:val="5"/>
        </w:rPr>
        <w:t>立食品药品等重要产品、商品追溯体系，形成来源可查、去向可</w:t>
      </w:r>
      <w:r>
        <w:rPr>
          <w:spacing w:val="8"/>
        </w:rPr>
        <w:t xml:space="preserve"> </w:t>
      </w:r>
      <w:r>
        <w:rPr>
          <w:spacing w:val="11"/>
        </w:rPr>
        <w:t>追、责任可究的信息链条，实现全链条监管。探</w:t>
      </w:r>
      <w:r>
        <w:rPr>
          <w:spacing w:val="10"/>
        </w:rPr>
        <w:t>索“互联网+质</w:t>
      </w:r>
      <w:r>
        <w:t xml:space="preserve"> </w:t>
      </w:r>
      <w:r>
        <w:rPr>
          <w:spacing w:val="5"/>
        </w:rPr>
        <w:t>量基础设施”建设，进一步提升公共技术服务平台的信息化、智</w:t>
      </w:r>
      <w:r>
        <w:rPr>
          <w:spacing w:val="8"/>
        </w:rPr>
        <w:t xml:space="preserve"> </w:t>
      </w:r>
      <w:r>
        <w:rPr>
          <w:spacing w:val="4"/>
        </w:rPr>
        <w:t>能化水平。</w:t>
      </w:r>
    </w:p>
    <w:p w14:paraId="1E819C3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5417BC02">
      <w:pPr>
        <w:keepNext w:val="0"/>
        <w:keepLines w:val="0"/>
        <w:pageBreakBefore w:val="0"/>
        <w:widowControl/>
        <w:kinsoku w:val="0"/>
        <w:wordWrap/>
        <w:overflowPunct/>
        <w:topLinePunct w:val="0"/>
        <w:autoSpaceDE w:val="0"/>
        <w:autoSpaceDN w:val="0"/>
        <w:bidi w:val="0"/>
        <w:adjustRightInd w:val="0"/>
        <w:snapToGrid w:val="0"/>
        <w:spacing w:line="560" w:lineRule="exact"/>
        <w:ind w:left="501"/>
        <w:textAlignment w:val="baseline"/>
        <w:outlineLvl w:val="0"/>
        <w:rPr>
          <w:rFonts w:ascii="黑体" w:hAnsi="黑体" w:eastAsia="黑体" w:cs="黑体"/>
          <w:sz w:val="31"/>
          <w:szCs w:val="31"/>
        </w:rPr>
      </w:pPr>
      <w:r>
        <w:rPr>
          <w:rFonts w:ascii="黑体" w:hAnsi="黑体" w:eastAsia="黑体" w:cs="黑体"/>
          <w:spacing w:val="9"/>
          <w:sz w:val="31"/>
          <w:szCs w:val="31"/>
        </w:rPr>
        <w:t>第九章 优化市场监管支撑体系，增强市场监管保障</w:t>
      </w:r>
      <w:r>
        <w:rPr>
          <w:rFonts w:ascii="黑体" w:hAnsi="黑体" w:eastAsia="黑体" w:cs="黑体"/>
          <w:spacing w:val="8"/>
          <w:sz w:val="31"/>
          <w:szCs w:val="31"/>
        </w:rPr>
        <w:t>能力</w:t>
      </w:r>
    </w:p>
    <w:p w14:paraId="66637C8D">
      <w:pPr>
        <w:keepNext w:val="0"/>
        <w:keepLines w:val="0"/>
        <w:pageBreakBefore w:val="0"/>
        <w:widowControl/>
        <w:kinsoku w:val="0"/>
        <w:wordWrap/>
        <w:overflowPunct/>
        <w:topLinePunct w:val="0"/>
        <w:autoSpaceDE w:val="0"/>
        <w:autoSpaceDN w:val="0"/>
        <w:bidi w:val="0"/>
        <w:adjustRightInd w:val="0"/>
        <w:snapToGrid w:val="0"/>
        <w:spacing w:line="560" w:lineRule="exact"/>
        <w:ind w:left="1867"/>
        <w:textAlignment w:val="baseline"/>
        <w:outlineLvl w:val="1"/>
        <w:rPr>
          <w:rFonts w:ascii="KaiTi_GB2312" w:hAnsi="KaiTi_GB2312" w:eastAsia="KaiTi_GB2312" w:cs="KaiTi_GB2312"/>
          <w:sz w:val="31"/>
          <w:szCs w:val="31"/>
        </w:rPr>
      </w:pPr>
      <w:r>
        <w:rPr>
          <w:rFonts w:ascii="KaiTi_GB2312" w:hAnsi="KaiTi_GB2312" w:eastAsia="KaiTi_GB2312" w:cs="KaiTi_GB2312"/>
          <w:b/>
          <w:bCs/>
          <w:spacing w:val="6"/>
          <w:sz w:val="31"/>
          <w:szCs w:val="31"/>
        </w:rPr>
        <w:t>第一节</w:t>
      </w:r>
      <w:r>
        <w:rPr>
          <w:rFonts w:ascii="KaiTi_GB2312" w:hAnsi="KaiTi_GB2312" w:eastAsia="KaiTi_GB2312" w:cs="KaiTi_GB2312"/>
          <w:spacing w:val="6"/>
          <w:sz w:val="31"/>
          <w:szCs w:val="31"/>
        </w:rPr>
        <w:t xml:space="preserve">  </w:t>
      </w:r>
      <w:r>
        <w:rPr>
          <w:rFonts w:ascii="KaiTi_GB2312" w:hAnsi="KaiTi_GB2312" w:eastAsia="KaiTi_GB2312" w:cs="KaiTi_GB2312"/>
          <w:b/>
          <w:bCs/>
          <w:spacing w:val="6"/>
          <w:sz w:val="31"/>
          <w:szCs w:val="31"/>
        </w:rPr>
        <w:t>加强市场监管法治体系建设</w:t>
      </w:r>
    </w:p>
    <w:p w14:paraId="36D6BA1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3" w:right="6" w:firstLine="640"/>
        <w:jc w:val="both"/>
        <w:textAlignment w:val="baseline"/>
      </w:pPr>
      <w:r>
        <w:rPr>
          <w:b/>
          <w:bCs/>
          <w:spacing w:val="3"/>
        </w:rPr>
        <w:t>构建完备的市场监管规范性文件体系。</w:t>
      </w:r>
      <w:r>
        <w:rPr>
          <w:spacing w:val="3"/>
        </w:rPr>
        <w:t>认真贯彻落实《法治</w:t>
      </w:r>
      <w:r>
        <w:rPr>
          <w:spacing w:val="1"/>
        </w:rPr>
        <w:t xml:space="preserve"> </w:t>
      </w:r>
      <w:r>
        <w:rPr>
          <w:spacing w:val="3"/>
        </w:rPr>
        <w:t>中国建设规划（2020-2025年）》的</w:t>
      </w:r>
      <w:r>
        <w:rPr>
          <w:spacing w:val="2"/>
        </w:rPr>
        <w:t>精神，适应高质量发展要求。</w:t>
      </w:r>
      <w:r>
        <w:t xml:space="preserve"> </w:t>
      </w:r>
      <w:r>
        <w:rPr>
          <w:spacing w:val="5"/>
        </w:rPr>
        <w:t>加强规范性文件管理，严格文件制定程序，健全清理评估工作机</w:t>
      </w:r>
      <w:r>
        <w:rPr>
          <w:spacing w:val="12"/>
        </w:rPr>
        <w:t xml:space="preserve"> </w:t>
      </w:r>
      <w:r>
        <w:rPr>
          <w:spacing w:val="5"/>
        </w:rPr>
        <w:t>制。全面推进行政决策法治化，完善重大行政决策目录管理制度</w:t>
      </w:r>
      <w:r>
        <w:rPr>
          <w:spacing w:val="12"/>
        </w:rPr>
        <w:t xml:space="preserve"> </w:t>
      </w:r>
      <w:r>
        <w:rPr>
          <w:spacing w:val="8"/>
        </w:rPr>
        <w:t>和公示制度，健全风险评估制度。</w:t>
      </w:r>
    </w:p>
    <w:p w14:paraId="677E77D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3" w:right="92" w:firstLine="640"/>
        <w:jc w:val="both"/>
        <w:textAlignment w:val="baseline"/>
      </w:pPr>
      <w:r>
        <w:rPr>
          <w:b/>
          <w:bCs/>
          <w:spacing w:val="3"/>
        </w:rPr>
        <w:t>构建高效的市场监管法治实施体系。</w:t>
      </w:r>
      <w:r>
        <w:rPr>
          <w:spacing w:val="3"/>
        </w:rPr>
        <w:t>完善市场监管权责清单</w:t>
      </w:r>
      <w:r>
        <w:rPr>
          <w:spacing w:val="4"/>
        </w:rPr>
        <w:t xml:space="preserve"> </w:t>
      </w:r>
      <w:r>
        <w:rPr>
          <w:spacing w:val="5"/>
        </w:rPr>
        <w:t>制度，实施动态管理，2023年前形成职责明确、边界清晰的市场</w:t>
      </w:r>
      <w:r>
        <w:rPr>
          <w:spacing w:val="2"/>
        </w:rPr>
        <w:t xml:space="preserve"> </w:t>
      </w:r>
      <w:r>
        <w:rPr>
          <w:spacing w:val="5"/>
        </w:rPr>
        <w:t>监管权责清单。严格规范公正文明执法，全面推行行政执法公示</w:t>
      </w:r>
      <w:r>
        <w:rPr>
          <w:spacing w:val="10"/>
        </w:rPr>
        <w:t xml:space="preserve"> </w:t>
      </w:r>
      <w:r>
        <w:rPr>
          <w:spacing w:val="5"/>
        </w:rPr>
        <w:t>制度，应当依法公开的执法信息100%及时主动公开。严格落实执</w:t>
      </w:r>
      <w:r>
        <w:rPr>
          <w:spacing w:val="2"/>
        </w:rPr>
        <w:t xml:space="preserve"> </w:t>
      </w:r>
      <w:r>
        <w:rPr>
          <w:spacing w:val="5"/>
        </w:rPr>
        <w:t>法全过程记录制度，试点重点执法事项全环节音像记录。严格执</w:t>
      </w:r>
      <w:r>
        <w:rPr>
          <w:spacing w:val="12"/>
        </w:rPr>
        <w:t xml:space="preserve"> </w:t>
      </w:r>
      <w:r>
        <w:rPr>
          <w:spacing w:val="5"/>
        </w:rPr>
        <w:t>行重大行政执法决定法制审核制度，确保重大行政执法决定法制</w:t>
      </w:r>
      <w:r>
        <w:rPr>
          <w:spacing w:val="12"/>
        </w:rPr>
        <w:t xml:space="preserve"> </w:t>
      </w:r>
      <w:r>
        <w:rPr>
          <w:spacing w:val="4"/>
        </w:rPr>
        <w:t>审核率100%。</w:t>
      </w:r>
    </w:p>
    <w:p w14:paraId="073E066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26" w:right="92" w:firstLine="618"/>
        <w:textAlignment w:val="baseline"/>
      </w:pPr>
      <w:r>
        <w:rPr>
          <w:b/>
          <w:bCs/>
          <w:spacing w:val="3"/>
        </w:rPr>
        <w:t>构建严密的市场监管法治监督体系。</w:t>
      </w:r>
      <w:r>
        <w:rPr>
          <w:spacing w:val="3"/>
        </w:rPr>
        <w:t>依托广东省行政执法信</w:t>
      </w:r>
      <w:r>
        <w:rPr>
          <w:spacing w:val="4"/>
        </w:rPr>
        <w:t xml:space="preserve"> 息平台、广东省行政执法监督网络平台，完善市场监管执法监督</w:t>
      </w:r>
    </w:p>
    <w:p w14:paraId="76FEB93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sectPr>
          <w:footerReference r:id="rId24" w:type="default"/>
          <w:pgSz w:w="11906" w:h="16839"/>
          <w:pgMar w:top="1431" w:right="1378" w:bottom="1784" w:left="1595" w:header="0" w:footer="1421" w:gutter="0"/>
          <w:cols w:space="720" w:num="1"/>
        </w:sectPr>
      </w:pPr>
    </w:p>
    <w:p w14:paraId="5BC118D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2" w:right="32" w:hanging="12"/>
        <w:jc w:val="both"/>
        <w:textAlignment w:val="baseline"/>
      </w:pPr>
      <w:r>
        <w:rPr>
          <w:spacing w:val="5"/>
        </w:rPr>
        <w:t>机制。坚持监督执法与促进执法相结合，开展专项执法检查和执</w:t>
      </w:r>
      <w:r>
        <w:rPr>
          <w:spacing w:val="12"/>
        </w:rPr>
        <w:t xml:space="preserve"> </w:t>
      </w:r>
      <w:r>
        <w:rPr>
          <w:spacing w:val="5"/>
        </w:rPr>
        <w:t>法案卷评查，推动落实负责人约谈制度，贯彻实施败诉行政案件</w:t>
      </w:r>
      <w:r>
        <w:t xml:space="preserve"> </w:t>
      </w:r>
      <w:r>
        <w:rPr>
          <w:spacing w:val="5"/>
        </w:rPr>
        <w:t>报告制度及行政机关负责人出庭应诉年度报告制度。健全和完善</w:t>
      </w:r>
      <w:r>
        <w:t xml:space="preserve"> </w:t>
      </w:r>
      <w:r>
        <w:rPr>
          <w:spacing w:val="15"/>
        </w:rPr>
        <w:t>以责任追究为手段、</w:t>
      </w:r>
      <w:r>
        <w:rPr>
          <w:spacing w:val="-78"/>
        </w:rPr>
        <w:t xml:space="preserve"> </w:t>
      </w:r>
      <w:r>
        <w:rPr>
          <w:spacing w:val="15"/>
        </w:rPr>
        <w:t>以尽职免责为补充的行政执法责任制度，</w:t>
      </w:r>
      <w:r>
        <w:t xml:space="preserve"> </w:t>
      </w:r>
      <w:r>
        <w:rPr>
          <w:spacing w:val="-5"/>
        </w:rPr>
        <w:t>2025年底前，推行建立并执行行政执法尽职免责和容错纠错制度。</w:t>
      </w:r>
    </w:p>
    <w:p w14:paraId="306D98E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6" w:right="59" w:firstLine="636"/>
        <w:jc w:val="both"/>
        <w:textAlignment w:val="baseline"/>
      </w:pPr>
      <w:r>
        <w:rPr>
          <w:b/>
          <w:bCs/>
          <w:spacing w:val="3"/>
        </w:rPr>
        <w:t>构建有力的市场监管法治保障体系。</w:t>
      </w:r>
      <w:r>
        <w:rPr>
          <w:spacing w:val="3"/>
        </w:rPr>
        <w:t>加强法治宣传教育，全</w:t>
      </w:r>
      <w:r>
        <w:rPr>
          <w:spacing w:val="4"/>
        </w:rPr>
        <w:t xml:space="preserve"> </w:t>
      </w:r>
      <w:r>
        <w:rPr>
          <w:spacing w:val="5"/>
        </w:rPr>
        <w:t>面落实“谁执法谁普法”责任制，发布普法责任清单，建立典型</w:t>
      </w:r>
      <w:r>
        <w:rPr>
          <w:spacing w:val="6"/>
        </w:rPr>
        <w:t xml:space="preserve"> </w:t>
      </w:r>
      <w:r>
        <w:rPr>
          <w:spacing w:val="5"/>
        </w:rPr>
        <w:t>案例定期发布工作机制，发布执法警示，将普法融入监管执法全</w:t>
      </w:r>
      <w:r>
        <w:rPr>
          <w:spacing w:val="6"/>
        </w:rPr>
        <w:t xml:space="preserve"> </w:t>
      </w:r>
      <w:r>
        <w:rPr>
          <w:spacing w:val="5"/>
        </w:rPr>
        <w:t>过程、各环节，营造良好的法治环境。建设高素质法治队伍，落</w:t>
      </w:r>
      <w:r>
        <w:rPr>
          <w:spacing w:val="8"/>
        </w:rPr>
        <w:t xml:space="preserve"> </w:t>
      </w:r>
      <w:r>
        <w:rPr>
          <w:spacing w:val="5"/>
        </w:rPr>
        <w:t>实学法用法制度，发挥领导干部带头尊法学法守法用法的示范带</w:t>
      </w:r>
      <w:r>
        <w:rPr>
          <w:spacing w:val="6"/>
        </w:rPr>
        <w:t xml:space="preserve"> </w:t>
      </w:r>
      <w:r>
        <w:rPr>
          <w:spacing w:val="5"/>
        </w:rPr>
        <w:t>动作用，严格实行执法人员持证上岗和资格管理制度，加强法治</w:t>
      </w:r>
      <w:r>
        <w:rPr>
          <w:spacing w:val="6"/>
        </w:rPr>
        <w:t xml:space="preserve"> </w:t>
      </w:r>
      <w:r>
        <w:rPr>
          <w:spacing w:val="8"/>
        </w:rPr>
        <w:t>培训，强化岗位精准普法，执法人员每年学法不少于40学时。</w:t>
      </w:r>
    </w:p>
    <w:p w14:paraId="214DE96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348CA50D">
      <w:pPr>
        <w:keepNext w:val="0"/>
        <w:keepLines w:val="0"/>
        <w:pageBreakBefore w:val="0"/>
        <w:widowControl/>
        <w:kinsoku w:val="0"/>
        <w:wordWrap/>
        <w:overflowPunct/>
        <w:topLinePunct w:val="0"/>
        <w:autoSpaceDE w:val="0"/>
        <w:autoSpaceDN w:val="0"/>
        <w:bidi w:val="0"/>
        <w:adjustRightInd w:val="0"/>
        <w:snapToGrid w:val="0"/>
        <w:spacing w:line="560" w:lineRule="exact"/>
        <w:ind w:left="1866"/>
        <w:textAlignment w:val="baseline"/>
        <w:outlineLvl w:val="1"/>
        <w:rPr>
          <w:rFonts w:ascii="KaiTi_GB2312" w:hAnsi="KaiTi_GB2312" w:eastAsia="KaiTi_GB2312" w:cs="KaiTi_GB2312"/>
          <w:sz w:val="31"/>
          <w:szCs w:val="31"/>
        </w:rPr>
      </w:pPr>
      <w:r>
        <w:rPr>
          <w:rFonts w:ascii="KaiTi_GB2312" w:hAnsi="KaiTi_GB2312" w:eastAsia="KaiTi_GB2312" w:cs="KaiTi_GB2312"/>
          <w:b/>
          <w:bCs/>
          <w:spacing w:val="6"/>
          <w:sz w:val="31"/>
          <w:szCs w:val="31"/>
        </w:rPr>
        <w:t>第二节</w:t>
      </w:r>
      <w:r>
        <w:rPr>
          <w:rFonts w:ascii="KaiTi_GB2312" w:hAnsi="KaiTi_GB2312" w:eastAsia="KaiTi_GB2312" w:cs="KaiTi_GB2312"/>
          <w:spacing w:val="6"/>
          <w:sz w:val="31"/>
          <w:szCs w:val="31"/>
        </w:rPr>
        <w:t xml:space="preserve">  </w:t>
      </w:r>
      <w:r>
        <w:rPr>
          <w:rFonts w:ascii="KaiTi_GB2312" w:hAnsi="KaiTi_GB2312" w:eastAsia="KaiTi_GB2312" w:cs="KaiTi_GB2312"/>
          <w:b/>
          <w:bCs/>
          <w:spacing w:val="6"/>
          <w:sz w:val="31"/>
          <w:szCs w:val="31"/>
        </w:rPr>
        <w:t>深化市场监管综合执法改革</w:t>
      </w:r>
    </w:p>
    <w:p w14:paraId="5C4D60A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2" w:right="25" w:firstLine="630"/>
        <w:jc w:val="both"/>
        <w:textAlignment w:val="baseline"/>
      </w:pPr>
      <w:r>
        <w:rPr>
          <w:b/>
          <w:bCs/>
          <w:spacing w:val="4"/>
        </w:rPr>
        <w:t>健全综合行政执法体制。</w:t>
      </w:r>
      <w:r>
        <w:rPr>
          <w:spacing w:val="4"/>
        </w:rPr>
        <w:t>建立优化协同高效的市场监管行政</w:t>
      </w:r>
      <w:r>
        <w:rPr>
          <w:spacing w:val="1"/>
        </w:rPr>
        <w:t xml:space="preserve"> </w:t>
      </w:r>
      <w:r>
        <w:rPr>
          <w:spacing w:val="5"/>
        </w:rPr>
        <w:t>执法体制，合理设置综合执法机构。明晰各级市场监管机构综合</w:t>
      </w:r>
      <w:r>
        <w:rPr>
          <w:spacing w:val="12"/>
        </w:rPr>
        <w:t xml:space="preserve"> </w:t>
      </w:r>
      <w:r>
        <w:rPr>
          <w:spacing w:val="5"/>
        </w:rPr>
        <w:t>行政执法职责事权，明确责任清单。深化市场监管综合行政执法</w:t>
      </w:r>
      <w:r>
        <w:rPr>
          <w:spacing w:val="12"/>
        </w:rPr>
        <w:t xml:space="preserve"> </w:t>
      </w:r>
      <w:r>
        <w:rPr>
          <w:spacing w:val="5"/>
        </w:rPr>
        <w:t>改革，统筹配置行政处罚职能和执法资源，推进行政执法权限和</w:t>
      </w:r>
      <w:r>
        <w:rPr>
          <w:spacing w:val="12"/>
        </w:rPr>
        <w:t xml:space="preserve"> </w:t>
      </w:r>
      <w:r>
        <w:rPr>
          <w:spacing w:val="7"/>
        </w:rPr>
        <w:t>力量向基层乡镇街道延伸下沉，逐步实现基层</w:t>
      </w:r>
      <w:r>
        <w:rPr>
          <w:spacing w:val="6"/>
        </w:rPr>
        <w:t>一支队伍管执法，</w:t>
      </w:r>
      <w:r>
        <w:t xml:space="preserve"> </w:t>
      </w:r>
      <w:r>
        <w:rPr>
          <w:spacing w:val="8"/>
        </w:rPr>
        <w:t>解决多头多层重复执法问题。</w:t>
      </w:r>
    </w:p>
    <w:p w14:paraId="68032DE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5" w:firstLine="650"/>
        <w:jc w:val="both"/>
        <w:textAlignment w:val="baseline"/>
        <w:sectPr>
          <w:footerReference r:id="rId25" w:type="default"/>
          <w:pgSz w:w="11906" w:h="16839"/>
          <w:pgMar w:top="1431" w:right="1411" w:bottom="1784" w:left="1596" w:header="0" w:footer="1421" w:gutter="0"/>
          <w:cols w:space="720" w:num="1"/>
        </w:sectPr>
      </w:pPr>
      <w:r>
        <w:rPr>
          <w:b/>
          <w:bCs/>
          <w:spacing w:val="5"/>
        </w:rPr>
        <w:t>完善综合行政执法机制。</w:t>
      </w:r>
      <w:r>
        <w:rPr>
          <w:spacing w:val="5"/>
        </w:rPr>
        <w:t>建立健全发展改革、教育、公安、</w:t>
      </w:r>
      <w:r>
        <w:rPr>
          <w:spacing w:val="14"/>
        </w:rPr>
        <w:t xml:space="preserve"> </w:t>
      </w:r>
      <w:r>
        <w:rPr>
          <w:spacing w:val="5"/>
        </w:rPr>
        <w:t>农业农村、商务、卫生健康、市场监管、海关等职能部门间执法</w:t>
      </w:r>
      <w:r>
        <w:rPr>
          <w:spacing w:val="7"/>
        </w:rPr>
        <w:t xml:space="preserve"> </w:t>
      </w:r>
      <w:r>
        <w:rPr>
          <w:spacing w:val="5"/>
        </w:rPr>
        <w:t>协作工作机制，实现监管标准互通、违法线索互享、处理结果互</w:t>
      </w:r>
      <w:r>
        <w:rPr>
          <w:spacing w:val="7"/>
        </w:rPr>
        <w:t xml:space="preserve"> </w:t>
      </w:r>
      <w:r>
        <w:rPr>
          <w:spacing w:val="5"/>
        </w:rPr>
        <w:t>认。加强质量、知识产权、消费者权益保护、市场安全等领域执</w:t>
      </w:r>
    </w:p>
    <w:p w14:paraId="4A27547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51"/>
        <w:jc w:val="both"/>
        <w:textAlignment w:val="baseline"/>
      </w:pPr>
      <w:r>
        <w:rPr>
          <w:spacing w:val="5"/>
        </w:rPr>
        <w:t>法衔接和协调配合，推进跨区域、全链条执法深入开展。健全完</w:t>
      </w:r>
      <w:r>
        <w:rPr>
          <w:spacing w:val="1"/>
        </w:rPr>
        <w:t xml:space="preserve"> </w:t>
      </w:r>
      <w:r>
        <w:rPr>
          <w:spacing w:val="5"/>
        </w:rPr>
        <w:t>善市场监管行政执法和刑事司法衔接工作机制，强化行政部门与</w:t>
      </w:r>
      <w:r>
        <w:rPr>
          <w:spacing w:val="14"/>
        </w:rPr>
        <w:t xml:space="preserve"> </w:t>
      </w:r>
      <w:r>
        <w:rPr>
          <w:spacing w:val="5"/>
        </w:rPr>
        <w:t>公安、检察机关在信息交换、案情通报、案件移送、案件定性等</w:t>
      </w:r>
      <w:r>
        <w:rPr>
          <w:spacing w:val="11"/>
        </w:rPr>
        <w:t xml:space="preserve"> </w:t>
      </w:r>
      <w:r>
        <w:rPr>
          <w:spacing w:val="5"/>
        </w:rPr>
        <w:t>方面的会商协作。构建区域执法协作平台，推动食品、药品、文</w:t>
      </w:r>
      <w:r>
        <w:rPr>
          <w:spacing w:val="14"/>
        </w:rPr>
        <w:t xml:space="preserve"> </w:t>
      </w:r>
      <w:r>
        <w:rPr>
          <w:spacing w:val="4"/>
        </w:rPr>
        <w:t>化旅游、</w:t>
      </w:r>
      <w:r>
        <w:rPr>
          <w:spacing w:val="-70"/>
        </w:rPr>
        <w:t xml:space="preserve"> </w:t>
      </w:r>
      <w:r>
        <w:rPr>
          <w:spacing w:val="4"/>
        </w:rPr>
        <w:t>自然资源、生态环境等重点领域的执法协作机制建设。</w:t>
      </w:r>
    </w:p>
    <w:p w14:paraId="7FA44480">
      <w:pPr>
        <w:keepNext w:val="0"/>
        <w:keepLines w:val="0"/>
        <w:pageBreakBefore w:val="0"/>
        <w:widowControl/>
        <w:kinsoku w:val="0"/>
        <w:wordWrap/>
        <w:overflowPunct/>
        <w:topLinePunct w:val="0"/>
        <w:autoSpaceDE w:val="0"/>
        <w:autoSpaceDN w:val="0"/>
        <w:bidi w:val="0"/>
        <w:adjustRightInd w:val="0"/>
        <w:snapToGrid w:val="0"/>
        <w:spacing w:line="560" w:lineRule="exact"/>
        <w:ind w:left="1875"/>
        <w:textAlignment w:val="baseline"/>
        <w:outlineLvl w:val="1"/>
        <w:rPr>
          <w:rFonts w:ascii="KaiTi_GB2312" w:hAnsi="KaiTi_GB2312" w:eastAsia="KaiTi_GB2312" w:cs="KaiTi_GB2312"/>
          <w:sz w:val="31"/>
          <w:szCs w:val="31"/>
        </w:rPr>
      </w:pPr>
      <w:r>
        <w:rPr>
          <w:rFonts w:ascii="KaiTi_GB2312" w:hAnsi="KaiTi_GB2312" w:eastAsia="KaiTi_GB2312" w:cs="KaiTi_GB2312"/>
          <w:b/>
          <w:bCs/>
          <w:spacing w:val="6"/>
          <w:sz w:val="31"/>
          <w:szCs w:val="31"/>
        </w:rPr>
        <w:t>第三节</w:t>
      </w:r>
      <w:r>
        <w:rPr>
          <w:rFonts w:ascii="KaiTi_GB2312" w:hAnsi="KaiTi_GB2312" w:eastAsia="KaiTi_GB2312" w:cs="KaiTi_GB2312"/>
          <w:spacing w:val="6"/>
          <w:sz w:val="31"/>
          <w:szCs w:val="31"/>
        </w:rPr>
        <w:t xml:space="preserve">  </w:t>
      </w:r>
      <w:r>
        <w:rPr>
          <w:rFonts w:ascii="KaiTi_GB2312" w:hAnsi="KaiTi_GB2312" w:eastAsia="KaiTi_GB2312" w:cs="KaiTi_GB2312"/>
          <w:b/>
          <w:bCs/>
          <w:spacing w:val="6"/>
          <w:sz w:val="31"/>
          <w:szCs w:val="31"/>
        </w:rPr>
        <w:t>加强市场监管基层基础建设</w:t>
      </w:r>
    </w:p>
    <w:p w14:paraId="501AADF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8" w:right="13" w:firstLine="639"/>
        <w:textAlignment w:val="baseline"/>
      </w:pPr>
      <w:r>
        <w:rPr>
          <w:b/>
          <w:bCs/>
          <w:spacing w:val="7"/>
        </w:rPr>
        <w:t>加强市场监管人才队伍建设。</w:t>
      </w:r>
      <w:r>
        <w:rPr>
          <w:spacing w:val="7"/>
        </w:rPr>
        <w:t>创新市场监管</w:t>
      </w:r>
      <w:r>
        <w:rPr>
          <w:spacing w:val="6"/>
        </w:rPr>
        <w:t>人才培养模式，</w:t>
      </w:r>
      <w:r>
        <w:t xml:space="preserve"> </w:t>
      </w:r>
      <w:r>
        <w:rPr>
          <w:spacing w:val="5"/>
        </w:rPr>
        <w:t>完善人才培养机制，持续推进市场监管人才队伍规模扩大和层次</w:t>
      </w:r>
      <w:r>
        <w:rPr>
          <w:spacing w:val="13"/>
        </w:rPr>
        <w:t xml:space="preserve"> </w:t>
      </w:r>
      <w:r>
        <w:rPr>
          <w:spacing w:val="8"/>
        </w:rPr>
        <w:t>提升，不断提升市场监管治理能力和治理水平。坚持党管人才、</w:t>
      </w:r>
      <w:r>
        <w:rPr>
          <w:spacing w:val="14"/>
        </w:rPr>
        <w:t xml:space="preserve"> </w:t>
      </w:r>
      <w:r>
        <w:rPr>
          <w:spacing w:val="5"/>
        </w:rPr>
        <w:t>需求导向、以用为本、优化结构、统筹推进原则，健全完善市场</w:t>
      </w:r>
      <w:r>
        <w:rPr>
          <w:spacing w:val="16"/>
        </w:rPr>
        <w:t xml:space="preserve"> </w:t>
      </w:r>
      <w:r>
        <w:rPr>
          <w:spacing w:val="5"/>
        </w:rPr>
        <w:t>监管人才引进、教育培训、选人用人、考核评价、人才激励、服</w:t>
      </w:r>
      <w:r>
        <w:rPr>
          <w:spacing w:val="14"/>
        </w:rPr>
        <w:t xml:space="preserve"> </w:t>
      </w:r>
      <w:r>
        <w:rPr>
          <w:spacing w:val="-3"/>
        </w:rPr>
        <w:t>务保障等机制，不断深化人才供给侧结构性改革。突出工作重点，</w:t>
      </w:r>
      <w:r>
        <w:rPr>
          <w:spacing w:val="15"/>
        </w:rPr>
        <w:t xml:space="preserve"> </w:t>
      </w:r>
      <w:r>
        <w:rPr>
          <w:spacing w:val="12"/>
        </w:rPr>
        <w:t>加快推进市场监管行政管理、基层监管执法、</w:t>
      </w:r>
      <w:r>
        <w:rPr>
          <w:spacing w:val="-120"/>
        </w:rPr>
        <w:t xml:space="preserve"> </w:t>
      </w:r>
      <w:r>
        <w:rPr>
          <w:spacing w:val="12"/>
        </w:rPr>
        <w:t>“两品一械”</w:t>
      </w:r>
      <w:r>
        <w:fldChar w:fldCharType="begin"/>
      </w:r>
      <w:r>
        <w:instrText xml:space="preserve"> HYPERLINK \l "bookmark2" </w:instrText>
      </w:r>
      <w:r>
        <w:fldChar w:fldCharType="separate"/>
      </w:r>
      <w:r>
        <w:rPr>
          <w:spacing w:val="12"/>
          <w:position w:val="16"/>
          <w:sz w:val="16"/>
          <w:szCs w:val="16"/>
        </w:rPr>
        <w:t>2</w:t>
      </w:r>
      <w:r>
        <w:rPr>
          <w:spacing w:val="12"/>
          <w:position w:val="16"/>
          <w:sz w:val="16"/>
          <w:szCs w:val="16"/>
        </w:rPr>
        <w:fldChar w:fldCharType="end"/>
      </w:r>
      <w:r>
        <w:rPr>
          <w:spacing w:val="-38"/>
          <w:position w:val="16"/>
          <w:sz w:val="16"/>
          <w:szCs w:val="16"/>
        </w:rPr>
        <w:t xml:space="preserve"> </w:t>
      </w:r>
      <w:r>
        <w:rPr>
          <w:spacing w:val="12"/>
        </w:rPr>
        <w:t>、</w:t>
      </w:r>
      <w:r>
        <w:t xml:space="preserve"> </w:t>
      </w:r>
      <w:r>
        <w:rPr>
          <w:spacing w:val="5"/>
        </w:rPr>
        <w:t>检验检测认证专业技术、知识产权保护和服务人才队伍。强化人</w:t>
      </w:r>
      <w:r>
        <w:rPr>
          <w:spacing w:val="16"/>
        </w:rPr>
        <w:t xml:space="preserve"> </w:t>
      </w:r>
      <w:r>
        <w:rPr>
          <w:spacing w:val="8"/>
        </w:rPr>
        <w:t>才队伍教育培训，提升培训水平。</w:t>
      </w:r>
    </w:p>
    <w:p w14:paraId="34C2CD2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6" w:firstLine="641"/>
        <w:jc w:val="both"/>
        <w:textAlignment w:val="baseline"/>
      </w:pPr>
      <w:r>
        <w:rPr>
          <w:b/>
          <w:bCs/>
          <w:spacing w:val="-4"/>
        </w:rPr>
        <w:t>推进基层规范化建设。</w:t>
      </w:r>
      <w:r>
        <w:rPr>
          <w:spacing w:val="-4"/>
        </w:rPr>
        <w:t>加强基层监管所标准化、规范化</w:t>
      </w:r>
      <w:r>
        <w:rPr>
          <w:spacing w:val="-5"/>
        </w:rPr>
        <w:t>建设，</w:t>
      </w:r>
      <w:r>
        <w:t xml:space="preserve"> </w:t>
      </w:r>
      <w:r>
        <w:rPr>
          <w:spacing w:val="-2"/>
        </w:rPr>
        <w:t>不断夯实市场监管基层基础，2023年前，基本达到机构设置科学、</w:t>
      </w:r>
      <w:r>
        <w:rPr>
          <w:spacing w:val="5"/>
        </w:rPr>
        <w:t xml:space="preserve"> </w:t>
      </w:r>
      <w:r>
        <w:rPr>
          <w:spacing w:val="7"/>
        </w:rPr>
        <w:t>职责任务明晰、人员配备合理、监管机制健全、</w:t>
      </w:r>
      <w:r>
        <w:rPr>
          <w:spacing w:val="-91"/>
        </w:rPr>
        <w:t xml:space="preserve"> </w:t>
      </w:r>
      <w:r>
        <w:rPr>
          <w:spacing w:val="6"/>
        </w:rPr>
        <w:t>内部管理规范、</w:t>
      </w:r>
      <w:r>
        <w:t xml:space="preserve"> </w:t>
      </w:r>
      <w:r>
        <w:rPr>
          <w:spacing w:val="5"/>
        </w:rPr>
        <w:t>基础保障完备、运转顺畅高效目标。统一规范基层监管执法程序</w:t>
      </w:r>
      <w:r>
        <w:rPr>
          <w:spacing w:val="15"/>
        </w:rPr>
        <w:t xml:space="preserve"> </w:t>
      </w:r>
      <w:r>
        <w:rPr>
          <w:spacing w:val="5"/>
        </w:rPr>
        <w:t>和执法文书、执法证件、执法装备。健全完善基层行政执法人员</w:t>
      </w:r>
      <w:r>
        <w:rPr>
          <w:spacing w:val="17"/>
        </w:rPr>
        <w:t xml:space="preserve"> </w:t>
      </w:r>
      <w:r>
        <w:rPr>
          <w:spacing w:val="5"/>
        </w:rPr>
        <w:t>持证上岗和资格管理制度，严格行政执法人员资格审查和资格认</w:t>
      </w:r>
      <w:r>
        <w:rPr>
          <w:spacing w:val="15"/>
        </w:rPr>
        <w:t xml:space="preserve"> </w:t>
      </w:r>
      <w:bookmarkStart w:id="1" w:name="bookmark2"/>
      <w:bookmarkEnd w:id="1"/>
      <w:r>
        <w:rPr>
          <w:spacing w:val="5"/>
        </w:rPr>
        <w:t>证，完善执法人员培训考试制度，提高准入门槛，未经行政执法</w:t>
      </w:r>
    </w:p>
    <w:p w14:paraId="4C189008">
      <w:pPr>
        <w:keepNext w:val="0"/>
        <w:keepLines w:val="0"/>
        <w:pageBreakBefore w:val="0"/>
        <w:widowControl/>
        <w:tabs>
          <w:tab w:val="left" w:pos="2880"/>
        </w:tabs>
        <w:kinsoku w:val="0"/>
        <w:wordWrap/>
        <w:overflowPunct/>
        <w:topLinePunct w:val="0"/>
        <w:autoSpaceDE w:val="0"/>
        <w:autoSpaceDN w:val="0"/>
        <w:bidi w:val="0"/>
        <w:adjustRightInd w:val="0"/>
        <w:snapToGrid w:val="0"/>
        <w:spacing w:line="560" w:lineRule="exact"/>
        <w:textAlignment w:val="baseline"/>
        <w:rPr>
          <w:rFonts w:ascii="Arial"/>
          <w:sz w:val="21"/>
        </w:rPr>
      </w:pPr>
      <w:r>
        <w:rPr>
          <w:rFonts w:ascii="Arial" w:hAnsi="Arial" w:eastAsia="Arial" w:cs="Arial"/>
          <w:sz w:val="21"/>
          <w:szCs w:val="21"/>
          <w:u w:val="single" w:color="auto"/>
        </w:rPr>
        <w:tab/>
      </w:r>
    </w:p>
    <w:p w14:paraId="49D5EE89">
      <w:pPr>
        <w:keepNext w:val="0"/>
        <w:keepLines w:val="0"/>
        <w:pageBreakBefore w:val="0"/>
        <w:widowControl/>
        <w:kinsoku w:val="0"/>
        <w:wordWrap/>
        <w:overflowPunct/>
        <w:topLinePunct w:val="0"/>
        <w:autoSpaceDE w:val="0"/>
        <w:autoSpaceDN w:val="0"/>
        <w:bidi w:val="0"/>
        <w:adjustRightInd w:val="0"/>
        <w:snapToGrid w:val="0"/>
        <w:spacing w:line="560" w:lineRule="exact"/>
        <w:ind w:left="1"/>
        <w:textAlignment w:val="baseline"/>
        <w:rPr>
          <w:rFonts w:ascii="宋体" w:hAnsi="宋体" w:eastAsia="宋体" w:cs="宋体"/>
          <w:sz w:val="18"/>
          <w:szCs w:val="18"/>
        </w:rPr>
      </w:pPr>
      <w:r>
        <w:rPr>
          <w:rFonts w:ascii="Times New Roman" w:hAnsi="Times New Roman" w:eastAsia="Times New Roman" w:cs="Times New Roman"/>
          <w:spacing w:val="-1"/>
          <w:position w:val="6"/>
          <w:sz w:val="11"/>
          <w:szCs w:val="11"/>
        </w:rPr>
        <w:t xml:space="preserve">2   </w:t>
      </w:r>
      <w:r>
        <w:rPr>
          <w:rFonts w:ascii="宋体" w:hAnsi="宋体" w:eastAsia="宋体" w:cs="宋体"/>
          <w:spacing w:val="-1"/>
          <w:position w:val="1"/>
          <w:sz w:val="18"/>
          <w:szCs w:val="18"/>
        </w:rPr>
        <w:t>“两品一械</w:t>
      </w:r>
      <w:r>
        <w:rPr>
          <w:rFonts w:ascii="宋体" w:hAnsi="宋体" w:eastAsia="宋体" w:cs="宋体"/>
          <w:spacing w:val="-59"/>
          <w:position w:val="1"/>
          <w:sz w:val="18"/>
          <w:szCs w:val="18"/>
        </w:rPr>
        <w:t xml:space="preserve"> </w:t>
      </w:r>
      <w:r>
        <w:rPr>
          <w:rFonts w:ascii="宋体" w:hAnsi="宋体" w:eastAsia="宋体" w:cs="宋体"/>
          <w:spacing w:val="-1"/>
          <w:position w:val="1"/>
          <w:sz w:val="18"/>
          <w:szCs w:val="18"/>
        </w:rPr>
        <w:t>”是指药品、化妆品和医疗器械。</w:t>
      </w:r>
    </w:p>
    <w:p w14:paraId="0AB6C0D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8" w:firstLine="1"/>
        <w:jc w:val="both"/>
        <w:textAlignment w:val="baseline"/>
      </w:pPr>
      <w:r>
        <w:rPr>
          <w:spacing w:val="-3"/>
        </w:rPr>
        <w:t>人员资格认证考试合格，不得授予执法资格，不得从事执法活动。</w:t>
      </w:r>
      <w:r>
        <w:rPr>
          <w:spacing w:val="16"/>
        </w:rPr>
        <w:t xml:space="preserve"> </w:t>
      </w:r>
      <w:r>
        <w:rPr>
          <w:spacing w:val="5"/>
        </w:rPr>
        <w:t>规范基层执法辅助人员管理，明确适用岗位、身份性质、职责权</w:t>
      </w:r>
      <w:r>
        <w:rPr>
          <w:spacing w:val="11"/>
        </w:rPr>
        <w:t xml:space="preserve"> </w:t>
      </w:r>
      <w:r>
        <w:rPr>
          <w:spacing w:val="5"/>
        </w:rPr>
        <w:t>限、权利义务，严禁执法辅助人员从事具体行政执法工作。建立</w:t>
      </w:r>
      <w:r>
        <w:rPr>
          <w:spacing w:val="9"/>
        </w:rPr>
        <w:t xml:space="preserve"> </w:t>
      </w:r>
      <w:r>
        <w:rPr>
          <w:spacing w:val="5"/>
        </w:rPr>
        <w:t>执法全过程记录制度，规范自由裁量权行使。健全完善市场监管</w:t>
      </w:r>
      <w:r>
        <w:rPr>
          <w:spacing w:val="9"/>
        </w:rPr>
        <w:t xml:space="preserve"> </w:t>
      </w:r>
      <w:r>
        <w:rPr>
          <w:spacing w:val="-3"/>
        </w:rPr>
        <w:t>所内部管理、经费保障、人员培训、政务公开、奖惩等制度机制。</w:t>
      </w:r>
    </w:p>
    <w:p w14:paraId="01794FB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7" w:firstLine="643"/>
        <w:jc w:val="both"/>
        <w:textAlignment w:val="baseline"/>
      </w:pPr>
      <w:r>
        <w:rPr>
          <w:b/>
          <w:bCs/>
          <w:spacing w:val="4"/>
        </w:rPr>
        <w:t>加强基层基础设施建设。</w:t>
      </w:r>
      <w:r>
        <w:rPr>
          <w:spacing w:val="4"/>
        </w:rPr>
        <w:t>推动基层市场监管所建设</w:t>
      </w:r>
      <w:r>
        <w:rPr>
          <w:spacing w:val="3"/>
        </w:rPr>
        <w:t>纳入当地</w:t>
      </w:r>
      <w:r>
        <w:t xml:space="preserve"> </w:t>
      </w:r>
      <w:r>
        <w:rPr>
          <w:spacing w:val="5"/>
        </w:rPr>
        <w:t>国民经济和社会发展计划，建设项目纳入当地城市或乡镇建设总</w:t>
      </w:r>
      <w:r>
        <w:rPr>
          <w:spacing w:val="17"/>
        </w:rPr>
        <w:t xml:space="preserve"> </w:t>
      </w:r>
      <w:r>
        <w:rPr>
          <w:spacing w:val="6"/>
        </w:rPr>
        <w:t>体规划，符合有关建设标准要求，业务用房相</w:t>
      </w:r>
      <w:r>
        <w:rPr>
          <w:spacing w:val="5"/>
        </w:rPr>
        <w:t>对独立，功能设置</w:t>
      </w:r>
      <w:r>
        <w:t xml:space="preserve"> </w:t>
      </w:r>
      <w:r>
        <w:rPr>
          <w:spacing w:val="5"/>
        </w:rPr>
        <w:t>科学，布局合理，满足需要。完善行政裁决审理庭、调解室、物</w:t>
      </w:r>
      <w:r>
        <w:rPr>
          <w:spacing w:val="17"/>
        </w:rPr>
        <w:t xml:space="preserve"> </w:t>
      </w:r>
      <w:r>
        <w:rPr>
          <w:spacing w:val="5"/>
        </w:rPr>
        <w:t>证室等场地设施。为市场监管所配备工作必需的执法车辆、专业</w:t>
      </w:r>
      <w:r>
        <w:rPr>
          <w:spacing w:val="17"/>
        </w:rPr>
        <w:t xml:space="preserve"> </w:t>
      </w:r>
      <w:r>
        <w:rPr>
          <w:spacing w:val="-3"/>
        </w:rPr>
        <w:t>技术车辆，配备监管执法、检验检测、突发事件应对等执法装备，</w:t>
      </w:r>
      <w:r>
        <w:rPr>
          <w:spacing w:val="18"/>
        </w:rPr>
        <w:t xml:space="preserve"> </w:t>
      </w:r>
      <w:r>
        <w:rPr>
          <w:spacing w:val="5"/>
        </w:rPr>
        <w:t>配备必要的办公自动化设备、基础网络，努力提升市场监管所装</w:t>
      </w:r>
      <w:r>
        <w:rPr>
          <w:spacing w:val="17"/>
        </w:rPr>
        <w:t xml:space="preserve"> </w:t>
      </w:r>
      <w:r>
        <w:rPr>
          <w:spacing w:val="8"/>
        </w:rPr>
        <w:t>备专业化、现代化水平。</w:t>
      </w:r>
    </w:p>
    <w:p w14:paraId="5FDEEF6C">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67458192">
      <w:pPr>
        <w:keepNext w:val="0"/>
        <w:keepLines w:val="0"/>
        <w:pageBreakBefore w:val="0"/>
        <w:widowControl/>
        <w:kinsoku w:val="0"/>
        <w:wordWrap/>
        <w:overflowPunct/>
        <w:topLinePunct w:val="0"/>
        <w:autoSpaceDE w:val="0"/>
        <w:autoSpaceDN w:val="0"/>
        <w:bidi w:val="0"/>
        <w:adjustRightInd w:val="0"/>
        <w:snapToGrid w:val="0"/>
        <w:spacing w:line="560" w:lineRule="exact"/>
        <w:ind w:left="1388"/>
        <w:textAlignment w:val="baseline"/>
        <w:outlineLvl w:val="1"/>
        <w:rPr>
          <w:rFonts w:ascii="KaiTi_GB2312" w:hAnsi="KaiTi_GB2312" w:eastAsia="KaiTi_GB2312" w:cs="KaiTi_GB2312"/>
          <w:sz w:val="31"/>
          <w:szCs w:val="31"/>
        </w:rPr>
      </w:pPr>
      <w:r>
        <w:rPr>
          <w:rFonts w:ascii="KaiTi_GB2312" w:hAnsi="KaiTi_GB2312" w:eastAsia="KaiTi_GB2312" w:cs="KaiTi_GB2312"/>
          <w:b/>
          <w:bCs/>
          <w:spacing w:val="6"/>
          <w:sz w:val="31"/>
          <w:szCs w:val="31"/>
        </w:rPr>
        <w:t>第四节</w:t>
      </w:r>
      <w:r>
        <w:rPr>
          <w:rFonts w:ascii="KaiTi_GB2312" w:hAnsi="KaiTi_GB2312" w:eastAsia="KaiTi_GB2312" w:cs="KaiTi_GB2312"/>
          <w:spacing w:val="6"/>
          <w:sz w:val="31"/>
          <w:szCs w:val="31"/>
        </w:rPr>
        <w:t xml:space="preserve">  </w:t>
      </w:r>
      <w:r>
        <w:rPr>
          <w:rFonts w:ascii="KaiTi_GB2312" w:hAnsi="KaiTi_GB2312" w:eastAsia="KaiTi_GB2312" w:cs="KaiTi_GB2312"/>
          <w:b/>
          <w:bCs/>
          <w:spacing w:val="6"/>
          <w:sz w:val="31"/>
          <w:szCs w:val="31"/>
        </w:rPr>
        <w:t>加强市场监管文化宣传和交流合作</w:t>
      </w:r>
    </w:p>
    <w:p w14:paraId="1D2DC27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3" w:right="39" w:firstLine="649"/>
        <w:jc w:val="both"/>
        <w:textAlignment w:val="baseline"/>
      </w:pPr>
      <w:r>
        <w:rPr>
          <w:b/>
          <w:bCs/>
          <w:spacing w:val="16"/>
        </w:rPr>
        <w:t>厚植市场监管文化。</w:t>
      </w:r>
      <w:r>
        <w:rPr>
          <w:spacing w:val="16"/>
        </w:rPr>
        <w:t>把握文化建设规律和市场监管工作特</w:t>
      </w:r>
      <w:r>
        <w:rPr>
          <w:spacing w:val="7"/>
        </w:rPr>
        <w:t xml:space="preserve"> 点，准确构建新时代市场监管文化建设的核心理念、价值标准、</w:t>
      </w:r>
      <w:r>
        <w:rPr>
          <w:spacing w:val="10"/>
        </w:rPr>
        <w:t xml:space="preserve"> </w:t>
      </w:r>
      <w:r>
        <w:rPr>
          <w:spacing w:val="5"/>
        </w:rPr>
        <w:t>行为规范和制度体系。完善市场监管文化工作机制，培育和建设</w:t>
      </w:r>
      <w:r>
        <w:rPr>
          <w:spacing w:val="14"/>
        </w:rPr>
        <w:t xml:space="preserve"> </w:t>
      </w:r>
      <w:r>
        <w:rPr>
          <w:spacing w:val="7"/>
        </w:rPr>
        <w:t>具有市场监管特色的文化阵地，强化典型引领，深化文化认同，</w:t>
      </w:r>
      <w:r>
        <w:rPr>
          <w:spacing w:val="10"/>
        </w:rPr>
        <w:t xml:space="preserve"> </w:t>
      </w:r>
      <w:r>
        <w:rPr>
          <w:spacing w:val="5"/>
        </w:rPr>
        <w:t>以文化推进市场监管机构融合、队伍融合、业务融合。打造市场</w:t>
      </w:r>
      <w:r>
        <w:rPr>
          <w:spacing w:val="16"/>
        </w:rPr>
        <w:t xml:space="preserve"> </w:t>
      </w:r>
      <w:r>
        <w:rPr>
          <w:spacing w:val="5"/>
        </w:rPr>
        <w:t>监管文化品牌，以文化人、以文育人，发挥文化引领风尚、陶冶</w:t>
      </w:r>
      <w:r>
        <w:rPr>
          <w:spacing w:val="14"/>
        </w:rPr>
        <w:t xml:space="preserve"> </w:t>
      </w:r>
      <w:r>
        <w:rPr>
          <w:spacing w:val="7"/>
        </w:rPr>
        <w:t>心灵、提振精神、凝聚力量的重要作用。坚持多层级同步推进，</w:t>
      </w:r>
      <w:r>
        <w:rPr>
          <w:spacing w:val="10"/>
        </w:rPr>
        <w:t xml:space="preserve"> </w:t>
      </w:r>
      <w:r>
        <w:rPr>
          <w:spacing w:val="5"/>
        </w:rPr>
        <w:t>锻造顾全大局、勇于担当、雷厉风行的市场监管行为规范，树立公平正义、团结和谐、奋发向上、可亲可信的市场监管形象。将</w:t>
      </w:r>
      <w:r>
        <w:rPr>
          <w:spacing w:val="14"/>
        </w:rPr>
        <w:t xml:space="preserve"> </w:t>
      </w:r>
      <w:r>
        <w:rPr>
          <w:spacing w:val="5"/>
        </w:rPr>
        <w:t>市场监管文化理念融入贯穿干部教育培训和日常监管之</w:t>
      </w:r>
      <w:r>
        <w:rPr>
          <w:spacing w:val="4"/>
        </w:rPr>
        <w:t>中，不断</w:t>
      </w:r>
      <w:r>
        <w:t xml:space="preserve"> </w:t>
      </w:r>
      <w:r>
        <w:rPr>
          <w:spacing w:val="8"/>
        </w:rPr>
        <w:t>塑造意志坚定、精神饱满的市场监管铁军。</w:t>
      </w:r>
    </w:p>
    <w:p w14:paraId="3BD18D9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44"/>
        <w:jc w:val="both"/>
        <w:textAlignment w:val="baseline"/>
      </w:pPr>
      <w:r>
        <w:rPr>
          <w:b/>
          <w:bCs/>
          <w:spacing w:val="4"/>
        </w:rPr>
        <w:t>加强市场监管宣传。</w:t>
      </w:r>
      <w:r>
        <w:rPr>
          <w:spacing w:val="4"/>
        </w:rPr>
        <w:t>实施立体化宣传计划，不断提升宣</w:t>
      </w:r>
      <w:r>
        <w:rPr>
          <w:spacing w:val="3"/>
        </w:rPr>
        <w:t>传教</w:t>
      </w:r>
      <w:r>
        <w:t xml:space="preserve"> </w:t>
      </w:r>
      <w:r>
        <w:rPr>
          <w:spacing w:val="7"/>
        </w:rPr>
        <w:t>育和舆论引导能力。加强市场监管领域社会公众安全意</w:t>
      </w:r>
      <w:r>
        <w:rPr>
          <w:spacing w:val="6"/>
        </w:rPr>
        <w:t>识引导，</w:t>
      </w:r>
      <w:r>
        <w:t xml:space="preserve"> </w:t>
      </w:r>
      <w:r>
        <w:rPr>
          <w:spacing w:val="5"/>
        </w:rPr>
        <w:t>增强食品药品、产品质量、知识产权保护和消费维权意识，做好</w:t>
      </w:r>
      <w:r>
        <w:rPr>
          <w:spacing w:val="14"/>
        </w:rPr>
        <w:t xml:space="preserve"> </w:t>
      </w:r>
      <w:r>
        <w:rPr>
          <w:spacing w:val="7"/>
        </w:rPr>
        <w:t>重要节点和重大活动的市场监管专题宣传。建设科普示</w:t>
      </w:r>
      <w:r>
        <w:rPr>
          <w:spacing w:val="6"/>
        </w:rPr>
        <w:t>范基地，</w:t>
      </w:r>
      <w:r>
        <w:t xml:space="preserve"> </w:t>
      </w:r>
      <w:r>
        <w:rPr>
          <w:spacing w:val="5"/>
        </w:rPr>
        <w:t>建立完善统一的市场监管科普知识库，加强科普宣传，推动市场</w:t>
      </w:r>
      <w:r>
        <w:rPr>
          <w:spacing w:val="14"/>
        </w:rPr>
        <w:t xml:space="preserve"> </w:t>
      </w:r>
      <w:r>
        <w:rPr>
          <w:spacing w:val="5"/>
        </w:rPr>
        <w:t>监管科普宣传进农村、进企业、进商场、进社区、进校园。规范</w:t>
      </w:r>
      <w:r>
        <w:rPr>
          <w:spacing w:val="14"/>
        </w:rPr>
        <w:t xml:space="preserve"> </w:t>
      </w:r>
      <w:r>
        <w:rPr>
          <w:spacing w:val="5"/>
        </w:rPr>
        <w:t>完善新闻发布制度，主动公开相关市场监管信息，及时回应社会</w:t>
      </w:r>
      <w:r>
        <w:rPr>
          <w:spacing w:val="16"/>
        </w:rPr>
        <w:t xml:space="preserve"> </w:t>
      </w:r>
      <w:r>
        <w:rPr>
          <w:spacing w:val="5"/>
        </w:rPr>
        <w:t>关切。加强市场监管领域舆情监测机制建设，完善舆情监测工作</w:t>
      </w:r>
      <w:r>
        <w:rPr>
          <w:spacing w:val="14"/>
        </w:rPr>
        <w:t xml:space="preserve"> </w:t>
      </w:r>
      <w:r>
        <w:rPr>
          <w:spacing w:val="5"/>
        </w:rPr>
        <w:t>制度和舆论引导工作机制，促进舆情监测和处置由被动应对向源</w:t>
      </w:r>
      <w:r>
        <w:rPr>
          <w:spacing w:val="14"/>
        </w:rPr>
        <w:t xml:space="preserve"> </w:t>
      </w:r>
      <w:r>
        <w:rPr>
          <w:spacing w:val="6"/>
        </w:rPr>
        <w:t>头管理转变。</w:t>
      </w:r>
    </w:p>
    <w:p w14:paraId="19E7083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09858146">
      <w:pPr>
        <w:keepNext w:val="0"/>
        <w:keepLines w:val="0"/>
        <w:pageBreakBefore w:val="0"/>
        <w:widowControl/>
        <w:kinsoku w:val="0"/>
        <w:wordWrap/>
        <w:overflowPunct/>
        <w:topLinePunct w:val="0"/>
        <w:autoSpaceDE w:val="0"/>
        <w:autoSpaceDN w:val="0"/>
        <w:bidi w:val="0"/>
        <w:adjustRightInd w:val="0"/>
        <w:snapToGrid w:val="0"/>
        <w:spacing w:line="560" w:lineRule="exact"/>
        <w:ind w:left="3154"/>
        <w:textAlignment w:val="baseline"/>
        <w:rPr>
          <w:rFonts w:ascii="黑体" w:hAnsi="黑体" w:eastAsia="黑体" w:cs="黑体"/>
          <w:sz w:val="31"/>
          <w:szCs w:val="31"/>
        </w:rPr>
      </w:pPr>
      <w:r>
        <w:rPr>
          <w:rFonts w:ascii="黑体" w:hAnsi="黑体" w:eastAsia="黑体" w:cs="黑体"/>
          <w:spacing w:val="6"/>
          <w:sz w:val="31"/>
          <w:szCs w:val="31"/>
        </w:rPr>
        <w:t>第十章  保障措施</w:t>
      </w:r>
    </w:p>
    <w:p w14:paraId="36234A67">
      <w:pPr>
        <w:keepNext w:val="0"/>
        <w:keepLines w:val="0"/>
        <w:pageBreakBefore w:val="0"/>
        <w:widowControl/>
        <w:kinsoku w:val="0"/>
        <w:wordWrap/>
        <w:overflowPunct/>
        <w:topLinePunct w:val="0"/>
        <w:autoSpaceDE w:val="0"/>
        <w:autoSpaceDN w:val="0"/>
        <w:bidi w:val="0"/>
        <w:adjustRightInd w:val="0"/>
        <w:snapToGrid w:val="0"/>
        <w:spacing w:line="560" w:lineRule="exact"/>
        <w:ind w:left="2028"/>
        <w:textAlignment w:val="baseline"/>
        <w:outlineLvl w:val="1"/>
        <w:rPr>
          <w:rFonts w:ascii="KaiTi_GB2312" w:hAnsi="KaiTi_GB2312" w:eastAsia="KaiTi_GB2312" w:cs="KaiTi_GB2312"/>
          <w:sz w:val="31"/>
          <w:szCs w:val="31"/>
        </w:rPr>
      </w:pPr>
      <w:r>
        <w:rPr>
          <w:rFonts w:ascii="KaiTi_GB2312" w:hAnsi="KaiTi_GB2312" w:eastAsia="KaiTi_GB2312" w:cs="KaiTi_GB2312"/>
          <w:b/>
          <w:bCs/>
          <w:spacing w:val="6"/>
          <w:sz w:val="31"/>
          <w:szCs w:val="31"/>
        </w:rPr>
        <w:t>第一节</w:t>
      </w:r>
      <w:r>
        <w:rPr>
          <w:rFonts w:ascii="KaiTi_GB2312" w:hAnsi="KaiTi_GB2312" w:eastAsia="KaiTi_GB2312" w:cs="KaiTi_GB2312"/>
          <w:spacing w:val="6"/>
          <w:sz w:val="31"/>
          <w:szCs w:val="31"/>
        </w:rPr>
        <w:t xml:space="preserve">  </w:t>
      </w:r>
      <w:r>
        <w:rPr>
          <w:rFonts w:ascii="KaiTi_GB2312" w:hAnsi="KaiTi_GB2312" w:eastAsia="KaiTi_GB2312" w:cs="KaiTi_GB2312"/>
          <w:b/>
          <w:bCs/>
          <w:spacing w:val="6"/>
          <w:sz w:val="31"/>
          <w:szCs w:val="31"/>
        </w:rPr>
        <w:t>坚持和加强党的全面领导</w:t>
      </w:r>
    </w:p>
    <w:p w14:paraId="17C266C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35" w:firstLine="658"/>
        <w:jc w:val="both"/>
        <w:textAlignment w:val="baseline"/>
      </w:pPr>
      <w:r>
        <w:rPr>
          <w:spacing w:val="4"/>
        </w:rPr>
        <w:t>坚持以习近平新时代中国特色社会主义思想为指导，发挥党</w:t>
      </w:r>
      <w:r>
        <w:rPr>
          <w:spacing w:val="14"/>
        </w:rPr>
        <w:t xml:space="preserve"> </w:t>
      </w:r>
      <w:r>
        <w:rPr>
          <w:spacing w:val="5"/>
        </w:rPr>
        <w:t>总揽全局、协调各方的坚强领导作用，增强战略定力，提升战略</w:t>
      </w:r>
      <w:r>
        <w:rPr>
          <w:spacing w:val="16"/>
        </w:rPr>
        <w:t xml:space="preserve"> </w:t>
      </w:r>
      <w:r>
        <w:rPr>
          <w:spacing w:val="2"/>
        </w:rPr>
        <w:t>思维，提高驾驭纷繁复杂局势的能力，增强“</w:t>
      </w:r>
      <w:r>
        <w:rPr>
          <w:spacing w:val="-96"/>
        </w:rPr>
        <w:t xml:space="preserve"> </w:t>
      </w:r>
      <w:r>
        <w:rPr>
          <w:spacing w:val="2"/>
        </w:rPr>
        <w:t>四个意识”</w:t>
      </w:r>
      <w:r>
        <w:rPr>
          <w:spacing w:val="-116"/>
        </w:rPr>
        <w:t xml:space="preserve"> </w:t>
      </w:r>
      <w:r>
        <w:rPr>
          <w:spacing w:val="2"/>
        </w:rPr>
        <w:t>、坚定</w:t>
      </w:r>
      <w:r>
        <w:t xml:space="preserve"> </w:t>
      </w:r>
      <w:r>
        <w:rPr>
          <w:spacing w:val="4"/>
        </w:rPr>
        <w:t>“</w:t>
      </w:r>
      <w:r>
        <w:rPr>
          <w:spacing w:val="-103"/>
        </w:rPr>
        <w:t xml:space="preserve"> </w:t>
      </w:r>
      <w:r>
        <w:rPr>
          <w:spacing w:val="4"/>
        </w:rPr>
        <w:t>四个自信”、做到“两个维护”，坚持把党</w:t>
      </w:r>
      <w:r>
        <w:rPr>
          <w:spacing w:val="3"/>
        </w:rPr>
        <w:t>的领导体现到市场</w:t>
      </w:r>
      <w:r>
        <w:t xml:space="preserve"> </w:t>
      </w:r>
      <w:r>
        <w:rPr>
          <w:spacing w:val="5"/>
        </w:rPr>
        <w:t>监管各领域、各方面、各环节，牢牢把握市场监管的职责定位和</w:t>
      </w:r>
      <w:r>
        <w:rPr>
          <w:spacing w:val="16"/>
        </w:rPr>
        <w:t xml:space="preserve"> </w:t>
      </w:r>
      <w:r>
        <w:rPr>
          <w:spacing w:val="5"/>
        </w:rPr>
        <w:t>使命担当，更好发挥市场监管服务大局的作用，将党的领导的制</w:t>
      </w:r>
      <w:r>
        <w:rPr>
          <w:spacing w:val="14"/>
        </w:rPr>
        <w:t xml:space="preserve"> </w:t>
      </w:r>
      <w:r>
        <w:rPr>
          <w:spacing w:val="5"/>
        </w:rPr>
        <w:t xml:space="preserve">度优势持续转化为治理效能，推进新时代武江市场监管体系和监管能力现代化。充分发挥各级党组织战斗堡垒作用和党员先锋模  </w:t>
      </w:r>
      <w:r>
        <w:rPr>
          <w:spacing w:val="10"/>
        </w:rPr>
        <w:t>范作用，最大限度聚合全社会共识和力量，共同推动“十四五”</w:t>
      </w:r>
      <w:r>
        <w:rPr>
          <w:spacing w:val="17"/>
        </w:rPr>
        <w:t xml:space="preserve"> </w:t>
      </w:r>
      <w:r>
        <w:rPr>
          <w:spacing w:val="5"/>
        </w:rPr>
        <w:t>规划蓝图实施。持之以恒落实中央八项规定精神，不断完善整治</w:t>
      </w:r>
      <w:r>
        <w:rPr>
          <w:spacing w:val="2"/>
        </w:rPr>
        <w:t>“</w:t>
      </w:r>
      <w:r>
        <w:rPr>
          <w:spacing w:val="-102"/>
        </w:rPr>
        <w:t xml:space="preserve"> </w:t>
      </w:r>
      <w:r>
        <w:rPr>
          <w:spacing w:val="2"/>
        </w:rPr>
        <w:t>四风”</w:t>
      </w:r>
      <w:r>
        <w:rPr>
          <w:spacing w:val="-113"/>
        </w:rPr>
        <w:t xml:space="preserve"> </w:t>
      </w:r>
      <w:r>
        <w:rPr>
          <w:spacing w:val="2"/>
        </w:rPr>
        <w:t>的制度机制，严防和纠正在推进规</w:t>
      </w:r>
      <w:r>
        <w:rPr>
          <w:spacing w:val="1"/>
        </w:rPr>
        <w:t>划实施过程中的形式</w:t>
      </w:r>
      <w:r>
        <w:t xml:space="preserve">  </w:t>
      </w:r>
      <w:r>
        <w:rPr>
          <w:spacing w:val="6"/>
        </w:rPr>
        <w:t>主义、官僚主义问题。</w:t>
      </w:r>
    </w:p>
    <w:p w14:paraId="26B9211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1046A392">
      <w:pPr>
        <w:keepNext w:val="0"/>
        <w:keepLines w:val="0"/>
        <w:pageBreakBefore w:val="0"/>
        <w:widowControl/>
        <w:kinsoku w:val="0"/>
        <w:wordWrap/>
        <w:overflowPunct/>
        <w:topLinePunct w:val="0"/>
        <w:autoSpaceDE w:val="0"/>
        <w:autoSpaceDN w:val="0"/>
        <w:bidi w:val="0"/>
        <w:adjustRightInd w:val="0"/>
        <w:snapToGrid w:val="0"/>
        <w:spacing w:line="560" w:lineRule="exact"/>
        <w:ind w:left="2827"/>
        <w:textAlignment w:val="baseline"/>
        <w:outlineLvl w:val="1"/>
        <w:rPr>
          <w:rFonts w:ascii="KaiTi_GB2312" w:hAnsi="KaiTi_GB2312" w:eastAsia="KaiTi_GB2312" w:cs="KaiTi_GB2312"/>
          <w:sz w:val="31"/>
          <w:szCs w:val="31"/>
        </w:rPr>
      </w:pPr>
      <w:r>
        <w:rPr>
          <w:rFonts w:ascii="KaiTi_GB2312" w:hAnsi="KaiTi_GB2312" w:eastAsia="KaiTi_GB2312" w:cs="KaiTi_GB2312"/>
          <w:b/>
          <w:bCs/>
          <w:spacing w:val="5"/>
          <w:sz w:val="31"/>
          <w:szCs w:val="31"/>
        </w:rPr>
        <w:t>第二节</w:t>
      </w:r>
      <w:r>
        <w:rPr>
          <w:rFonts w:ascii="KaiTi_GB2312" w:hAnsi="KaiTi_GB2312" w:eastAsia="KaiTi_GB2312" w:cs="KaiTi_GB2312"/>
          <w:spacing w:val="5"/>
          <w:sz w:val="31"/>
          <w:szCs w:val="31"/>
        </w:rPr>
        <w:t xml:space="preserve">  </w:t>
      </w:r>
      <w:r>
        <w:rPr>
          <w:rFonts w:ascii="KaiTi_GB2312" w:hAnsi="KaiTi_GB2312" w:eastAsia="KaiTi_GB2312" w:cs="KaiTi_GB2312"/>
          <w:b/>
          <w:bCs/>
          <w:spacing w:val="5"/>
          <w:sz w:val="31"/>
          <w:szCs w:val="31"/>
        </w:rPr>
        <w:t>加强经费保障</w:t>
      </w:r>
    </w:p>
    <w:p w14:paraId="659C63F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2" w:firstLine="638"/>
        <w:jc w:val="both"/>
        <w:textAlignment w:val="baseline"/>
      </w:pPr>
      <w:r>
        <w:rPr>
          <w:spacing w:val="5"/>
        </w:rPr>
        <w:t>全面落实市场监管现代化经费预算保障制度，市场监管工作</w:t>
      </w:r>
      <w:r>
        <w:rPr>
          <w:spacing w:val="1"/>
        </w:rPr>
        <w:t xml:space="preserve">  </w:t>
      </w:r>
      <w:r>
        <w:rPr>
          <w:spacing w:val="5"/>
        </w:rPr>
        <w:t>经费和能力建设经费全部纳入财政预算予以保障。各相关单位结</w:t>
      </w:r>
      <w:r>
        <w:rPr>
          <w:spacing w:val="4"/>
        </w:rPr>
        <w:t xml:space="preserve">  </w:t>
      </w:r>
      <w:r>
        <w:rPr>
          <w:spacing w:val="5"/>
        </w:rPr>
        <w:t>合工作实际，对实施本规划的经费予以必要的保障，提高市场监</w:t>
      </w:r>
      <w:r>
        <w:rPr>
          <w:spacing w:val="4"/>
        </w:rPr>
        <w:t xml:space="preserve">  </w:t>
      </w:r>
      <w:r>
        <w:rPr>
          <w:spacing w:val="5"/>
        </w:rPr>
        <w:t xml:space="preserve">管经费保障效能，统筹财政资金使用，优化支出结构。严格预算  </w:t>
      </w:r>
      <w:r>
        <w:rPr>
          <w:spacing w:val="11"/>
        </w:rPr>
        <w:t>执行，全面实施绩效管理，发挥审计监督作用，推动“十四</w:t>
      </w:r>
      <w:r>
        <w:rPr>
          <w:spacing w:val="10"/>
        </w:rPr>
        <w:t>五”</w:t>
      </w:r>
      <w:r>
        <w:t xml:space="preserve"> </w:t>
      </w:r>
      <w:r>
        <w:rPr>
          <w:spacing w:val="7"/>
        </w:rPr>
        <w:t>规划实施全面落实。</w:t>
      </w:r>
    </w:p>
    <w:p w14:paraId="1ADBCD4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1D015066">
      <w:pPr>
        <w:keepNext w:val="0"/>
        <w:keepLines w:val="0"/>
        <w:pageBreakBefore w:val="0"/>
        <w:widowControl/>
        <w:kinsoku w:val="0"/>
        <w:wordWrap/>
        <w:overflowPunct/>
        <w:topLinePunct w:val="0"/>
        <w:autoSpaceDE w:val="0"/>
        <w:autoSpaceDN w:val="0"/>
        <w:bidi w:val="0"/>
        <w:adjustRightInd w:val="0"/>
        <w:snapToGrid w:val="0"/>
        <w:spacing w:line="560" w:lineRule="exact"/>
        <w:ind w:left="2827"/>
        <w:textAlignment w:val="baseline"/>
        <w:outlineLvl w:val="1"/>
        <w:rPr>
          <w:rFonts w:ascii="KaiTi_GB2312" w:hAnsi="KaiTi_GB2312" w:eastAsia="KaiTi_GB2312" w:cs="KaiTi_GB2312"/>
          <w:sz w:val="31"/>
          <w:szCs w:val="31"/>
        </w:rPr>
      </w:pPr>
      <w:r>
        <w:rPr>
          <w:rFonts w:ascii="KaiTi_GB2312" w:hAnsi="KaiTi_GB2312" w:eastAsia="KaiTi_GB2312" w:cs="KaiTi_GB2312"/>
          <w:b/>
          <w:bCs/>
          <w:spacing w:val="1"/>
          <w:sz w:val="31"/>
          <w:szCs w:val="31"/>
        </w:rPr>
        <w:t>第三节</w:t>
      </w:r>
      <w:r>
        <w:rPr>
          <w:rFonts w:ascii="KaiTi_GB2312" w:hAnsi="KaiTi_GB2312" w:eastAsia="KaiTi_GB2312" w:cs="KaiTi_GB2312"/>
          <w:spacing w:val="24"/>
          <w:sz w:val="31"/>
          <w:szCs w:val="31"/>
        </w:rPr>
        <w:t xml:space="preserve">  </w:t>
      </w:r>
      <w:r>
        <w:rPr>
          <w:rFonts w:ascii="KaiTi_GB2312" w:hAnsi="KaiTi_GB2312" w:eastAsia="KaiTi_GB2312" w:cs="KaiTi_GB2312"/>
          <w:b/>
          <w:bCs/>
          <w:spacing w:val="1"/>
          <w:sz w:val="31"/>
          <w:szCs w:val="31"/>
        </w:rPr>
        <w:t>落实责任分工</w:t>
      </w:r>
    </w:p>
    <w:p w14:paraId="03AA8A1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105" w:firstLine="640"/>
        <w:jc w:val="both"/>
        <w:textAlignment w:val="baseline"/>
      </w:pPr>
      <w:r>
        <w:rPr>
          <w:spacing w:val="17"/>
        </w:rPr>
        <w:t>各有关部门要深刻认识推进市场监管治理体系和治理能力</w:t>
      </w:r>
      <w:r>
        <w:rPr>
          <w:spacing w:val="15"/>
        </w:rPr>
        <w:t xml:space="preserve"> </w:t>
      </w:r>
      <w:r>
        <w:rPr>
          <w:spacing w:val="5"/>
        </w:rPr>
        <w:t>现代化的重要意义，切实强化统筹部署，加强组织领导，建立健</w:t>
      </w:r>
      <w:r>
        <w:rPr>
          <w:spacing w:val="14"/>
        </w:rPr>
        <w:t xml:space="preserve"> </w:t>
      </w:r>
      <w:r>
        <w:rPr>
          <w:spacing w:val="5"/>
        </w:rPr>
        <w:t>全沟通协调、指导督促等体制机制，压实各级工作责任，明确工</w:t>
      </w:r>
      <w:r>
        <w:rPr>
          <w:spacing w:val="14"/>
        </w:rPr>
        <w:t xml:space="preserve"> </w:t>
      </w:r>
      <w:r>
        <w:rPr>
          <w:spacing w:val="7"/>
        </w:rPr>
        <w:t xml:space="preserve">作目标和推进举措，确保本规划提出的各项目标任务有序推进、 </w:t>
      </w:r>
      <w:r>
        <w:rPr>
          <w:spacing w:val="5"/>
        </w:rPr>
        <w:t>落地落实。结合本地、本部门实际，研究制订贯彻落实本规划的</w:t>
      </w:r>
      <w:r>
        <w:rPr>
          <w:spacing w:val="13"/>
        </w:rPr>
        <w:t xml:space="preserve"> </w:t>
      </w:r>
      <w:r>
        <w:rPr>
          <w:spacing w:val="5"/>
        </w:rPr>
        <w:t>实施方案办法，进一步分解任务、细化举措、压实责任，将目标</w:t>
      </w:r>
      <w:r>
        <w:rPr>
          <w:spacing w:val="14"/>
        </w:rPr>
        <w:t xml:space="preserve"> </w:t>
      </w:r>
      <w:r>
        <w:rPr>
          <w:spacing w:val="5"/>
        </w:rPr>
        <w:t>任务落实到位到岗到人。制订具体工作方案，明确时间表、路线</w:t>
      </w:r>
      <w:r>
        <w:rPr>
          <w:spacing w:val="11"/>
        </w:rPr>
        <w:t xml:space="preserve"> </w:t>
      </w:r>
      <w:r>
        <w:rPr>
          <w:spacing w:val="6"/>
        </w:rPr>
        <w:t>图和进度节点，确保按时保质完成目标任务。坚持问题导向、结</w:t>
      </w:r>
      <w:r>
        <w:rPr>
          <w:spacing w:val="5"/>
        </w:rPr>
        <w:t>果导向，推动解决一批长期没有解决好的痛点难点焦点问题，拿</w:t>
      </w:r>
      <w:r>
        <w:rPr>
          <w:spacing w:val="15"/>
        </w:rPr>
        <w:t xml:space="preserve"> </w:t>
      </w:r>
      <w:r>
        <w:rPr>
          <w:spacing w:val="6"/>
        </w:rPr>
        <w:t>出可检验可评判可感知的实实在在的成果。</w:t>
      </w:r>
    </w:p>
    <w:p w14:paraId="26DC1DE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45EA8F55">
      <w:pPr>
        <w:keepNext w:val="0"/>
        <w:keepLines w:val="0"/>
        <w:pageBreakBefore w:val="0"/>
        <w:widowControl/>
        <w:kinsoku w:val="0"/>
        <w:wordWrap/>
        <w:overflowPunct/>
        <w:topLinePunct w:val="0"/>
        <w:autoSpaceDE w:val="0"/>
        <w:autoSpaceDN w:val="0"/>
        <w:bidi w:val="0"/>
        <w:adjustRightInd w:val="0"/>
        <w:snapToGrid w:val="0"/>
        <w:spacing w:line="560" w:lineRule="exact"/>
        <w:ind w:left="2835"/>
        <w:textAlignment w:val="baseline"/>
        <w:outlineLvl w:val="1"/>
        <w:rPr>
          <w:rFonts w:ascii="KaiTi_GB2312" w:hAnsi="KaiTi_GB2312" w:eastAsia="KaiTi_GB2312" w:cs="KaiTi_GB2312"/>
          <w:sz w:val="31"/>
          <w:szCs w:val="31"/>
        </w:rPr>
      </w:pPr>
      <w:r>
        <w:rPr>
          <w:rFonts w:ascii="KaiTi_GB2312" w:hAnsi="KaiTi_GB2312" w:eastAsia="KaiTi_GB2312" w:cs="KaiTi_GB2312"/>
          <w:b/>
          <w:bCs/>
          <w:spacing w:val="2"/>
          <w:sz w:val="31"/>
          <w:szCs w:val="31"/>
        </w:rPr>
        <w:t>第四节</w:t>
      </w:r>
      <w:r>
        <w:rPr>
          <w:rFonts w:ascii="KaiTi_GB2312" w:hAnsi="KaiTi_GB2312" w:eastAsia="KaiTi_GB2312" w:cs="KaiTi_GB2312"/>
          <w:spacing w:val="19"/>
          <w:sz w:val="31"/>
          <w:szCs w:val="31"/>
        </w:rPr>
        <w:t xml:space="preserve">  </w:t>
      </w:r>
      <w:r>
        <w:rPr>
          <w:rFonts w:ascii="KaiTi_GB2312" w:hAnsi="KaiTi_GB2312" w:eastAsia="KaiTi_GB2312" w:cs="KaiTi_GB2312"/>
          <w:b/>
          <w:bCs/>
          <w:spacing w:val="2"/>
          <w:sz w:val="31"/>
          <w:szCs w:val="31"/>
        </w:rPr>
        <w:t>强化监测评估</w:t>
      </w:r>
    </w:p>
    <w:p w14:paraId="23ACBE0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8" w:firstLine="650"/>
        <w:jc w:val="both"/>
        <w:textAlignment w:val="baseline"/>
        <w:rPr>
          <w:rFonts w:ascii="Arial"/>
          <w:sz w:val="21"/>
        </w:rPr>
      </w:pPr>
      <w:r>
        <w:rPr>
          <w:spacing w:val="4"/>
        </w:rPr>
        <w:t>规划编制部门统筹有关任务落实，组织开展规划实施年度监</w:t>
      </w:r>
      <w:r>
        <w:rPr>
          <w:spacing w:val="15"/>
        </w:rPr>
        <w:t xml:space="preserve"> </w:t>
      </w:r>
      <w:r>
        <w:rPr>
          <w:spacing w:val="5"/>
        </w:rPr>
        <w:t>测分析、中期评估和总结评估，鼓励开展第三方评估，强化监测</w:t>
      </w:r>
      <w:r>
        <w:rPr>
          <w:spacing w:val="12"/>
        </w:rPr>
        <w:t xml:space="preserve"> </w:t>
      </w:r>
      <w:r>
        <w:rPr>
          <w:spacing w:val="17"/>
        </w:rPr>
        <w:t>评估结果应用。各有关部门要建立本规划实施情况监测评估机</w:t>
      </w:r>
      <w:r>
        <w:rPr>
          <w:spacing w:val="1"/>
        </w:rPr>
        <w:t xml:space="preserve"> </w:t>
      </w:r>
      <w:r>
        <w:rPr>
          <w:spacing w:val="5"/>
        </w:rPr>
        <w:t>制，加强跟踪监测、成效评估，对实施过程中发现的问题，要研</w:t>
      </w:r>
      <w:r>
        <w:rPr>
          <w:spacing w:val="10"/>
        </w:rPr>
        <w:t xml:space="preserve"> </w:t>
      </w:r>
      <w:r>
        <w:rPr>
          <w:spacing w:val="-3"/>
        </w:rPr>
        <w:t>究制订对应措施、及时协调解决，重要情况及时按程序请示报告。</w:t>
      </w:r>
      <w:r>
        <w:rPr>
          <w:spacing w:val="18"/>
        </w:rPr>
        <w:t xml:space="preserve"> </w:t>
      </w:r>
      <w:r>
        <w:rPr>
          <w:spacing w:val="9"/>
        </w:rPr>
        <w:t>对好的做法和经验，要及时进行总结，加强复制推</w:t>
      </w:r>
      <w:r>
        <w:rPr>
          <w:spacing w:val="8"/>
        </w:rPr>
        <w:t>广。</w:t>
      </w:r>
    </w:p>
    <w:p w14:paraId="035D0DFC">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5ECB3AC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493FF00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41CCC633">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26BB1C1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6AA756B6">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黑体" w:hAnsi="黑体" w:eastAsia="黑体" w:cs="黑体"/>
          <w:spacing w:val="8"/>
        </w:rPr>
      </w:pPr>
    </w:p>
    <w:p w14:paraId="679C8E4F">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黑体" w:hAnsi="黑体" w:eastAsia="黑体" w:cs="黑体"/>
          <w:spacing w:val="8"/>
        </w:rPr>
      </w:pPr>
    </w:p>
    <w:p w14:paraId="49899930">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黑体" w:hAnsi="黑体" w:eastAsia="黑体" w:cs="黑体"/>
          <w:spacing w:val="8"/>
        </w:rPr>
      </w:pPr>
    </w:p>
    <w:p w14:paraId="15C65E4E">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黑体" w:hAnsi="黑体" w:eastAsia="黑体" w:cs="黑体"/>
          <w:spacing w:val="8"/>
        </w:rPr>
      </w:pPr>
    </w:p>
    <w:p w14:paraId="02FB193D">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黑体" w:hAnsi="黑体" w:eastAsia="黑体" w:cs="黑体"/>
          <w:spacing w:val="8"/>
        </w:rPr>
      </w:pPr>
    </w:p>
    <w:p w14:paraId="56788E56">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黑体" w:hAnsi="黑体" w:eastAsia="黑体" w:cs="黑体"/>
          <w:spacing w:val="8"/>
        </w:rPr>
      </w:pPr>
    </w:p>
    <w:p w14:paraId="30298E2D">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黑体" w:hAnsi="黑体" w:eastAsia="黑体" w:cs="黑体"/>
          <w:spacing w:val="8"/>
        </w:rPr>
      </w:pPr>
    </w:p>
    <w:p w14:paraId="777D1828">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黑体" w:hAnsi="黑体" w:eastAsia="黑体" w:cs="黑体"/>
          <w:spacing w:val="8"/>
        </w:rPr>
      </w:pPr>
    </w:p>
    <w:p w14:paraId="34E0A510">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黑体" w:hAnsi="黑体" w:eastAsia="黑体" w:cs="黑体"/>
          <w:spacing w:val="8"/>
        </w:rPr>
      </w:pPr>
    </w:p>
    <w:p w14:paraId="1233B77C">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pPr>
      <w:r>
        <w:rPr>
          <w:rFonts w:ascii="黑体" w:hAnsi="黑体" w:eastAsia="黑体" w:cs="黑体"/>
          <w:spacing w:val="8"/>
        </w:rPr>
        <w:t>公开方式：</w:t>
      </w:r>
      <w:r>
        <w:rPr>
          <w:spacing w:val="8"/>
        </w:rPr>
        <w:t>主动公开</w:t>
      </w:r>
    </w:p>
    <w:sectPr>
      <w:footerReference r:id="rId26" w:type="default"/>
      <w:pgSz w:w="11906" w:h="16839"/>
      <w:pgMar w:top="1431" w:right="1384" w:bottom="1784" w:left="1590" w:header="0" w:footer="142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KaiTi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E8859">
    <w:pPr>
      <w:spacing w:line="234" w:lineRule="auto"/>
      <w:ind w:left="8292"/>
      <w:rPr>
        <w:rFonts w:ascii="宋体" w:hAnsi="宋体" w:eastAsia="宋体" w:cs="宋体"/>
        <w:sz w:val="28"/>
        <w:szCs w:val="28"/>
      </w:rPr>
    </w:pPr>
    <w:r>
      <w:rPr>
        <w:rFonts w:ascii="宋体" w:hAnsi="宋体" w:eastAsia="宋体" w:cs="宋体"/>
        <w:spacing w:val="-14"/>
        <w:sz w:val="28"/>
        <w:szCs w:val="28"/>
      </w:rPr>
      <w:t>-</w:t>
    </w:r>
    <w:r>
      <w:rPr>
        <w:rFonts w:ascii="宋体" w:hAnsi="宋体" w:eastAsia="宋体" w:cs="宋体"/>
        <w:spacing w:val="33"/>
        <w:sz w:val="28"/>
        <w:szCs w:val="28"/>
      </w:rPr>
      <w:t xml:space="preserve"> </w:t>
    </w:r>
    <w:r>
      <w:rPr>
        <w:rFonts w:ascii="宋体" w:hAnsi="宋体" w:eastAsia="宋体" w:cs="宋体"/>
        <w:spacing w:val="-14"/>
        <w:sz w:val="28"/>
        <w:szCs w:val="28"/>
      </w:rPr>
      <w:t>1</w:t>
    </w:r>
    <w:r>
      <w:rPr>
        <w:rFonts w:ascii="宋体" w:hAnsi="宋体" w:eastAsia="宋体" w:cs="宋体"/>
        <w:spacing w:val="7"/>
        <w:sz w:val="28"/>
        <w:szCs w:val="28"/>
      </w:rPr>
      <w:t xml:space="preserve"> </w:t>
    </w:r>
    <w:r>
      <w:rPr>
        <w:rFonts w:ascii="宋体" w:hAnsi="宋体" w:eastAsia="宋体" w:cs="宋体"/>
        <w:spacing w:val="-14"/>
        <w:sz w:val="28"/>
        <w:szCs w:val="28"/>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C56C2">
    <w:pPr>
      <w:spacing w:before="1" w:line="232" w:lineRule="auto"/>
      <w:ind w:left="8007"/>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32"/>
        <w:sz w:val="28"/>
        <w:szCs w:val="28"/>
      </w:rPr>
      <w:t xml:space="preserve"> </w:t>
    </w:r>
    <w:r>
      <w:rPr>
        <w:rFonts w:ascii="宋体" w:hAnsi="宋体" w:eastAsia="宋体" w:cs="宋体"/>
        <w:spacing w:val="-11"/>
        <w:sz w:val="28"/>
        <w:szCs w:val="28"/>
      </w:rPr>
      <w:t>13</w:t>
    </w:r>
    <w:r>
      <w:rPr>
        <w:rFonts w:ascii="宋体" w:hAnsi="宋体" w:eastAsia="宋体" w:cs="宋体"/>
        <w:spacing w:val="9"/>
        <w:sz w:val="28"/>
        <w:szCs w:val="28"/>
      </w:rPr>
      <w:t xml:space="preserve"> </w:t>
    </w:r>
    <w:r>
      <w:rPr>
        <w:rFonts w:ascii="宋体" w:hAnsi="宋体" w:eastAsia="宋体" w:cs="宋体"/>
        <w:spacing w:val="-11"/>
        <w:sz w:val="28"/>
        <w:szCs w:val="28"/>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DC409">
    <w:pPr>
      <w:spacing w:line="234" w:lineRule="auto"/>
      <w:ind w:left="3"/>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34"/>
        <w:sz w:val="28"/>
        <w:szCs w:val="28"/>
      </w:rPr>
      <w:t xml:space="preserve"> </w:t>
    </w:r>
    <w:r>
      <w:rPr>
        <w:rFonts w:ascii="宋体" w:hAnsi="宋体" w:eastAsia="宋体" w:cs="宋体"/>
        <w:spacing w:val="-11"/>
        <w:sz w:val="28"/>
        <w:szCs w:val="28"/>
      </w:rPr>
      <w:t>14</w:t>
    </w:r>
    <w:r>
      <w:rPr>
        <w:rFonts w:ascii="宋体" w:hAnsi="宋体" w:eastAsia="宋体" w:cs="宋体"/>
        <w:spacing w:val="9"/>
        <w:sz w:val="28"/>
        <w:szCs w:val="28"/>
      </w:rPr>
      <w:t xml:space="preserve"> </w:t>
    </w:r>
    <w:r>
      <w:rPr>
        <w:rFonts w:ascii="宋体" w:hAnsi="宋体" w:eastAsia="宋体" w:cs="宋体"/>
        <w:spacing w:val="-11"/>
        <w:sz w:val="28"/>
        <w:szCs w:val="28"/>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55AA0">
    <w:pPr>
      <w:spacing w:before="1" w:line="232" w:lineRule="auto"/>
      <w:ind w:left="8008"/>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32"/>
        <w:sz w:val="28"/>
        <w:szCs w:val="28"/>
      </w:rPr>
      <w:t xml:space="preserve"> </w:t>
    </w:r>
    <w:r>
      <w:rPr>
        <w:rFonts w:ascii="宋体" w:hAnsi="宋体" w:eastAsia="宋体" w:cs="宋体"/>
        <w:spacing w:val="-11"/>
        <w:sz w:val="28"/>
        <w:szCs w:val="28"/>
      </w:rPr>
      <w:t>15</w:t>
    </w:r>
    <w:r>
      <w:rPr>
        <w:rFonts w:ascii="宋体" w:hAnsi="宋体" w:eastAsia="宋体" w:cs="宋体"/>
        <w:spacing w:val="9"/>
        <w:sz w:val="28"/>
        <w:szCs w:val="28"/>
      </w:rPr>
      <w:t xml:space="preserve"> </w:t>
    </w:r>
    <w:r>
      <w:rPr>
        <w:rFonts w:ascii="宋体" w:hAnsi="宋体" w:eastAsia="宋体" w:cs="宋体"/>
        <w:spacing w:val="-11"/>
        <w:sz w:val="28"/>
        <w:szCs w:val="28"/>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88BB0">
    <w:pPr>
      <w:spacing w:before="1" w:line="232" w:lineRule="auto"/>
      <w:ind w:left="1"/>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34"/>
        <w:sz w:val="28"/>
        <w:szCs w:val="28"/>
      </w:rPr>
      <w:t xml:space="preserve"> </w:t>
    </w:r>
    <w:r>
      <w:rPr>
        <w:rFonts w:ascii="宋体" w:hAnsi="宋体" w:eastAsia="宋体" w:cs="宋体"/>
        <w:spacing w:val="-11"/>
        <w:sz w:val="28"/>
        <w:szCs w:val="28"/>
      </w:rPr>
      <w:t>16</w:t>
    </w:r>
    <w:r>
      <w:rPr>
        <w:rFonts w:ascii="宋体" w:hAnsi="宋体" w:eastAsia="宋体" w:cs="宋体"/>
        <w:spacing w:val="9"/>
        <w:sz w:val="28"/>
        <w:szCs w:val="28"/>
      </w:rPr>
      <w:t xml:space="preserve"> </w:t>
    </w:r>
    <w:r>
      <w:rPr>
        <w:rFonts w:ascii="宋体" w:hAnsi="宋体" w:eastAsia="宋体" w:cs="宋体"/>
        <w:spacing w:val="-11"/>
        <w:sz w:val="28"/>
        <w:szCs w:val="28"/>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89940">
    <w:pPr>
      <w:spacing w:before="1" w:line="232" w:lineRule="auto"/>
      <w:ind w:right="36"/>
      <w:jc w:val="right"/>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32"/>
        <w:sz w:val="28"/>
        <w:szCs w:val="28"/>
      </w:rPr>
      <w:t xml:space="preserve"> </w:t>
    </w:r>
    <w:r>
      <w:rPr>
        <w:rFonts w:ascii="宋体" w:hAnsi="宋体" w:eastAsia="宋体" w:cs="宋体"/>
        <w:spacing w:val="-11"/>
        <w:sz w:val="28"/>
        <w:szCs w:val="28"/>
      </w:rPr>
      <w:t>17</w:t>
    </w:r>
    <w:r>
      <w:rPr>
        <w:rFonts w:ascii="宋体" w:hAnsi="宋体" w:eastAsia="宋体" w:cs="宋体"/>
        <w:spacing w:val="9"/>
        <w:sz w:val="28"/>
        <w:szCs w:val="28"/>
      </w:rPr>
      <w:t xml:space="preserve"> </w:t>
    </w:r>
    <w:r>
      <w:rPr>
        <w:rFonts w:ascii="宋体" w:hAnsi="宋体" w:eastAsia="宋体" w:cs="宋体"/>
        <w:spacing w:val="-11"/>
        <w:sz w:val="28"/>
        <w:szCs w:val="28"/>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9249E">
    <w:pPr>
      <w:spacing w:before="1" w:line="232" w:lineRule="auto"/>
      <w:ind w:right="36"/>
      <w:jc w:val="right"/>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2"/>
        <w:sz w:val="28"/>
        <w:szCs w:val="28"/>
      </w:rPr>
      <w:t xml:space="preserve"> </w:t>
    </w:r>
    <w:r>
      <w:rPr>
        <w:rFonts w:ascii="宋体" w:hAnsi="宋体" w:eastAsia="宋体" w:cs="宋体"/>
        <w:spacing w:val="-6"/>
        <w:sz w:val="28"/>
        <w:szCs w:val="28"/>
      </w:rPr>
      <w:t>25</w:t>
    </w:r>
    <w:r>
      <w:rPr>
        <w:rFonts w:ascii="宋体" w:hAnsi="宋体" w:eastAsia="宋体" w:cs="宋体"/>
        <w:spacing w:val="9"/>
        <w:sz w:val="28"/>
        <w:szCs w:val="28"/>
      </w:rPr>
      <w:t xml:space="preserve"> </w:t>
    </w:r>
    <w:r>
      <w:rPr>
        <w:rFonts w:ascii="宋体" w:hAnsi="宋体" w:eastAsia="宋体" w:cs="宋体"/>
        <w:spacing w:val="-6"/>
        <w:sz w:val="28"/>
        <w:szCs w:val="28"/>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9E9B5">
    <w:pPr>
      <w:spacing w:before="1" w:line="232" w:lineRule="auto"/>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4"/>
        <w:sz w:val="28"/>
        <w:szCs w:val="28"/>
      </w:rPr>
      <w:t xml:space="preserve"> </w:t>
    </w:r>
    <w:r>
      <w:rPr>
        <w:rFonts w:ascii="宋体" w:hAnsi="宋体" w:eastAsia="宋体" w:cs="宋体"/>
        <w:spacing w:val="-6"/>
        <w:sz w:val="28"/>
        <w:szCs w:val="28"/>
      </w:rPr>
      <w:t>26</w:t>
    </w:r>
    <w:r>
      <w:rPr>
        <w:rFonts w:ascii="宋体" w:hAnsi="宋体" w:eastAsia="宋体" w:cs="宋体"/>
        <w:spacing w:val="9"/>
        <w:sz w:val="28"/>
        <w:szCs w:val="28"/>
      </w:rPr>
      <w:t xml:space="preserve"> </w:t>
    </w:r>
    <w:r>
      <w:rPr>
        <w:rFonts w:ascii="宋体" w:hAnsi="宋体" w:eastAsia="宋体" w:cs="宋体"/>
        <w:spacing w:val="-6"/>
        <w:sz w:val="28"/>
        <w:szCs w:val="28"/>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00F44">
    <w:pPr>
      <w:spacing w:before="1" w:line="232" w:lineRule="auto"/>
      <w:ind w:left="8012"/>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2"/>
        <w:sz w:val="28"/>
        <w:szCs w:val="28"/>
      </w:rPr>
      <w:t xml:space="preserve"> </w:t>
    </w:r>
    <w:r>
      <w:rPr>
        <w:rFonts w:ascii="宋体" w:hAnsi="宋体" w:eastAsia="宋体" w:cs="宋体"/>
        <w:spacing w:val="-6"/>
        <w:sz w:val="28"/>
        <w:szCs w:val="28"/>
      </w:rPr>
      <w:t>27</w:t>
    </w:r>
    <w:r>
      <w:rPr>
        <w:rFonts w:ascii="宋体" w:hAnsi="宋体" w:eastAsia="宋体" w:cs="宋体"/>
        <w:spacing w:val="9"/>
        <w:sz w:val="28"/>
        <w:szCs w:val="28"/>
      </w:rPr>
      <w:t xml:space="preserve"> </w:t>
    </w:r>
    <w:r>
      <w:rPr>
        <w:rFonts w:ascii="宋体" w:hAnsi="宋体" w:eastAsia="宋体" w:cs="宋体"/>
        <w:spacing w:val="-6"/>
        <w:sz w:val="28"/>
        <w:szCs w:val="28"/>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74CA0">
    <w:pPr>
      <w:spacing w:before="1" w:line="232" w:lineRule="auto"/>
      <w:ind w:left="6"/>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4"/>
        <w:sz w:val="28"/>
        <w:szCs w:val="28"/>
      </w:rPr>
      <w:t xml:space="preserve"> </w:t>
    </w:r>
    <w:r>
      <w:rPr>
        <w:rFonts w:ascii="宋体" w:hAnsi="宋体" w:eastAsia="宋体" w:cs="宋体"/>
        <w:spacing w:val="-6"/>
        <w:sz w:val="28"/>
        <w:szCs w:val="28"/>
      </w:rPr>
      <w:t>28</w:t>
    </w:r>
    <w:r>
      <w:rPr>
        <w:rFonts w:ascii="宋体" w:hAnsi="宋体" w:eastAsia="宋体" w:cs="宋体"/>
        <w:spacing w:val="9"/>
        <w:sz w:val="28"/>
        <w:szCs w:val="28"/>
      </w:rPr>
      <w:t xml:space="preserve"> </w:t>
    </w:r>
    <w:r>
      <w:rPr>
        <w:rFonts w:ascii="宋体" w:hAnsi="宋体" w:eastAsia="宋体" w:cs="宋体"/>
        <w:spacing w:val="-6"/>
        <w:sz w:val="28"/>
        <w:szCs w:val="28"/>
      </w:rPr>
      <w:t>-</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520F7">
    <w:pPr>
      <w:spacing w:before="1" w:line="232" w:lineRule="auto"/>
      <w:ind w:left="8073"/>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2"/>
        <w:sz w:val="28"/>
        <w:szCs w:val="28"/>
      </w:rPr>
      <w:t xml:space="preserve"> </w:t>
    </w:r>
    <w:r>
      <w:rPr>
        <w:rFonts w:ascii="宋体" w:hAnsi="宋体" w:eastAsia="宋体" w:cs="宋体"/>
        <w:spacing w:val="-6"/>
        <w:sz w:val="28"/>
        <w:szCs w:val="28"/>
      </w:rPr>
      <w:t>29</w:t>
    </w:r>
    <w:r>
      <w:rPr>
        <w:rFonts w:ascii="宋体" w:hAnsi="宋体" w:eastAsia="宋体" w:cs="宋体"/>
        <w:spacing w:val="9"/>
        <w:sz w:val="28"/>
        <w:szCs w:val="28"/>
      </w:rPr>
      <w:t xml:space="preserve"> </w:t>
    </w:r>
    <w:r>
      <w:rPr>
        <w:rFonts w:ascii="宋体" w:hAnsi="宋体" w:eastAsia="宋体" w:cs="宋体"/>
        <w:spacing w:val="-6"/>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9EE61">
    <w:pPr>
      <w:spacing w:line="234" w:lineRule="auto"/>
      <w:ind w:left="3"/>
      <w:rPr>
        <w:rFonts w:ascii="宋体" w:hAnsi="宋体" w:eastAsia="宋体" w:cs="宋体"/>
        <w:sz w:val="28"/>
        <w:szCs w:val="28"/>
      </w:rPr>
    </w:pPr>
    <w:r>
      <w:rPr>
        <w:rFonts w:ascii="宋体" w:hAnsi="宋体" w:eastAsia="宋体" w:cs="宋体"/>
        <w:spacing w:val="-8"/>
        <w:sz w:val="28"/>
        <w:szCs w:val="28"/>
      </w:rPr>
      <w:t>-</w:t>
    </w:r>
    <w:r>
      <w:rPr>
        <w:rFonts w:ascii="宋体" w:hAnsi="宋体" w:eastAsia="宋体" w:cs="宋体"/>
        <w:spacing w:val="15"/>
        <w:sz w:val="28"/>
        <w:szCs w:val="28"/>
      </w:rPr>
      <w:t xml:space="preserve"> </w:t>
    </w:r>
    <w:r>
      <w:rPr>
        <w:rFonts w:ascii="宋体" w:hAnsi="宋体" w:eastAsia="宋体" w:cs="宋体"/>
        <w:spacing w:val="-8"/>
        <w:sz w:val="28"/>
        <w:szCs w:val="28"/>
      </w:rPr>
      <w:t>2</w:t>
    </w:r>
    <w:r>
      <w:rPr>
        <w:rFonts w:ascii="宋体" w:hAnsi="宋体" w:eastAsia="宋体" w:cs="宋体"/>
        <w:spacing w:val="9"/>
        <w:sz w:val="28"/>
        <w:szCs w:val="28"/>
      </w:rPr>
      <w:t xml:space="preserve"> </w:t>
    </w:r>
    <w:r>
      <w:rPr>
        <w:rFonts w:ascii="宋体" w:hAnsi="宋体" w:eastAsia="宋体" w:cs="宋体"/>
        <w:spacing w:val="-8"/>
        <w:sz w:val="28"/>
        <w:szCs w:val="28"/>
      </w:rPr>
      <w:t>-</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3651E">
    <w:pPr>
      <w:spacing w:before="1" w:line="232" w:lineRule="auto"/>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8"/>
        <w:sz w:val="28"/>
        <w:szCs w:val="28"/>
      </w:rPr>
      <w:t xml:space="preserve"> </w:t>
    </w:r>
    <w:r>
      <w:rPr>
        <w:rFonts w:ascii="宋体" w:hAnsi="宋体" w:eastAsia="宋体" w:cs="宋体"/>
        <w:spacing w:val="-7"/>
        <w:sz w:val="28"/>
        <w:szCs w:val="28"/>
      </w:rPr>
      <w:t>30</w:t>
    </w:r>
    <w:r>
      <w:rPr>
        <w:rFonts w:ascii="宋体" w:hAnsi="宋体" w:eastAsia="宋体" w:cs="宋体"/>
        <w:spacing w:val="9"/>
        <w:sz w:val="28"/>
        <w:szCs w:val="28"/>
      </w:rPr>
      <w:t xml:space="preserve"> </w:t>
    </w:r>
    <w:r>
      <w:rPr>
        <w:rFonts w:ascii="宋体" w:hAnsi="宋体" w:eastAsia="宋体" w:cs="宋体"/>
        <w:spacing w:val="-7"/>
        <w:sz w:val="28"/>
        <w:szCs w:val="28"/>
      </w:rPr>
      <w:t>-</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AFF14">
    <w:pPr>
      <w:spacing w:before="1" w:line="232" w:lineRule="auto"/>
      <w:ind w:left="8005"/>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6"/>
        <w:sz w:val="28"/>
        <w:szCs w:val="28"/>
      </w:rPr>
      <w:t xml:space="preserve"> </w:t>
    </w:r>
    <w:r>
      <w:rPr>
        <w:rFonts w:ascii="宋体" w:hAnsi="宋体" w:eastAsia="宋体" w:cs="宋体"/>
        <w:spacing w:val="-7"/>
        <w:sz w:val="28"/>
        <w:szCs w:val="28"/>
      </w:rPr>
      <w:t>31</w:t>
    </w:r>
    <w:r>
      <w:rPr>
        <w:rFonts w:ascii="宋体" w:hAnsi="宋体" w:eastAsia="宋体" w:cs="宋体"/>
        <w:spacing w:val="9"/>
        <w:sz w:val="28"/>
        <w:szCs w:val="28"/>
      </w:rPr>
      <w:t xml:space="preserve"> </w:t>
    </w:r>
    <w:r>
      <w:rPr>
        <w:rFonts w:ascii="宋体" w:hAnsi="宋体" w:eastAsia="宋体" w:cs="宋体"/>
        <w:spacing w:val="-7"/>
        <w:sz w:val="28"/>
        <w:szCs w:val="28"/>
      </w:rPr>
      <w:t>-</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7B4FD">
    <w:pPr>
      <w:spacing w:before="1" w:line="232" w:lineRule="auto"/>
      <w:ind w:left="5"/>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8"/>
        <w:sz w:val="28"/>
        <w:szCs w:val="28"/>
      </w:rPr>
      <w:t xml:space="preserve"> </w:t>
    </w:r>
    <w:r>
      <w:rPr>
        <w:rFonts w:ascii="宋体" w:hAnsi="宋体" w:eastAsia="宋体" w:cs="宋体"/>
        <w:spacing w:val="-7"/>
        <w:sz w:val="28"/>
        <w:szCs w:val="28"/>
      </w:rPr>
      <w:t>36</w:t>
    </w:r>
    <w:r>
      <w:rPr>
        <w:rFonts w:ascii="宋体" w:hAnsi="宋体" w:eastAsia="宋体" w:cs="宋体"/>
        <w:spacing w:val="9"/>
        <w:sz w:val="28"/>
        <w:szCs w:val="28"/>
      </w:rPr>
      <w:t xml:space="preserve"> </w:t>
    </w:r>
    <w:r>
      <w:rPr>
        <w:rFonts w:ascii="宋体" w:hAnsi="宋体" w:eastAsia="宋体" w:cs="宋体"/>
        <w:spacing w:val="-7"/>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02C08">
    <w:pPr>
      <w:spacing w:line="234" w:lineRule="auto"/>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0"/>
        <w:sz w:val="28"/>
        <w:szCs w:val="28"/>
      </w:rPr>
      <w:t xml:space="preserve"> </w:t>
    </w:r>
    <w:r>
      <w:rPr>
        <w:rFonts w:ascii="宋体" w:hAnsi="宋体" w:eastAsia="宋体" w:cs="宋体"/>
        <w:spacing w:val="-6"/>
        <w:sz w:val="28"/>
        <w:szCs w:val="28"/>
      </w:rPr>
      <w:t>4</w:t>
    </w:r>
    <w:r>
      <w:rPr>
        <w:rFonts w:ascii="宋体" w:hAnsi="宋体" w:eastAsia="宋体" w:cs="宋体"/>
        <w:spacing w:val="9"/>
        <w:sz w:val="28"/>
        <w:szCs w:val="28"/>
      </w:rPr>
      <w:t xml:space="preserve"> </w:t>
    </w:r>
    <w:r>
      <w:rPr>
        <w:rFonts w:ascii="宋体" w:hAnsi="宋体" w:eastAsia="宋体" w:cs="宋体"/>
        <w:spacing w:val="-6"/>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C9D43">
    <w:pPr>
      <w:spacing w:before="1" w:line="232" w:lineRule="auto"/>
      <w:ind w:right="36"/>
      <w:jc w:val="right"/>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18"/>
        <w:sz w:val="28"/>
        <w:szCs w:val="28"/>
      </w:rPr>
      <w:t xml:space="preserve"> </w:t>
    </w:r>
    <w:r>
      <w:rPr>
        <w:rFonts w:ascii="宋体" w:hAnsi="宋体" w:eastAsia="宋体" w:cs="宋体"/>
        <w:spacing w:val="-9"/>
        <w:sz w:val="28"/>
        <w:szCs w:val="28"/>
      </w:rPr>
      <w:t>5</w:t>
    </w:r>
    <w:r>
      <w:rPr>
        <w:rFonts w:ascii="宋体" w:hAnsi="宋体" w:eastAsia="宋体" w:cs="宋体"/>
        <w:spacing w:val="7"/>
        <w:sz w:val="28"/>
        <w:szCs w:val="28"/>
      </w:rPr>
      <w:t xml:space="preserve"> </w:t>
    </w:r>
    <w:r>
      <w:rPr>
        <w:rFonts w:ascii="宋体" w:hAnsi="宋体" w:eastAsia="宋体" w:cs="宋体"/>
        <w:spacing w:val="-9"/>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A1C6E">
    <w:pPr>
      <w:spacing w:before="1" w:line="232" w:lineRule="auto"/>
      <w:ind w:left="718"/>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3"/>
        <w:sz w:val="28"/>
        <w:szCs w:val="28"/>
      </w:rPr>
      <w:t xml:space="preserve"> </w:t>
    </w:r>
    <w:r>
      <w:rPr>
        <w:rFonts w:ascii="宋体" w:hAnsi="宋体" w:eastAsia="宋体" w:cs="宋体"/>
        <w:spacing w:val="-7"/>
        <w:sz w:val="28"/>
        <w:szCs w:val="28"/>
      </w:rPr>
      <w:t>6</w:t>
    </w:r>
    <w:r>
      <w:rPr>
        <w:rFonts w:ascii="宋体" w:hAnsi="宋体" w:eastAsia="宋体" w:cs="宋体"/>
        <w:spacing w:val="9"/>
        <w:sz w:val="28"/>
        <w:szCs w:val="28"/>
      </w:rPr>
      <w:t xml:space="preserve"> </w:t>
    </w:r>
    <w:r>
      <w:rPr>
        <w:rFonts w:ascii="宋体" w:hAnsi="宋体" w:eastAsia="宋体" w:cs="宋体"/>
        <w:spacing w:val="-7"/>
        <w:sz w:val="28"/>
        <w:szCs w:val="2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394F0">
    <w:pPr>
      <w:spacing w:before="1" w:line="232" w:lineRule="auto"/>
      <w:ind w:left="8146"/>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18"/>
        <w:sz w:val="28"/>
        <w:szCs w:val="28"/>
      </w:rPr>
      <w:t xml:space="preserve"> </w:t>
    </w:r>
    <w:r>
      <w:rPr>
        <w:rFonts w:ascii="宋体" w:hAnsi="宋体" w:eastAsia="宋体" w:cs="宋体"/>
        <w:spacing w:val="-9"/>
        <w:sz w:val="28"/>
        <w:szCs w:val="28"/>
      </w:rPr>
      <w:t>7</w:t>
    </w:r>
    <w:r>
      <w:rPr>
        <w:rFonts w:ascii="宋体" w:hAnsi="宋体" w:eastAsia="宋体" w:cs="宋体"/>
        <w:spacing w:val="7"/>
        <w:sz w:val="28"/>
        <w:szCs w:val="28"/>
      </w:rPr>
      <w:t xml:space="preserve"> </w:t>
    </w:r>
    <w:r>
      <w:rPr>
        <w:rFonts w:ascii="宋体" w:hAnsi="宋体" w:eastAsia="宋体" w:cs="宋体"/>
        <w:spacing w:val="-9"/>
        <w:sz w:val="28"/>
        <w:szCs w:val="2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DB278">
    <w:pPr>
      <w:spacing w:before="1" w:line="232" w:lineRule="auto"/>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34"/>
        <w:sz w:val="28"/>
        <w:szCs w:val="28"/>
      </w:rPr>
      <w:t xml:space="preserve"> </w:t>
    </w:r>
    <w:r>
      <w:rPr>
        <w:rFonts w:ascii="宋体" w:hAnsi="宋体" w:eastAsia="宋体" w:cs="宋体"/>
        <w:spacing w:val="-11"/>
        <w:sz w:val="28"/>
        <w:szCs w:val="28"/>
      </w:rPr>
      <w:t>10</w:t>
    </w:r>
    <w:r>
      <w:rPr>
        <w:rFonts w:ascii="宋体" w:hAnsi="宋体" w:eastAsia="宋体" w:cs="宋体"/>
        <w:spacing w:val="9"/>
        <w:sz w:val="28"/>
        <w:szCs w:val="28"/>
      </w:rPr>
      <w:t xml:space="preserve"> </w:t>
    </w:r>
    <w:r>
      <w:rPr>
        <w:rFonts w:ascii="宋体" w:hAnsi="宋体" w:eastAsia="宋体" w:cs="宋体"/>
        <w:spacing w:val="-11"/>
        <w:sz w:val="28"/>
        <w:szCs w:val="2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00F19">
    <w:pPr>
      <w:spacing w:line="234" w:lineRule="auto"/>
      <w:ind w:left="8007"/>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32"/>
        <w:sz w:val="28"/>
        <w:szCs w:val="28"/>
      </w:rPr>
      <w:t xml:space="preserve"> </w:t>
    </w:r>
    <w:r>
      <w:rPr>
        <w:rFonts w:ascii="宋体" w:hAnsi="宋体" w:eastAsia="宋体" w:cs="宋体"/>
        <w:spacing w:val="-11"/>
        <w:sz w:val="28"/>
        <w:szCs w:val="28"/>
      </w:rPr>
      <w:t>11</w:t>
    </w:r>
    <w:r>
      <w:rPr>
        <w:rFonts w:ascii="宋体" w:hAnsi="宋体" w:eastAsia="宋体" w:cs="宋体"/>
        <w:spacing w:val="9"/>
        <w:sz w:val="28"/>
        <w:szCs w:val="28"/>
      </w:rPr>
      <w:t xml:space="preserve"> </w:t>
    </w:r>
    <w:r>
      <w:rPr>
        <w:rFonts w:ascii="宋体" w:hAnsi="宋体" w:eastAsia="宋体" w:cs="宋体"/>
        <w:spacing w:val="-11"/>
        <w:sz w:val="28"/>
        <w:szCs w:val="2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8A2C2">
    <w:pPr>
      <w:spacing w:line="234" w:lineRule="auto"/>
      <w:ind w:left="6"/>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34"/>
        <w:sz w:val="28"/>
        <w:szCs w:val="28"/>
      </w:rPr>
      <w:t xml:space="preserve"> </w:t>
    </w:r>
    <w:r>
      <w:rPr>
        <w:rFonts w:ascii="宋体" w:hAnsi="宋体" w:eastAsia="宋体" w:cs="宋体"/>
        <w:spacing w:val="-11"/>
        <w:sz w:val="28"/>
        <w:szCs w:val="28"/>
      </w:rPr>
      <w:t>12</w:t>
    </w:r>
    <w:r>
      <w:rPr>
        <w:rFonts w:ascii="宋体" w:hAnsi="宋体" w:eastAsia="宋体" w:cs="宋体"/>
        <w:spacing w:val="9"/>
        <w:sz w:val="28"/>
        <w:szCs w:val="28"/>
      </w:rPr>
      <w:t xml:space="preserve"> </w:t>
    </w:r>
    <w:r>
      <w:rPr>
        <w:rFonts w:ascii="宋体" w:hAnsi="宋体" w:eastAsia="宋体" w:cs="宋体"/>
        <w:spacing w:val="-11"/>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1CE3A0A"/>
    <w:rsid w:val="03BB4035"/>
    <w:rsid w:val="04E946B7"/>
    <w:rsid w:val="0CAD06C0"/>
    <w:rsid w:val="0F0E7B3C"/>
    <w:rsid w:val="0F9C6EF5"/>
    <w:rsid w:val="10B93AD7"/>
    <w:rsid w:val="19FB6FB5"/>
    <w:rsid w:val="1DCD2970"/>
    <w:rsid w:val="22460F43"/>
    <w:rsid w:val="27427F2B"/>
    <w:rsid w:val="27814EF7"/>
    <w:rsid w:val="2BCE6231"/>
    <w:rsid w:val="2D0143E4"/>
    <w:rsid w:val="313308E4"/>
    <w:rsid w:val="31B85B67"/>
    <w:rsid w:val="333252F7"/>
    <w:rsid w:val="3437693D"/>
    <w:rsid w:val="3D902FEA"/>
    <w:rsid w:val="46AD3BAD"/>
    <w:rsid w:val="4ACF7478"/>
    <w:rsid w:val="4DB34E2F"/>
    <w:rsid w:val="4E485577"/>
    <w:rsid w:val="4EA54889"/>
    <w:rsid w:val="53CC6C4A"/>
    <w:rsid w:val="54D04518"/>
    <w:rsid w:val="5588094F"/>
    <w:rsid w:val="57281DB1"/>
    <w:rsid w:val="580469B3"/>
    <w:rsid w:val="6A294057"/>
    <w:rsid w:val="6E4E6782"/>
    <w:rsid w:val="72B33057"/>
    <w:rsid w:val="73375A36"/>
    <w:rsid w:val="744228E5"/>
    <w:rsid w:val="77521091"/>
    <w:rsid w:val="79352A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FangSong_GB2312" w:hAnsi="FangSong_GB2312" w:eastAsia="FangSong_GB2312" w:cs="FangSong_GB2312"/>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customXml" Target="../customXml/item1.xml"/><Relationship Id="rId27" Type="http://schemas.openxmlformats.org/officeDocument/2006/relationships/theme" Target="theme/theme1.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37</Pages>
  <Words>2715</Words>
  <Characters>2774</Characters>
  <TotalTime>0</TotalTime>
  <ScaleCrop>false</ScaleCrop>
  <LinksUpToDate>false</LinksUpToDate>
  <CharactersWithSpaces>2863</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2026-02-25T10:04:00Z</dcterms:created>
  <dc:creator>Lenovo</dc:creator>
  <cp:lastModifiedBy>JD</cp:lastModifiedBy>
  <dcterms:modified xsi:type="dcterms:W3CDTF">2026-02-27T08:39:04Z</dcterms:modified>
  <dc:title>关于征求《韶关市市场监管体系“十四五”发展规划（草拟稿）》修改意见的通知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2026-02-25T10:05:03Z</vt:filetime>
  </property>
  <property fmtid="{D5CDD505-2E9C-101B-9397-08002B2CF9AE}" pid="4" name="KSOTemplateDocerSaveRecord">
    <vt:lpwstr>eyJoZGlkIjoiYWM0YTdiZDY2OGY5MTI5NzI0YTIwM2U1MWE0ZTU2NDgiLCJ1c2VySWQiOiIxNjYzMzMyMjQ4In0=</vt:lpwstr>
  </property>
  <property fmtid="{D5CDD505-2E9C-101B-9397-08002B2CF9AE}" pid="5" name="KSOProductBuildVer">
    <vt:lpwstr>2052-12.1.0.20305</vt:lpwstr>
  </property>
  <property fmtid="{D5CDD505-2E9C-101B-9397-08002B2CF9AE}" pid="6" name="ICV">
    <vt:lpwstr>0B0343DD5FBF4928BACE01FB48C74B54_12</vt:lpwstr>
  </property>
</Properties>
</file>