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1C637B">
      <w:pPr>
        <w:kinsoku/>
        <w:topLinePunct/>
        <w:spacing w:line="560" w:lineRule="exact"/>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韶关市武江区人民政府关于韶关市武江区</w:t>
      </w:r>
    </w:p>
    <w:p w14:paraId="766A4D2C">
      <w:pPr>
        <w:keepNext w:val="0"/>
        <w:keepLines w:val="0"/>
        <w:pageBreakBefore w:val="0"/>
        <w:widowControl/>
        <w:kinsoku/>
        <w:wordWrap/>
        <w:overflowPunct/>
        <w:topLinePunct/>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202</w:t>
      </w:r>
      <w:r>
        <w:rPr>
          <w:rFonts w:hint="eastAsia" w:ascii="方正小标宋简体" w:hAnsi="方正小标宋简体" w:eastAsia="方正小标宋简体" w:cs="方正小标宋简体"/>
          <w:sz w:val="44"/>
          <w:szCs w:val="44"/>
          <w:lang w:val="en-US" w:eastAsia="zh-CN"/>
        </w:rPr>
        <w:t>4</w:t>
      </w:r>
      <w:r>
        <w:rPr>
          <w:rFonts w:hint="eastAsia" w:ascii="方正小标宋简体" w:hAnsi="方正小标宋简体" w:eastAsia="方正小标宋简体" w:cs="方正小标宋简体"/>
          <w:sz w:val="44"/>
          <w:szCs w:val="44"/>
          <w:lang w:eastAsia="zh-CN"/>
        </w:rPr>
        <w:t>年度第六批次城镇建设用地</w:t>
      </w:r>
    </w:p>
    <w:p w14:paraId="2834D881">
      <w:pPr>
        <w:keepNext w:val="0"/>
        <w:keepLines w:val="0"/>
        <w:pageBreakBefore w:val="0"/>
        <w:widowControl/>
        <w:kinsoku/>
        <w:wordWrap/>
        <w:overflowPunct/>
        <w:topLinePunct/>
        <w:autoSpaceDE/>
        <w:autoSpaceDN/>
        <w:bidi w:val="0"/>
        <w:adjustRightInd/>
        <w:snapToGrid/>
        <w:spacing w:line="560" w:lineRule="exact"/>
        <w:jc w:val="center"/>
        <w:textAlignment w:val="auto"/>
        <w:rPr>
          <w:rFonts w:hint="eastAsia" w:ascii="方正小标宋简体" w:hAnsi="宋体" w:eastAsia="方正小标宋简体" w:cs="宋体"/>
          <w:bCs/>
          <w:sz w:val="44"/>
          <w:szCs w:val="44"/>
          <w:lang w:eastAsia="zh-CN"/>
        </w:rPr>
      </w:pPr>
      <w:r>
        <w:rPr>
          <w:rFonts w:hint="eastAsia" w:ascii="方正小标宋简体" w:hAnsi="方正小标宋简体" w:eastAsia="方正小标宋简体" w:cs="方正小标宋简体"/>
          <w:sz w:val="44"/>
          <w:szCs w:val="44"/>
          <w:lang w:eastAsia="zh-CN"/>
        </w:rPr>
        <w:t>项目征地补偿安置方案公告</w:t>
      </w:r>
    </w:p>
    <w:p w14:paraId="3478DC83">
      <w:pPr>
        <w:spacing w:before="21" w:line="560" w:lineRule="exact"/>
        <w:ind w:left="2610"/>
        <w:outlineLvl w:val="0"/>
        <w:rPr>
          <w:rFonts w:hint="eastAsia" w:ascii="仿宋_GB2312" w:hAnsi="宋体" w:eastAsia="仿宋_GB2312" w:cs="宋体"/>
          <w:bCs/>
          <w:kern w:val="2"/>
          <w:sz w:val="32"/>
          <w:szCs w:val="32"/>
          <w:highlight w:val="yellow"/>
          <w:lang w:val="en-US" w:eastAsia="zh-CN" w:bidi="ar-SA"/>
        </w:rPr>
      </w:pPr>
    </w:p>
    <w:p w14:paraId="4891F753">
      <w:pPr>
        <w:keepNext w:val="0"/>
        <w:keepLines w:val="0"/>
        <w:pageBreakBefore w:val="0"/>
        <w:kinsoku/>
        <w:wordWrap/>
        <w:overflowPunct/>
        <w:topLinePunct w:val="0"/>
        <w:autoSpaceDE w:val="0"/>
        <w:autoSpaceDN/>
        <w:bidi w:val="0"/>
        <w:adjustRightInd/>
        <w:snapToGrid/>
        <w:spacing w:line="560" w:lineRule="exact"/>
        <w:jc w:val="center"/>
        <w:rPr>
          <w:rFonts w:hint="eastAsia" w:ascii="楷体_GB2312" w:hAnsi="楷体_GB2312" w:eastAsia="楷体_GB2312" w:cs="楷体_GB2312"/>
          <w:bCs/>
          <w:kern w:val="0"/>
          <w:sz w:val="32"/>
          <w:szCs w:val="32"/>
          <w:highlight w:val="none"/>
        </w:rPr>
      </w:pPr>
      <w:r>
        <w:rPr>
          <w:rFonts w:hint="eastAsia" w:ascii="楷体_GB2312" w:hAnsi="楷体_GB2312" w:eastAsia="楷体_GB2312" w:cs="楷体_GB2312"/>
          <w:spacing w:val="4"/>
          <w:sz w:val="32"/>
          <w:szCs w:val="32"/>
          <w:highlight w:val="none"/>
          <w:lang w:val="en-US" w:eastAsia="zh-CN"/>
        </w:rPr>
        <w:t>韶武府</w:t>
      </w:r>
      <w:r>
        <w:rPr>
          <w:rFonts w:hint="eastAsia" w:ascii="楷体_GB2312" w:hAnsi="楷体_GB2312" w:eastAsia="楷体_GB2312" w:cs="楷体_GB2312"/>
          <w:spacing w:val="4"/>
          <w:sz w:val="32"/>
          <w:szCs w:val="32"/>
          <w:highlight w:val="none"/>
        </w:rPr>
        <w:t>征补告〔20</w:t>
      </w:r>
      <w:r>
        <w:rPr>
          <w:rFonts w:hint="eastAsia" w:ascii="楷体_GB2312" w:hAnsi="楷体_GB2312" w:eastAsia="楷体_GB2312" w:cs="楷体_GB2312"/>
          <w:spacing w:val="4"/>
          <w:sz w:val="32"/>
          <w:szCs w:val="32"/>
          <w:highlight w:val="none"/>
          <w:lang w:val="en-US" w:eastAsia="zh-CN"/>
        </w:rPr>
        <w:t>25</w:t>
      </w:r>
      <w:r>
        <w:rPr>
          <w:rFonts w:hint="eastAsia" w:ascii="楷体_GB2312" w:hAnsi="楷体_GB2312" w:eastAsia="楷体_GB2312" w:cs="楷体_GB2312"/>
          <w:spacing w:val="4"/>
          <w:sz w:val="32"/>
          <w:szCs w:val="32"/>
          <w:highlight w:val="none"/>
        </w:rPr>
        <w:t>〕</w:t>
      </w:r>
      <w:r>
        <w:rPr>
          <w:rFonts w:hint="eastAsia" w:ascii="楷体_GB2312" w:hAnsi="楷体_GB2312" w:eastAsia="楷体_GB2312" w:cs="楷体_GB2312"/>
          <w:spacing w:val="4"/>
          <w:sz w:val="32"/>
          <w:szCs w:val="32"/>
          <w:highlight w:val="none"/>
          <w:lang w:val="en-US" w:eastAsia="zh-CN"/>
        </w:rPr>
        <w:t>8</w:t>
      </w:r>
      <w:r>
        <w:rPr>
          <w:rFonts w:hint="eastAsia" w:ascii="楷体_GB2312" w:hAnsi="楷体_GB2312" w:eastAsia="楷体_GB2312" w:cs="楷体_GB2312"/>
          <w:spacing w:val="4"/>
          <w:sz w:val="32"/>
          <w:szCs w:val="32"/>
          <w:highlight w:val="none"/>
        </w:rPr>
        <w:t>号</w:t>
      </w:r>
    </w:p>
    <w:p w14:paraId="6CC63B56">
      <w:pPr>
        <w:pStyle w:val="5"/>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hint="eastAsia" w:ascii="仿宋_GB2312" w:hAnsi="宋体" w:eastAsia="仿宋_GB2312" w:cs="宋体"/>
          <w:bCs/>
          <w:sz w:val="32"/>
          <w:szCs w:val="32"/>
          <w:lang w:eastAsia="zh-CN"/>
        </w:rPr>
      </w:pPr>
    </w:p>
    <w:p w14:paraId="5D31630B">
      <w:pPr>
        <w:pStyle w:val="5"/>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hint="eastAsia" w:ascii="仿宋_GB2312" w:hAnsi="宋体" w:eastAsia="仿宋_GB2312" w:cs="宋体"/>
          <w:bCs/>
          <w:sz w:val="32"/>
          <w:szCs w:val="32"/>
          <w:lang w:eastAsia="zh-CN"/>
        </w:rPr>
      </w:pPr>
      <w:r>
        <w:rPr>
          <w:rFonts w:hint="eastAsia" w:ascii="仿宋_GB2312" w:hAnsi="宋体" w:eastAsia="仿宋_GB2312" w:cs="宋体"/>
          <w:bCs/>
          <w:sz w:val="32"/>
          <w:szCs w:val="32"/>
          <w:lang w:eastAsia="zh-CN"/>
        </w:rPr>
        <w:t>根据《中华人民共和国土地管理法》第四十七条、第四十八条，《中华人民共和国土地管理法实施条例》第二十七条、第二十八条，《广东省土地管理条例》第三十条的规定，我府组织编制了韶关市</w:t>
      </w:r>
      <w:r>
        <w:rPr>
          <w:rFonts w:hint="eastAsia" w:ascii="仿宋_GB2312" w:hAnsi="宋体" w:eastAsia="仿宋_GB2312" w:cs="宋体"/>
          <w:bCs/>
          <w:sz w:val="32"/>
          <w:szCs w:val="32"/>
          <w:lang w:val="en-US" w:eastAsia="zh-CN"/>
        </w:rPr>
        <w:t>武江</w:t>
      </w:r>
      <w:r>
        <w:rPr>
          <w:rFonts w:hint="eastAsia" w:ascii="仿宋_GB2312" w:hAnsi="宋体" w:eastAsia="仿宋_GB2312" w:cs="宋体"/>
          <w:bCs/>
          <w:sz w:val="32"/>
          <w:szCs w:val="32"/>
          <w:lang w:eastAsia="zh-CN"/>
        </w:rPr>
        <w:t>区202</w:t>
      </w:r>
      <w:r>
        <w:rPr>
          <w:rFonts w:hint="eastAsia" w:ascii="仿宋_GB2312" w:hAnsi="宋体" w:eastAsia="仿宋_GB2312" w:cs="宋体"/>
          <w:bCs/>
          <w:sz w:val="32"/>
          <w:szCs w:val="32"/>
          <w:lang w:val="en-US" w:eastAsia="zh-CN"/>
        </w:rPr>
        <w:t>4</w:t>
      </w:r>
      <w:r>
        <w:rPr>
          <w:rFonts w:hint="eastAsia" w:ascii="仿宋_GB2312" w:hAnsi="宋体" w:eastAsia="仿宋_GB2312" w:cs="宋体"/>
          <w:bCs/>
          <w:sz w:val="32"/>
          <w:szCs w:val="32"/>
          <w:lang w:eastAsia="zh-CN"/>
        </w:rPr>
        <w:t>年度第六批次城镇建设用地项目征地补偿安置方案，现将征收土地补偿安置有关事项公告如下：</w:t>
      </w:r>
    </w:p>
    <w:p w14:paraId="6F0D46F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宋体"/>
          <w:sz w:val="32"/>
          <w:szCs w:val="32"/>
        </w:rPr>
      </w:pPr>
      <w:r>
        <w:rPr>
          <w:rFonts w:hint="eastAsia" w:ascii="黑体" w:hAnsi="黑体" w:eastAsia="黑体" w:cs="宋体"/>
          <w:sz w:val="32"/>
          <w:szCs w:val="32"/>
        </w:rPr>
        <w:t>一</w:t>
      </w:r>
      <w:r>
        <w:rPr>
          <w:rFonts w:hint="eastAsia" w:ascii="黑体" w:hAnsi="黑体" w:eastAsia="黑体" w:cs="宋体"/>
          <w:sz w:val="32"/>
          <w:szCs w:val="32"/>
          <w:lang w:eastAsia="zh-CN"/>
        </w:rPr>
        <w:t>、</w:t>
      </w:r>
      <w:r>
        <w:rPr>
          <w:rFonts w:hint="eastAsia" w:ascii="黑体" w:hAnsi="黑体" w:eastAsia="黑体" w:cs="宋体"/>
          <w:sz w:val="32"/>
          <w:szCs w:val="32"/>
        </w:rPr>
        <w:t>征收范围</w:t>
      </w:r>
    </w:p>
    <w:p w14:paraId="42C486EB">
      <w:pPr>
        <w:pStyle w:val="5"/>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hint="eastAsia" w:ascii="仿宋_GB2312" w:hAnsi="宋体" w:eastAsia="仿宋_GB2312" w:cs="宋体"/>
          <w:bCs/>
          <w:sz w:val="32"/>
          <w:szCs w:val="32"/>
          <w:lang w:eastAsia="zh-CN"/>
        </w:rPr>
      </w:pPr>
      <w:r>
        <w:rPr>
          <w:rFonts w:hint="eastAsia" w:ascii="仿宋_GB2312" w:hAnsi="宋体" w:eastAsia="仿宋_GB2312" w:cs="宋体"/>
          <w:bCs/>
          <w:sz w:val="32"/>
          <w:szCs w:val="32"/>
          <w:lang w:val="en-US" w:eastAsia="zh-CN"/>
        </w:rPr>
        <w:t>拟征收土地位于韶关市武江区龙归镇冲下村第七经济合作社，</w:t>
      </w:r>
      <w:r>
        <w:rPr>
          <w:rFonts w:hint="eastAsia" w:ascii="仿宋_GB2312" w:hAnsi="宋体" w:eastAsia="仿宋_GB2312" w:cs="宋体"/>
          <w:bCs/>
          <w:sz w:val="32"/>
          <w:szCs w:val="32"/>
          <w:highlight w:val="none"/>
          <w:lang w:val="en-US" w:eastAsia="zh-CN"/>
        </w:rPr>
        <w:t>韶关市武江区龙归镇冲下村第二经济合作社、韶关市武江区龙归镇冲下村第三经济合作社共有</w:t>
      </w:r>
      <w:r>
        <w:rPr>
          <w:rFonts w:hint="eastAsia" w:ascii="仿宋_GB2312" w:hAnsi="宋体" w:eastAsia="仿宋_GB2312" w:cs="宋体"/>
          <w:bCs/>
          <w:sz w:val="32"/>
          <w:szCs w:val="32"/>
          <w:lang w:val="en-US" w:eastAsia="zh-CN"/>
        </w:rPr>
        <w:t>，韶关市武江区龙归镇冲下村第十三经济合作社，具体位置详见附图。</w:t>
      </w:r>
      <w:r>
        <w:rPr>
          <w:rFonts w:hint="eastAsia" w:ascii="仿宋_GB2312" w:hAnsi="宋体" w:eastAsia="仿宋_GB2312" w:cs="宋体"/>
          <w:bCs/>
          <w:sz w:val="32"/>
          <w:szCs w:val="32"/>
          <w:lang w:eastAsia="zh-CN"/>
        </w:rPr>
        <w:t>实际征收土地范围以最终批准文件为准。</w:t>
      </w:r>
    </w:p>
    <w:p w14:paraId="06D508F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宋体"/>
          <w:sz w:val="32"/>
          <w:szCs w:val="32"/>
        </w:rPr>
      </w:pPr>
      <w:r>
        <w:rPr>
          <w:rFonts w:hint="eastAsia" w:ascii="黑体" w:hAnsi="黑体" w:eastAsia="黑体" w:cs="宋体"/>
          <w:sz w:val="32"/>
          <w:szCs w:val="32"/>
        </w:rPr>
        <w:t>二、征收目的</w:t>
      </w:r>
    </w:p>
    <w:p w14:paraId="22765BE8">
      <w:pPr>
        <w:pStyle w:val="5"/>
        <w:keepNext w:val="0"/>
        <w:keepLines w:val="0"/>
        <w:pageBreakBefore w:val="0"/>
        <w:widowControl w:val="0"/>
        <w:kinsoku/>
        <w:wordWrap/>
        <w:overflowPunct/>
        <w:topLinePunct w:val="0"/>
        <w:autoSpaceDE/>
        <w:autoSpaceDN/>
        <w:bidi w:val="0"/>
        <w:adjustRightInd/>
        <w:snapToGrid/>
        <w:spacing w:after="0" w:line="560" w:lineRule="exact"/>
        <w:ind w:left="0" w:firstLine="640" w:firstLineChars="200"/>
        <w:textAlignment w:val="auto"/>
        <w:rPr>
          <w:rFonts w:hint="eastAsia" w:ascii="仿宋_GB2312" w:hAnsi="宋体" w:eastAsia="仿宋_GB2312" w:cs="宋体"/>
          <w:bCs/>
          <w:sz w:val="32"/>
          <w:szCs w:val="32"/>
          <w:lang w:eastAsia="zh-CN"/>
        </w:rPr>
      </w:pPr>
      <w:r>
        <w:rPr>
          <w:rFonts w:hint="eastAsia" w:ascii="仿宋_GB2312" w:hAnsi="宋体" w:eastAsia="仿宋_GB2312" w:cs="宋体"/>
          <w:bCs/>
          <w:sz w:val="32"/>
          <w:szCs w:val="32"/>
          <w:lang w:val="en-US" w:eastAsia="zh-CN"/>
        </w:rPr>
        <w:t>根据《中华人民共和国土地管理法》第四十五条的规定，本次征收土地目的为保障龙归镇新规划农贸市场配建市政道路建设项目的需要，</w:t>
      </w:r>
      <w:r>
        <w:rPr>
          <w:rFonts w:hint="eastAsia" w:ascii="仿宋_GB2312" w:hAnsi="宋体" w:eastAsia="仿宋_GB2312" w:cs="宋体"/>
          <w:bCs/>
          <w:sz w:val="32"/>
          <w:szCs w:val="32"/>
          <w:lang w:eastAsia="zh-CN"/>
        </w:rPr>
        <w:t>符合《中华人民共和国土地管理法》第四十五条第(</w:t>
      </w:r>
      <w:r>
        <w:rPr>
          <w:rFonts w:hint="eastAsia" w:ascii="仿宋_GB2312" w:hAnsi="宋体" w:eastAsia="仿宋_GB2312" w:cs="宋体"/>
          <w:bCs/>
          <w:sz w:val="32"/>
          <w:szCs w:val="32"/>
          <w:lang w:val="en-US" w:eastAsia="zh-CN"/>
        </w:rPr>
        <w:t>二</w:t>
      </w:r>
      <w:r>
        <w:rPr>
          <w:rFonts w:hint="eastAsia" w:ascii="仿宋_GB2312" w:hAnsi="宋体" w:eastAsia="仿宋_GB2312" w:cs="宋体"/>
          <w:bCs/>
          <w:sz w:val="32"/>
          <w:szCs w:val="32"/>
          <w:lang w:eastAsia="zh-CN"/>
        </w:rPr>
        <w:t>)项规定，</w:t>
      </w:r>
      <w:r>
        <w:rPr>
          <w:rFonts w:hint="eastAsia" w:ascii="仿宋_GB2312" w:hAnsi="宋体" w:eastAsia="仿宋_GB2312" w:cs="宋体"/>
          <w:bCs/>
          <w:sz w:val="32"/>
          <w:szCs w:val="32"/>
          <w:lang w:val="en-US" w:eastAsia="zh-CN"/>
        </w:rPr>
        <w:t>属于“由政府组织实施的交通基础设施建设需要用地的”情形。</w:t>
      </w:r>
    </w:p>
    <w:p w14:paraId="3CC658A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宋体"/>
          <w:sz w:val="32"/>
          <w:szCs w:val="32"/>
        </w:rPr>
      </w:pPr>
      <w:r>
        <w:rPr>
          <w:rFonts w:hint="eastAsia" w:ascii="黑体" w:hAnsi="黑体" w:eastAsia="黑体" w:cs="宋体"/>
          <w:sz w:val="32"/>
          <w:szCs w:val="32"/>
        </w:rPr>
        <w:t>三</w:t>
      </w:r>
      <w:r>
        <w:rPr>
          <w:rFonts w:hint="eastAsia" w:ascii="黑体" w:hAnsi="黑体" w:eastAsia="黑体" w:cs="宋体"/>
          <w:sz w:val="32"/>
          <w:szCs w:val="32"/>
          <w:lang w:eastAsia="zh-CN"/>
        </w:rPr>
        <w:t>、</w:t>
      </w:r>
      <w:r>
        <w:rPr>
          <w:rFonts w:hint="eastAsia" w:ascii="黑体" w:hAnsi="黑体" w:eastAsia="黑体" w:cs="宋体"/>
          <w:sz w:val="32"/>
          <w:szCs w:val="32"/>
          <w:lang w:val="en-US" w:eastAsia="zh-CN"/>
        </w:rPr>
        <w:t>土</w:t>
      </w:r>
      <w:r>
        <w:rPr>
          <w:rFonts w:hint="eastAsia" w:ascii="黑体" w:hAnsi="黑体" w:eastAsia="黑体" w:cs="宋体"/>
          <w:sz w:val="32"/>
          <w:szCs w:val="32"/>
        </w:rPr>
        <w:t>地现状</w:t>
      </w:r>
    </w:p>
    <w:p w14:paraId="4A3ACC05">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pP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lang w:val="en-US" w:eastAsia="zh-CN"/>
        </w:rPr>
        <w:t>一</w:t>
      </w:r>
      <w:r>
        <w:rPr>
          <w:rFonts w:hint="eastAsia" w:ascii="楷体_GB2312" w:hAnsi="楷体_GB2312" w:eastAsia="楷体_GB2312" w:cs="楷体_GB2312"/>
          <w:bCs/>
          <w:sz w:val="32"/>
          <w:szCs w:val="32"/>
          <w:lang w:eastAsia="zh-CN"/>
        </w:rPr>
        <w:t>）</w:t>
      </w:r>
      <w:r>
        <w:rPr>
          <w:rFonts w:hint="eastAsia" w:ascii="仿宋_GB2312" w:hAnsi="宋体" w:eastAsia="仿宋_GB2312" w:cs="宋体"/>
          <w:bCs/>
          <w:sz w:val="32"/>
          <w:szCs w:val="32"/>
          <w:lang w:eastAsia="zh-CN"/>
        </w:rPr>
        <w:t>根据拟征收土地现状调查结果，拟征收土地现状为：</w:t>
      </w:r>
    </w:p>
    <w:p w14:paraId="646605A8">
      <w:pPr>
        <w:pStyle w:val="5"/>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1.</w:t>
      </w:r>
      <w:r>
        <w:rPr>
          <w:rFonts w:hint="eastAsia" w:ascii="仿宋_GB2312" w:hAnsi="宋体" w:eastAsia="仿宋_GB2312" w:cs="宋体"/>
          <w:bCs/>
          <w:sz w:val="32"/>
          <w:szCs w:val="32"/>
          <w:lang w:eastAsia="zh-CN"/>
        </w:rPr>
        <w:t>拟征收</w:t>
      </w:r>
      <w:r>
        <w:rPr>
          <w:rFonts w:hint="eastAsia" w:ascii="仿宋_GB2312" w:hAnsi="宋体" w:eastAsia="仿宋_GB2312" w:cs="宋体"/>
          <w:bCs/>
          <w:sz w:val="32"/>
          <w:szCs w:val="32"/>
          <w:lang w:val="en-US" w:eastAsia="zh-CN"/>
        </w:rPr>
        <w:t>韶关市武江区龙归镇冲下村第七经济合作社集体所有土地0.0387公顷（0.5805亩）。其中农用地0.0387公顷（0.5805亩），含</w:t>
      </w:r>
      <w:r>
        <w:rPr>
          <w:rFonts w:hint="eastAsia" w:ascii="仿宋_GB2312" w:hAnsi="宋体" w:eastAsia="仿宋_GB2312" w:cs="宋体"/>
          <w:bCs/>
          <w:sz w:val="32"/>
          <w:szCs w:val="32"/>
          <w:lang w:eastAsia="zh-CN"/>
        </w:rPr>
        <w:t>耕地</w:t>
      </w:r>
      <w:r>
        <w:rPr>
          <w:rFonts w:hint="eastAsia" w:ascii="仿宋_GB2312" w:hAnsi="宋体" w:eastAsia="仿宋_GB2312" w:cs="宋体"/>
          <w:bCs/>
          <w:sz w:val="32"/>
          <w:szCs w:val="32"/>
          <w:lang w:val="en-US" w:eastAsia="zh-CN"/>
        </w:rPr>
        <w:t>0.0387公顷（0.5805亩）。</w:t>
      </w:r>
    </w:p>
    <w:p w14:paraId="6350330F">
      <w:pPr>
        <w:pStyle w:val="5"/>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2.</w:t>
      </w:r>
      <w:r>
        <w:rPr>
          <w:rFonts w:hint="eastAsia" w:ascii="仿宋_GB2312" w:hAnsi="宋体" w:eastAsia="仿宋_GB2312" w:cs="宋体"/>
          <w:bCs/>
          <w:sz w:val="32"/>
          <w:szCs w:val="32"/>
          <w:lang w:eastAsia="zh-CN"/>
        </w:rPr>
        <w:t>拟征收</w:t>
      </w:r>
      <w:r>
        <w:rPr>
          <w:rFonts w:hint="eastAsia" w:ascii="仿宋_GB2312" w:hAnsi="仿宋_GB2312" w:eastAsia="仿宋_GB2312" w:cs="仿宋_GB2312"/>
          <w:color w:val="000000"/>
          <w:sz w:val="32"/>
          <w:szCs w:val="32"/>
          <w:lang w:eastAsia="zh-CN"/>
        </w:rPr>
        <w:t>韶关市武江区龙归镇冲下村第二经济合作社、韶关市武江区龙归镇冲下村第</w:t>
      </w:r>
      <w:r>
        <w:rPr>
          <w:rFonts w:hint="eastAsia" w:ascii="仿宋_GB2312" w:hAnsi="仿宋_GB2312" w:eastAsia="仿宋_GB2312" w:cs="仿宋_GB2312"/>
          <w:color w:val="000000"/>
          <w:sz w:val="32"/>
          <w:szCs w:val="32"/>
          <w:lang w:val="en-US" w:eastAsia="zh-CN"/>
        </w:rPr>
        <w:t>三</w:t>
      </w:r>
      <w:r>
        <w:rPr>
          <w:rFonts w:hint="eastAsia" w:ascii="仿宋_GB2312" w:hAnsi="仿宋_GB2312" w:eastAsia="仿宋_GB2312" w:cs="仿宋_GB2312"/>
          <w:color w:val="000000"/>
          <w:sz w:val="32"/>
          <w:szCs w:val="32"/>
          <w:lang w:eastAsia="zh-CN"/>
        </w:rPr>
        <w:t>经济合作社共有</w:t>
      </w:r>
      <w:r>
        <w:rPr>
          <w:rFonts w:hint="eastAsia" w:ascii="仿宋_GB2312" w:hAnsi="宋体" w:eastAsia="仿宋_GB2312" w:cs="宋体"/>
          <w:bCs/>
          <w:sz w:val="32"/>
          <w:szCs w:val="32"/>
          <w:lang w:val="en-US" w:eastAsia="zh-CN"/>
        </w:rPr>
        <w:t>集体所有土地1.0855</w:t>
      </w:r>
      <w:r>
        <w:rPr>
          <w:rFonts w:hint="eastAsia" w:ascii="仿宋_GB2312" w:hAnsi="宋体" w:eastAsia="仿宋_GB2312" w:cs="宋体"/>
          <w:bCs/>
          <w:sz w:val="32"/>
          <w:szCs w:val="32"/>
          <w:lang w:eastAsia="zh-CN"/>
        </w:rPr>
        <w:t>公顷(</w:t>
      </w:r>
      <w:r>
        <w:rPr>
          <w:rFonts w:hint="eastAsia" w:ascii="仿宋_GB2312" w:hAnsi="宋体" w:eastAsia="仿宋_GB2312" w:cs="宋体"/>
          <w:bCs/>
          <w:sz w:val="32"/>
          <w:szCs w:val="32"/>
          <w:lang w:val="en-US" w:eastAsia="zh-CN"/>
        </w:rPr>
        <w:t>16.2825</w:t>
      </w:r>
      <w:r>
        <w:rPr>
          <w:rFonts w:hint="eastAsia" w:ascii="仿宋_GB2312" w:hAnsi="宋体" w:eastAsia="仿宋_GB2312" w:cs="宋体"/>
          <w:bCs/>
          <w:sz w:val="32"/>
          <w:szCs w:val="32"/>
          <w:lang w:eastAsia="zh-CN"/>
        </w:rPr>
        <w:t>亩）。其中，农用地</w:t>
      </w:r>
      <w:r>
        <w:rPr>
          <w:rFonts w:hint="eastAsia" w:ascii="仿宋_GB2312" w:hAnsi="宋体" w:eastAsia="仿宋_GB2312" w:cs="宋体"/>
          <w:bCs/>
          <w:sz w:val="32"/>
          <w:szCs w:val="32"/>
          <w:lang w:val="en-US" w:eastAsia="zh-CN"/>
        </w:rPr>
        <w:t>0.7265</w:t>
      </w:r>
      <w:r>
        <w:rPr>
          <w:rFonts w:hint="eastAsia" w:ascii="仿宋_GB2312" w:hAnsi="宋体" w:eastAsia="仿宋_GB2312" w:cs="宋体"/>
          <w:bCs/>
          <w:sz w:val="32"/>
          <w:szCs w:val="32"/>
          <w:lang w:eastAsia="zh-CN"/>
        </w:rPr>
        <w:t>公顷(</w:t>
      </w:r>
      <w:r>
        <w:rPr>
          <w:rFonts w:hint="eastAsia" w:ascii="仿宋_GB2312" w:hAnsi="宋体" w:eastAsia="仿宋_GB2312" w:cs="宋体"/>
          <w:bCs/>
          <w:sz w:val="32"/>
          <w:szCs w:val="32"/>
          <w:lang w:val="en-US" w:eastAsia="zh-CN"/>
        </w:rPr>
        <w:t>10.8975</w:t>
      </w:r>
      <w:r>
        <w:rPr>
          <w:rFonts w:hint="eastAsia" w:ascii="仿宋_GB2312" w:hAnsi="宋体" w:eastAsia="仿宋_GB2312" w:cs="宋体"/>
          <w:bCs/>
          <w:sz w:val="32"/>
          <w:szCs w:val="32"/>
          <w:lang w:eastAsia="zh-CN"/>
        </w:rPr>
        <w:t>亩），含耕地</w:t>
      </w:r>
      <w:r>
        <w:rPr>
          <w:rFonts w:hint="eastAsia" w:ascii="仿宋_GB2312" w:hAnsi="宋体" w:eastAsia="仿宋_GB2312" w:cs="宋体"/>
          <w:bCs/>
          <w:sz w:val="32"/>
          <w:szCs w:val="32"/>
          <w:lang w:val="en-US" w:eastAsia="zh-CN"/>
        </w:rPr>
        <w:t>0.5231</w:t>
      </w:r>
      <w:r>
        <w:rPr>
          <w:rFonts w:hint="eastAsia" w:ascii="仿宋_GB2312" w:hAnsi="宋体" w:eastAsia="仿宋_GB2312" w:cs="宋体"/>
          <w:bCs/>
          <w:sz w:val="32"/>
          <w:szCs w:val="32"/>
          <w:lang w:eastAsia="zh-CN"/>
        </w:rPr>
        <w:t>公顷(</w:t>
      </w:r>
      <w:r>
        <w:rPr>
          <w:rFonts w:hint="eastAsia" w:ascii="仿宋_GB2312" w:hAnsi="宋体" w:eastAsia="仿宋_GB2312" w:cs="宋体"/>
          <w:bCs/>
          <w:sz w:val="32"/>
          <w:szCs w:val="32"/>
          <w:lang w:val="en-US" w:eastAsia="zh-CN"/>
        </w:rPr>
        <w:t>7.8465</w:t>
      </w:r>
      <w:r>
        <w:rPr>
          <w:rFonts w:hint="eastAsia" w:ascii="仿宋_GB2312" w:hAnsi="宋体" w:eastAsia="仿宋_GB2312" w:cs="宋体"/>
          <w:bCs/>
          <w:sz w:val="32"/>
          <w:szCs w:val="32"/>
          <w:lang w:eastAsia="zh-CN"/>
        </w:rPr>
        <w:t>亩）、</w:t>
      </w:r>
      <w:r>
        <w:rPr>
          <w:rFonts w:hint="eastAsia" w:ascii="仿宋_GB2312" w:hAnsi="宋体" w:eastAsia="仿宋_GB2312" w:cs="宋体"/>
          <w:bCs/>
          <w:sz w:val="32"/>
          <w:szCs w:val="32"/>
          <w:lang w:val="en-US" w:eastAsia="zh-CN"/>
        </w:rPr>
        <w:t>林地0.1542公顷（2.3130亩）、草地0.0376公顷（0.5640亩）、</w:t>
      </w:r>
      <w:r>
        <w:rPr>
          <w:rFonts w:hint="eastAsia" w:ascii="仿宋_GB2312" w:hAnsi="宋体" w:eastAsia="仿宋_GB2312" w:cs="宋体"/>
          <w:bCs/>
          <w:sz w:val="32"/>
          <w:szCs w:val="32"/>
          <w:lang w:eastAsia="zh-CN"/>
        </w:rPr>
        <w:t>其他农用地（不含养殖水面）0.0116公顷（0.174</w:t>
      </w:r>
      <w:r>
        <w:rPr>
          <w:rFonts w:hint="eastAsia" w:ascii="仿宋_GB2312" w:hAnsi="宋体" w:eastAsia="仿宋_GB2312" w:cs="宋体"/>
          <w:bCs/>
          <w:sz w:val="32"/>
          <w:szCs w:val="32"/>
          <w:lang w:val="en-US" w:eastAsia="zh-CN"/>
        </w:rPr>
        <w:t>0亩</w:t>
      </w:r>
      <w:r>
        <w:rPr>
          <w:rFonts w:hint="eastAsia" w:ascii="仿宋_GB2312" w:hAnsi="宋体" w:eastAsia="仿宋_GB2312" w:cs="宋体"/>
          <w:bCs/>
          <w:sz w:val="32"/>
          <w:szCs w:val="32"/>
          <w:lang w:eastAsia="zh-CN"/>
        </w:rPr>
        <w:t>），建设用地</w:t>
      </w:r>
      <w:r>
        <w:rPr>
          <w:rFonts w:hint="eastAsia" w:ascii="仿宋_GB2312" w:hAnsi="宋体" w:eastAsia="仿宋_GB2312" w:cs="宋体"/>
          <w:bCs/>
          <w:sz w:val="32"/>
          <w:szCs w:val="32"/>
          <w:lang w:val="en-US" w:eastAsia="zh-CN"/>
        </w:rPr>
        <w:t>0.3590</w:t>
      </w:r>
      <w:r>
        <w:rPr>
          <w:rFonts w:hint="eastAsia" w:ascii="仿宋_GB2312" w:hAnsi="宋体" w:eastAsia="仿宋_GB2312" w:cs="宋体"/>
          <w:bCs/>
          <w:sz w:val="32"/>
          <w:szCs w:val="32"/>
          <w:lang w:eastAsia="zh-CN"/>
        </w:rPr>
        <w:t>公顷(</w:t>
      </w:r>
      <w:r>
        <w:rPr>
          <w:rFonts w:hint="eastAsia" w:ascii="仿宋_GB2312" w:hAnsi="宋体" w:eastAsia="仿宋_GB2312" w:cs="宋体"/>
          <w:bCs/>
          <w:sz w:val="32"/>
          <w:szCs w:val="32"/>
          <w:lang w:val="en-US" w:eastAsia="zh-CN"/>
        </w:rPr>
        <w:t>5.3850</w:t>
      </w:r>
      <w:r>
        <w:rPr>
          <w:rFonts w:hint="eastAsia" w:ascii="仿宋_GB2312" w:hAnsi="宋体" w:eastAsia="仿宋_GB2312" w:cs="宋体"/>
          <w:bCs/>
          <w:sz w:val="32"/>
          <w:szCs w:val="32"/>
          <w:lang w:eastAsia="zh-CN"/>
        </w:rPr>
        <w:t>亩）</w:t>
      </w:r>
      <w:r>
        <w:rPr>
          <w:rFonts w:hint="eastAsia" w:ascii="仿宋_GB2312" w:hAnsi="宋体" w:eastAsia="仿宋_GB2312" w:cs="宋体"/>
          <w:bCs/>
          <w:sz w:val="32"/>
          <w:szCs w:val="32"/>
          <w:lang w:val="en-US" w:eastAsia="zh-CN"/>
        </w:rPr>
        <w:t>。</w:t>
      </w:r>
    </w:p>
    <w:p w14:paraId="7AD5F933">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3.</w:t>
      </w:r>
      <w:r>
        <w:rPr>
          <w:rFonts w:hint="eastAsia" w:ascii="仿宋_GB2312" w:hAnsi="宋体" w:eastAsia="仿宋_GB2312" w:cs="宋体"/>
          <w:bCs/>
          <w:sz w:val="32"/>
          <w:szCs w:val="32"/>
          <w:lang w:eastAsia="zh-CN"/>
        </w:rPr>
        <w:t>拟征收</w:t>
      </w:r>
      <w:r>
        <w:rPr>
          <w:rFonts w:hint="eastAsia" w:ascii="仿宋_GB2312" w:hAnsi="宋体" w:eastAsia="仿宋_GB2312" w:cs="宋体"/>
          <w:bCs/>
          <w:sz w:val="32"/>
          <w:szCs w:val="32"/>
          <w:lang w:val="en-US" w:eastAsia="zh-CN"/>
        </w:rPr>
        <w:t>韶关市武江区龙归镇冲下村第十三经济合作社集体所有土地0.0355</w:t>
      </w:r>
      <w:r>
        <w:rPr>
          <w:rFonts w:hint="eastAsia" w:ascii="仿宋_GB2312" w:hAnsi="宋体" w:eastAsia="仿宋_GB2312" w:cs="宋体"/>
          <w:bCs/>
          <w:sz w:val="32"/>
          <w:szCs w:val="32"/>
          <w:lang w:eastAsia="zh-CN"/>
        </w:rPr>
        <w:t>公顷(</w:t>
      </w:r>
      <w:r>
        <w:rPr>
          <w:rFonts w:hint="eastAsia" w:ascii="仿宋_GB2312" w:hAnsi="宋体" w:eastAsia="仿宋_GB2312" w:cs="宋体"/>
          <w:bCs/>
          <w:sz w:val="32"/>
          <w:szCs w:val="32"/>
          <w:lang w:val="en-US" w:eastAsia="zh-CN"/>
        </w:rPr>
        <w:t>0.5325</w:t>
      </w:r>
      <w:r>
        <w:rPr>
          <w:rFonts w:hint="eastAsia" w:ascii="仿宋_GB2312" w:hAnsi="宋体" w:eastAsia="仿宋_GB2312" w:cs="宋体"/>
          <w:bCs/>
          <w:sz w:val="32"/>
          <w:szCs w:val="32"/>
          <w:lang w:eastAsia="zh-CN"/>
        </w:rPr>
        <w:t>亩）。其中，农用地</w:t>
      </w:r>
      <w:r>
        <w:rPr>
          <w:rFonts w:hint="eastAsia" w:ascii="仿宋_GB2312" w:hAnsi="宋体" w:eastAsia="仿宋_GB2312" w:cs="宋体"/>
          <w:bCs/>
          <w:sz w:val="32"/>
          <w:szCs w:val="32"/>
          <w:lang w:val="en-US" w:eastAsia="zh-CN"/>
        </w:rPr>
        <w:t>0.0355</w:t>
      </w:r>
      <w:r>
        <w:rPr>
          <w:rFonts w:hint="eastAsia" w:ascii="仿宋_GB2312" w:hAnsi="宋体" w:eastAsia="仿宋_GB2312" w:cs="宋体"/>
          <w:bCs/>
          <w:sz w:val="32"/>
          <w:szCs w:val="32"/>
          <w:lang w:eastAsia="zh-CN"/>
        </w:rPr>
        <w:t>公顷(</w:t>
      </w:r>
      <w:r>
        <w:rPr>
          <w:rFonts w:hint="eastAsia" w:ascii="仿宋_GB2312" w:hAnsi="宋体" w:eastAsia="仿宋_GB2312" w:cs="宋体"/>
          <w:bCs/>
          <w:sz w:val="32"/>
          <w:szCs w:val="32"/>
          <w:lang w:val="en-US" w:eastAsia="zh-CN"/>
        </w:rPr>
        <w:t>0.5325</w:t>
      </w:r>
      <w:r>
        <w:rPr>
          <w:rFonts w:hint="eastAsia" w:ascii="仿宋_GB2312" w:hAnsi="宋体" w:eastAsia="仿宋_GB2312" w:cs="宋体"/>
          <w:bCs/>
          <w:sz w:val="32"/>
          <w:szCs w:val="32"/>
          <w:lang w:eastAsia="zh-CN"/>
        </w:rPr>
        <w:t>亩），含耕地</w:t>
      </w:r>
      <w:r>
        <w:rPr>
          <w:rFonts w:hint="eastAsia" w:ascii="仿宋_GB2312" w:hAnsi="宋体" w:eastAsia="仿宋_GB2312" w:cs="宋体"/>
          <w:bCs/>
          <w:sz w:val="32"/>
          <w:szCs w:val="32"/>
          <w:lang w:val="en-US" w:eastAsia="zh-CN"/>
        </w:rPr>
        <w:t>0.0355</w:t>
      </w:r>
      <w:r>
        <w:rPr>
          <w:rFonts w:hint="eastAsia" w:ascii="仿宋_GB2312" w:hAnsi="宋体" w:eastAsia="仿宋_GB2312" w:cs="宋体"/>
          <w:bCs/>
          <w:sz w:val="32"/>
          <w:szCs w:val="32"/>
          <w:lang w:eastAsia="zh-CN"/>
        </w:rPr>
        <w:t>公顷(</w:t>
      </w:r>
      <w:r>
        <w:rPr>
          <w:rFonts w:hint="eastAsia" w:ascii="仿宋_GB2312" w:hAnsi="宋体" w:eastAsia="仿宋_GB2312" w:cs="宋体"/>
          <w:bCs/>
          <w:sz w:val="32"/>
          <w:szCs w:val="32"/>
          <w:lang w:val="en-US" w:eastAsia="zh-CN"/>
        </w:rPr>
        <w:t>0.5325</w:t>
      </w:r>
      <w:r>
        <w:rPr>
          <w:rFonts w:hint="eastAsia" w:ascii="仿宋_GB2312" w:hAnsi="宋体" w:eastAsia="仿宋_GB2312" w:cs="宋体"/>
          <w:bCs/>
          <w:sz w:val="32"/>
          <w:szCs w:val="32"/>
          <w:lang w:eastAsia="zh-CN"/>
        </w:rPr>
        <w:t>亩）</w:t>
      </w:r>
      <w:r>
        <w:rPr>
          <w:rFonts w:hint="eastAsia" w:ascii="仿宋_GB2312" w:hAnsi="宋体" w:eastAsia="仿宋_GB2312" w:cs="宋体"/>
          <w:bCs/>
          <w:sz w:val="32"/>
          <w:szCs w:val="32"/>
          <w:lang w:val="en-US" w:eastAsia="zh-CN"/>
        </w:rPr>
        <w:t>。</w:t>
      </w:r>
    </w:p>
    <w:p w14:paraId="098AFAFF">
      <w:pPr>
        <w:pStyle w:val="5"/>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Cs/>
          <w:sz w:val="32"/>
          <w:szCs w:val="32"/>
          <w:lang w:val="en-US" w:eastAsia="zh-CN"/>
        </w:rPr>
        <w:t>（二）</w:t>
      </w:r>
      <w:r>
        <w:rPr>
          <w:rFonts w:hint="eastAsia" w:ascii="仿宋_GB2312" w:hAnsi="宋体" w:eastAsia="仿宋_GB2312" w:cs="宋体"/>
          <w:bCs/>
          <w:sz w:val="32"/>
          <w:szCs w:val="32"/>
          <w:highlight w:val="none"/>
          <w:lang w:val="en-US" w:eastAsia="zh-CN"/>
        </w:rPr>
        <w:t>根据用地报批要求，上述</w:t>
      </w:r>
      <w:r>
        <w:rPr>
          <w:rFonts w:hint="eastAsia" w:ascii="仿宋_GB2312" w:hAnsi="宋体" w:eastAsia="仿宋_GB2312" w:cs="宋体"/>
          <w:bCs/>
          <w:sz w:val="32"/>
          <w:szCs w:val="32"/>
          <w:lang w:val="en-US" w:eastAsia="zh-CN"/>
        </w:rPr>
        <w:t>拟征收土地报批地类为：</w:t>
      </w:r>
    </w:p>
    <w:p w14:paraId="4C1B6F03">
      <w:pPr>
        <w:pStyle w:val="5"/>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宋体" w:eastAsia="仿宋_GB2312" w:cs="宋体"/>
          <w:bCs/>
          <w:sz w:val="32"/>
          <w:szCs w:val="32"/>
          <w:lang w:val="en-US" w:eastAsia="zh-CN"/>
        </w:rPr>
      </w:pPr>
      <w:r>
        <w:rPr>
          <w:rFonts w:hint="eastAsia" w:ascii="仿宋_GB2312" w:hAnsi="仿宋_GB2312" w:eastAsia="仿宋_GB2312" w:cs="仿宋_GB2312"/>
          <w:sz w:val="32"/>
          <w:szCs w:val="32"/>
          <w:highlight w:val="none"/>
          <w:lang w:val="en-US" w:eastAsia="zh-CN"/>
        </w:rPr>
        <w:t>1.</w:t>
      </w:r>
      <w:r>
        <w:rPr>
          <w:rFonts w:hint="eastAsia" w:ascii="仿宋_GB2312" w:hAnsi="宋体" w:eastAsia="仿宋_GB2312" w:cs="宋体"/>
          <w:bCs/>
          <w:sz w:val="32"/>
          <w:szCs w:val="32"/>
          <w:lang w:eastAsia="zh-CN"/>
        </w:rPr>
        <w:t>拟征收</w:t>
      </w:r>
      <w:r>
        <w:rPr>
          <w:rFonts w:hint="eastAsia" w:ascii="仿宋_GB2312" w:hAnsi="宋体" w:eastAsia="仿宋_GB2312" w:cs="宋体"/>
          <w:bCs/>
          <w:sz w:val="32"/>
          <w:szCs w:val="32"/>
          <w:lang w:val="en-US" w:eastAsia="zh-CN"/>
        </w:rPr>
        <w:t>韶关市武江区龙归镇冲下村第七经济合作社集体所有土地0.0387公顷（0.5805亩）。其中农用地0.0387公顷（0.5805亩），含</w:t>
      </w:r>
      <w:r>
        <w:rPr>
          <w:rFonts w:hint="eastAsia" w:ascii="仿宋_GB2312" w:hAnsi="宋体" w:eastAsia="仿宋_GB2312" w:cs="宋体"/>
          <w:bCs/>
          <w:sz w:val="32"/>
          <w:szCs w:val="32"/>
          <w:lang w:eastAsia="zh-CN"/>
        </w:rPr>
        <w:t>耕地</w:t>
      </w:r>
      <w:r>
        <w:rPr>
          <w:rFonts w:hint="eastAsia" w:ascii="仿宋_GB2312" w:hAnsi="宋体" w:eastAsia="仿宋_GB2312" w:cs="宋体"/>
          <w:bCs/>
          <w:sz w:val="32"/>
          <w:szCs w:val="32"/>
          <w:lang w:val="en-US" w:eastAsia="zh-CN"/>
        </w:rPr>
        <w:t>0.0387公顷（0.5805亩）。</w:t>
      </w:r>
    </w:p>
    <w:p w14:paraId="6EF5770F">
      <w:pPr>
        <w:pStyle w:val="5"/>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2.</w:t>
      </w:r>
      <w:r>
        <w:rPr>
          <w:rFonts w:hint="eastAsia" w:ascii="仿宋_GB2312" w:hAnsi="宋体" w:eastAsia="仿宋_GB2312" w:cs="宋体"/>
          <w:bCs/>
          <w:sz w:val="32"/>
          <w:szCs w:val="32"/>
          <w:lang w:eastAsia="zh-CN"/>
        </w:rPr>
        <w:t>拟征收</w:t>
      </w:r>
      <w:r>
        <w:rPr>
          <w:rFonts w:hint="eastAsia" w:ascii="仿宋_GB2312" w:hAnsi="仿宋_GB2312" w:eastAsia="仿宋_GB2312" w:cs="仿宋_GB2312"/>
          <w:color w:val="000000"/>
          <w:sz w:val="32"/>
          <w:szCs w:val="32"/>
          <w:lang w:eastAsia="zh-CN"/>
        </w:rPr>
        <w:t>韶关市武江区龙归镇冲下村第二经济合作社、韶关市武江区龙归镇冲下村第</w:t>
      </w:r>
      <w:r>
        <w:rPr>
          <w:rFonts w:hint="eastAsia" w:ascii="仿宋_GB2312" w:hAnsi="仿宋_GB2312" w:eastAsia="仿宋_GB2312" w:cs="仿宋_GB2312"/>
          <w:color w:val="000000"/>
          <w:sz w:val="32"/>
          <w:szCs w:val="32"/>
          <w:lang w:val="en-US" w:eastAsia="zh-CN"/>
        </w:rPr>
        <w:t>三</w:t>
      </w:r>
      <w:r>
        <w:rPr>
          <w:rFonts w:hint="eastAsia" w:ascii="仿宋_GB2312" w:hAnsi="仿宋_GB2312" w:eastAsia="仿宋_GB2312" w:cs="仿宋_GB2312"/>
          <w:color w:val="000000"/>
          <w:sz w:val="32"/>
          <w:szCs w:val="32"/>
          <w:lang w:eastAsia="zh-CN"/>
        </w:rPr>
        <w:t>经济合作社共有</w:t>
      </w:r>
      <w:r>
        <w:rPr>
          <w:rFonts w:hint="eastAsia" w:ascii="仿宋_GB2312" w:hAnsi="宋体" w:eastAsia="仿宋_GB2312" w:cs="宋体"/>
          <w:bCs/>
          <w:sz w:val="32"/>
          <w:szCs w:val="32"/>
          <w:lang w:val="en-US" w:eastAsia="zh-CN"/>
        </w:rPr>
        <w:t>集体所有土地1.0855</w:t>
      </w:r>
      <w:r>
        <w:rPr>
          <w:rFonts w:hint="eastAsia" w:ascii="仿宋_GB2312" w:hAnsi="宋体" w:eastAsia="仿宋_GB2312" w:cs="宋体"/>
          <w:bCs/>
          <w:sz w:val="32"/>
          <w:szCs w:val="32"/>
          <w:lang w:eastAsia="zh-CN"/>
        </w:rPr>
        <w:t>公顷(</w:t>
      </w:r>
      <w:r>
        <w:rPr>
          <w:rFonts w:hint="eastAsia" w:ascii="仿宋_GB2312" w:hAnsi="宋体" w:eastAsia="仿宋_GB2312" w:cs="宋体"/>
          <w:bCs/>
          <w:sz w:val="32"/>
          <w:szCs w:val="32"/>
          <w:lang w:val="en-US" w:eastAsia="zh-CN"/>
        </w:rPr>
        <w:t>16.2825</w:t>
      </w:r>
      <w:r>
        <w:rPr>
          <w:rFonts w:hint="eastAsia" w:ascii="仿宋_GB2312" w:hAnsi="宋体" w:eastAsia="仿宋_GB2312" w:cs="宋体"/>
          <w:bCs/>
          <w:sz w:val="32"/>
          <w:szCs w:val="32"/>
          <w:lang w:eastAsia="zh-CN"/>
        </w:rPr>
        <w:t>亩）。其中，农用地</w:t>
      </w:r>
      <w:r>
        <w:rPr>
          <w:rFonts w:hint="eastAsia" w:ascii="仿宋_GB2312" w:hAnsi="宋体" w:eastAsia="仿宋_GB2312" w:cs="宋体"/>
          <w:bCs/>
          <w:sz w:val="32"/>
          <w:szCs w:val="32"/>
          <w:lang w:val="en-US" w:eastAsia="zh-CN"/>
        </w:rPr>
        <w:t>0.9111</w:t>
      </w:r>
      <w:r>
        <w:rPr>
          <w:rFonts w:hint="eastAsia" w:ascii="仿宋_GB2312" w:hAnsi="宋体" w:eastAsia="仿宋_GB2312" w:cs="宋体"/>
          <w:bCs/>
          <w:sz w:val="32"/>
          <w:szCs w:val="32"/>
          <w:lang w:eastAsia="zh-CN"/>
        </w:rPr>
        <w:t>公顷(</w:t>
      </w:r>
      <w:r>
        <w:rPr>
          <w:rFonts w:hint="eastAsia" w:ascii="仿宋_GB2312" w:hAnsi="宋体" w:eastAsia="仿宋_GB2312" w:cs="宋体"/>
          <w:bCs/>
          <w:sz w:val="32"/>
          <w:szCs w:val="32"/>
          <w:lang w:val="en-US" w:eastAsia="zh-CN"/>
        </w:rPr>
        <w:t>13.6665</w:t>
      </w:r>
      <w:r>
        <w:rPr>
          <w:rFonts w:hint="eastAsia" w:ascii="仿宋_GB2312" w:hAnsi="宋体" w:eastAsia="仿宋_GB2312" w:cs="宋体"/>
          <w:bCs/>
          <w:sz w:val="32"/>
          <w:szCs w:val="32"/>
          <w:lang w:eastAsia="zh-CN"/>
        </w:rPr>
        <w:t>亩），含耕地</w:t>
      </w:r>
      <w:r>
        <w:rPr>
          <w:rFonts w:hint="eastAsia" w:ascii="仿宋_GB2312" w:hAnsi="宋体" w:eastAsia="仿宋_GB2312" w:cs="宋体"/>
          <w:bCs/>
          <w:sz w:val="32"/>
          <w:szCs w:val="32"/>
          <w:lang w:val="en-US" w:eastAsia="zh-CN"/>
        </w:rPr>
        <w:t>0.5354</w:t>
      </w:r>
      <w:r>
        <w:rPr>
          <w:rFonts w:hint="eastAsia" w:ascii="仿宋_GB2312" w:hAnsi="宋体" w:eastAsia="仿宋_GB2312" w:cs="宋体"/>
          <w:bCs/>
          <w:sz w:val="32"/>
          <w:szCs w:val="32"/>
          <w:lang w:eastAsia="zh-CN"/>
        </w:rPr>
        <w:t>公顷(</w:t>
      </w:r>
      <w:r>
        <w:rPr>
          <w:rFonts w:hint="eastAsia" w:ascii="仿宋_GB2312" w:hAnsi="宋体" w:eastAsia="仿宋_GB2312" w:cs="宋体"/>
          <w:bCs/>
          <w:sz w:val="32"/>
          <w:szCs w:val="32"/>
          <w:lang w:val="en-US" w:eastAsia="zh-CN"/>
        </w:rPr>
        <w:t>8.0310</w:t>
      </w:r>
      <w:r>
        <w:rPr>
          <w:rFonts w:hint="eastAsia" w:ascii="仿宋_GB2312" w:hAnsi="宋体" w:eastAsia="仿宋_GB2312" w:cs="宋体"/>
          <w:bCs/>
          <w:sz w:val="32"/>
          <w:szCs w:val="32"/>
          <w:lang w:eastAsia="zh-CN"/>
        </w:rPr>
        <w:t>亩）、</w:t>
      </w:r>
      <w:r>
        <w:rPr>
          <w:rFonts w:hint="eastAsia" w:ascii="仿宋_GB2312" w:hAnsi="宋体" w:eastAsia="仿宋_GB2312" w:cs="宋体"/>
          <w:bCs/>
          <w:sz w:val="32"/>
          <w:szCs w:val="32"/>
          <w:lang w:val="en-US" w:eastAsia="zh-CN"/>
        </w:rPr>
        <w:t>园地0.0251公顷（0.3765亩）、林地0.1542公顷（2.3130亩）、草地0.0376公顷（0.5640亩）、</w:t>
      </w:r>
      <w:r>
        <w:rPr>
          <w:rFonts w:hint="eastAsia" w:ascii="仿宋_GB2312" w:hAnsi="宋体" w:eastAsia="仿宋_GB2312" w:cs="宋体"/>
          <w:bCs/>
          <w:sz w:val="32"/>
          <w:szCs w:val="32"/>
          <w:lang w:eastAsia="zh-CN"/>
        </w:rPr>
        <w:t>其他农用地（不含养殖水面）0.0647公顷（0.9705</w:t>
      </w:r>
      <w:r>
        <w:rPr>
          <w:rFonts w:hint="eastAsia" w:ascii="仿宋_GB2312" w:hAnsi="宋体" w:eastAsia="仿宋_GB2312" w:cs="宋体"/>
          <w:bCs/>
          <w:sz w:val="32"/>
          <w:szCs w:val="32"/>
          <w:lang w:val="en-US" w:eastAsia="zh-CN"/>
        </w:rPr>
        <w:t>亩</w:t>
      </w:r>
      <w:r>
        <w:rPr>
          <w:rFonts w:hint="eastAsia" w:ascii="仿宋_GB2312" w:hAnsi="宋体" w:eastAsia="仿宋_GB2312" w:cs="宋体"/>
          <w:bCs/>
          <w:sz w:val="32"/>
          <w:szCs w:val="32"/>
          <w:lang w:eastAsia="zh-CN"/>
        </w:rPr>
        <w:t>）、</w:t>
      </w:r>
      <w:r>
        <w:rPr>
          <w:rFonts w:hint="eastAsia" w:ascii="仿宋_GB2312" w:hAnsi="宋体" w:eastAsia="仿宋_GB2312" w:cs="宋体"/>
          <w:bCs/>
          <w:sz w:val="32"/>
          <w:szCs w:val="32"/>
          <w:lang w:val="en-US" w:eastAsia="zh-CN"/>
        </w:rPr>
        <w:t>养殖水面0.0941公顷（1.4115亩）</w:t>
      </w:r>
      <w:r>
        <w:rPr>
          <w:rFonts w:hint="eastAsia" w:ascii="仿宋_GB2312" w:hAnsi="宋体" w:eastAsia="仿宋_GB2312" w:cs="宋体"/>
          <w:bCs/>
          <w:sz w:val="32"/>
          <w:szCs w:val="32"/>
          <w:lang w:eastAsia="zh-CN"/>
        </w:rPr>
        <w:t>，建设用地</w:t>
      </w:r>
      <w:r>
        <w:rPr>
          <w:rFonts w:hint="eastAsia" w:ascii="仿宋_GB2312" w:hAnsi="宋体" w:eastAsia="仿宋_GB2312" w:cs="宋体"/>
          <w:bCs/>
          <w:sz w:val="32"/>
          <w:szCs w:val="32"/>
          <w:lang w:val="en-US" w:eastAsia="zh-CN"/>
        </w:rPr>
        <w:t>0.0950</w:t>
      </w:r>
      <w:r>
        <w:rPr>
          <w:rFonts w:hint="eastAsia" w:ascii="仿宋_GB2312" w:hAnsi="宋体" w:eastAsia="仿宋_GB2312" w:cs="宋体"/>
          <w:bCs/>
          <w:sz w:val="32"/>
          <w:szCs w:val="32"/>
          <w:lang w:eastAsia="zh-CN"/>
        </w:rPr>
        <w:t>公顷(</w:t>
      </w:r>
      <w:r>
        <w:rPr>
          <w:rFonts w:hint="eastAsia" w:ascii="仿宋_GB2312" w:hAnsi="宋体" w:eastAsia="仿宋_GB2312" w:cs="宋体"/>
          <w:bCs/>
          <w:sz w:val="32"/>
          <w:szCs w:val="32"/>
          <w:lang w:val="en-US" w:eastAsia="zh-CN"/>
        </w:rPr>
        <w:t>1.4250</w:t>
      </w:r>
      <w:r>
        <w:rPr>
          <w:rFonts w:hint="eastAsia" w:ascii="仿宋_GB2312" w:hAnsi="宋体" w:eastAsia="仿宋_GB2312" w:cs="宋体"/>
          <w:bCs/>
          <w:sz w:val="32"/>
          <w:szCs w:val="32"/>
          <w:lang w:eastAsia="zh-CN"/>
        </w:rPr>
        <w:t>亩），</w:t>
      </w:r>
      <w:r>
        <w:rPr>
          <w:rFonts w:hint="eastAsia" w:ascii="仿宋_GB2312" w:hAnsi="宋体" w:eastAsia="仿宋_GB2312" w:cs="宋体"/>
          <w:bCs/>
          <w:sz w:val="32"/>
          <w:szCs w:val="32"/>
          <w:lang w:val="en-US" w:eastAsia="zh-CN"/>
        </w:rPr>
        <w:t>未利用地0.0794公顷（1.1910亩）。</w:t>
      </w:r>
    </w:p>
    <w:p w14:paraId="32AD50BC">
      <w:pPr>
        <w:pStyle w:val="5"/>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3.</w:t>
      </w:r>
      <w:r>
        <w:rPr>
          <w:rFonts w:hint="eastAsia" w:ascii="仿宋_GB2312" w:hAnsi="宋体" w:eastAsia="仿宋_GB2312" w:cs="宋体"/>
          <w:bCs/>
          <w:sz w:val="32"/>
          <w:szCs w:val="32"/>
          <w:lang w:eastAsia="zh-CN"/>
        </w:rPr>
        <w:t>拟征收</w:t>
      </w:r>
      <w:r>
        <w:rPr>
          <w:rFonts w:hint="eastAsia" w:ascii="仿宋_GB2312" w:hAnsi="宋体" w:eastAsia="仿宋_GB2312" w:cs="宋体"/>
          <w:bCs/>
          <w:sz w:val="32"/>
          <w:szCs w:val="32"/>
          <w:lang w:val="en-US" w:eastAsia="zh-CN"/>
        </w:rPr>
        <w:t>韶关市武江区龙归镇冲下村第十三经济合作社集体所有土地0.0355</w:t>
      </w:r>
      <w:r>
        <w:rPr>
          <w:rFonts w:hint="eastAsia" w:ascii="仿宋_GB2312" w:hAnsi="宋体" w:eastAsia="仿宋_GB2312" w:cs="宋体"/>
          <w:bCs/>
          <w:sz w:val="32"/>
          <w:szCs w:val="32"/>
          <w:lang w:eastAsia="zh-CN"/>
        </w:rPr>
        <w:t>公顷(</w:t>
      </w:r>
      <w:r>
        <w:rPr>
          <w:rFonts w:hint="eastAsia" w:ascii="仿宋_GB2312" w:hAnsi="宋体" w:eastAsia="仿宋_GB2312" w:cs="宋体"/>
          <w:bCs/>
          <w:sz w:val="32"/>
          <w:szCs w:val="32"/>
          <w:lang w:val="en-US" w:eastAsia="zh-CN"/>
        </w:rPr>
        <w:t>0.5325</w:t>
      </w:r>
      <w:r>
        <w:rPr>
          <w:rFonts w:hint="eastAsia" w:ascii="仿宋_GB2312" w:hAnsi="宋体" w:eastAsia="仿宋_GB2312" w:cs="宋体"/>
          <w:bCs/>
          <w:sz w:val="32"/>
          <w:szCs w:val="32"/>
          <w:lang w:eastAsia="zh-CN"/>
        </w:rPr>
        <w:t>亩）。其中，农用地</w:t>
      </w:r>
      <w:r>
        <w:rPr>
          <w:rFonts w:hint="eastAsia" w:ascii="仿宋_GB2312" w:hAnsi="宋体" w:eastAsia="仿宋_GB2312" w:cs="宋体"/>
          <w:bCs/>
          <w:sz w:val="32"/>
          <w:szCs w:val="32"/>
          <w:lang w:val="en-US" w:eastAsia="zh-CN"/>
        </w:rPr>
        <w:t>0.0355</w:t>
      </w:r>
      <w:r>
        <w:rPr>
          <w:rFonts w:hint="eastAsia" w:ascii="仿宋_GB2312" w:hAnsi="宋体" w:eastAsia="仿宋_GB2312" w:cs="宋体"/>
          <w:bCs/>
          <w:sz w:val="32"/>
          <w:szCs w:val="32"/>
          <w:lang w:eastAsia="zh-CN"/>
        </w:rPr>
        <w:t>公顷(</w:t>
      </w:r>
      <w:r>
        <w:rPr>
          <w:rFonts w:hint="eastAsia" w:ascii="仿宋_GB2312" w:hAnsi="宋体" w:eastAsia="仿宋_GB2312" w:cs="宋体"/>
          <w:bCs/>
          <w:sz w:val="32"/>
          <w:szCs w:val="32"/>
          <w:lang w:val="en-US" w:eastAsia="zh-CN"/>
        </w:rPr>
        <w:t>0.5325</w:t>
      </w:r>
      <w:r>
        <w:rPr>
          <w:rFonts w:hint="eastAsia" w:ascii="仿宋_GB2312" w:hAnsi="宋体" w:eastAsia="仿宋_GB2312" w:cs="宋体"/>
          <w:bCs/>
          <w:sz w:val="32"/>
          <w:szCs w:val="32"/>
          <w:lang w:eastAsia="zh-CN"/>
        </w:rPr>
        <w:t>亩），含耕地</w:t>
      </w:r>
      <w:r>
        <w:rPr>
          <w:rFonts w:hint="eastAsia" w:ascii="仿宋_GB2312" w:hAnsi="宋体" w:eastAsia="仿宋_GB2312" w:cs="宋体"/>
          <w:bCs/>
          <w:sz w:val="32"/>
          <w:szCs w:val="32"/>
          <w:lang w:val="en-US" w:eastAsia="zh-CN"/>
        </w:rPr>
        <w:t>0.0355</w:t>
      </w:r>
      <w:r>
        <w:rPr>
          <w:rFonts w:hint="eastAsia" w:ascii="仿宋_GB2312" w:hAnsi="宋体" w:eastAsia="仿宋_GB2312" w:cs="宋体"/>
          <w:bCs/>
          <w:sz w:val="32"/>
          <w:szCs w:val="32"/>
          <w:lang w:eastAsia="zh-CN"/>
        </w:rPr>
        <w:t>公顷(</w:t>
      </w:r>
      <w:r>
        <w:rPr>
          <w:rFonts w:hint="eastAsia" w:ascii="仿宋_GB2312" w:hAnsi="宋体" w:eastAsia="仿宋_GB2312" w:cs="宋体"/>
          <w:bCs/>
          <w:sz w:val="32"/>
          <w:szCs w:val="32"/>
          <w:lang w:val="en-US" w:eastAsia="zh-CN"/>
        </w:rPr>
        <w:t>0.5325</w:t>
      </w:r>
      <w:r>
        <w:rPr>
          <w:rFonts w:hint="eastAsia" w:ascii="仿宋_GB2312" w:hAnsi="宋体" w:eastAsia="仿宋_GB2312" w:cs="宋体"/>
          <w:bCs/>
          <w:sz w:val="32"/>
          <w:szCs w:val="32"/>
          <w:lang w:eastAsia="zh-CN"/>
        </w:rPr>
        <w:t>亩）</w:t>
      </w:r>
      <w:r>
        <w:rPr>
          <w:rFonts w:hint="eastAsia" w:ascii="仿宋_GB2312" w:hAnsi="宋体" w:eastAsia="仿宋_GB2312" w:cs="宋体"/>
          <w:bCs/>
          <w:sz w:val="32"/>
          <w:szCs w:val="32"/>
          <w:lang w:val="en-US" w:eastAsia="zh-CN"/>
        </w:rPr>
        <w:t>。</w:t>
      </w:r>
    </w:p>
    <w:p w14:paraId="612846D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宋体"/>
          <w:sz w:val="32"/>
          <w:szCs w:val="32"/>
        </w:rPr>
      </w:pPr>
      <w:r>
        <w:rPr>
          <w:rFonts w:hint="eastAsia" w:ascii="黑体" w:hAnsi="黑体" w:eastAsia="黑体" w:cs="宋体"/>
          <w:sz w:val="32"/>
          <w:szCs w:val="32"/>
        </w:rPr>
        <w:t>四、补偿方式和标准</w:t>
      </w:r>
    </w:p>
    <w:p w14:paraId="3ABA6A47">
      <w:pPr>
        <w:pStyle w:val="5"/>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（一）土地补偿费和安置补助费标准</w:t>
      </w:r>
    </w:p>
    <w:p w14:paraId="42257F78">
      <w:pPr>
        <w:pStyle w:val="5"/>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_GB2312" w:eastAsia="仿宋_GB2312"/>
          <w:sz w:val="32"/>
          <w:szCs w:val="32"/>
          <w:lang w:val="en-US" w:eastAsia="zh-CN"/>
        </w:rPr>
      </w:pPr>
      <w:r>
        <w:rPr>
          <w:rFonts w:hint="eastAsia" w:ascii="仿宋_GB2312" w:hAnsi="仿宋" w:eastAsia="仿宋_GB2312"/>
          <w:sz w:val="32"/>
          <w:szCs w:val="32"/>
          <w:lang w:val="en-US" w:eastAsia="zh-CN"/>
        </w:rPr>
        <w:t>根据</w:t>
      </w:r>
      <w:r>
        <w:rPr>
          <w:rFonts w:hint="eastAsia" w:ascii="仿宋_GB2312" w:hAnsi="仿宋" w:eastAsia="仿宋_GB2312"/>
          <w:sz w:val="32"/>
          <w:szCs w:val="32"/>
          <w:lang w:val="zh-CN" w:eastAsia="en-US"/>
        </w:rPr>
        <w:t>《广东省自然资源厅关于韶关市征收农用地区片综合地价成果的批复》</w:t>
      </w:r>
      <w:r>
        <w:rPr>
          <w:rFonts w:hint="eastAsia" w:ascii="仿宋_GB2312" w:hAnsi="仿宋" w:eastAsia="仿宋_GB2312"/>
          <w:sz w:val="32"/>
          <w:szCs w:val="32"/>
          <w:lang w:val="zh-CN" w:eastAsia="zh-CN"/>
        </w:rPr>
        <w:t>（粤自然资函</w:t>
      </w:r>
      <w:r>
        <w:rPr>
          <w:rFonts w:hint="eastAsia" w:ascii="仿宋_GB2312" w:hAnsi="仿宋_GB2312" w:eastAsia="仿宋_GB2312" w:cs="仿宋_GB2312"/>
          <w:sz w:val="32"/>
          <w:szCs w:val="32"/>
          <w:lang w:eastAsia="zh-CN"/>
        </w:rPr>
        <w:t>〔</w:t>
      </w:r>
      <w:r>
        <w:rPr>
          <w:rFonts w:hint="eastAsia" w:ascii="仿宋_GB2312" w:hAnsi="仿宋" w:eastAsia="仿宋_GB2312"/>
          <w:sz w:val="32"/>
          <w:szCs w:val="32"/>
          <w:lang w:val="zh-CN" w:eastAsia="zh-CN"/>
        </w:rPr>
        <w:t>2024</w:t>
      </w:r>
      <w:r>
        <w:rPr>
          <w:rFonts w:hint="eastAsia" w:ascii="仿宋_GB2312" w:hAnsi="仿宋_GB2312" w:eastAsia="仿宋_GB2312" w:cs="仿宋_GB2312"/>
          <w:sz w:val="32"/>
          <w:szCs w:val="32"/>
          <w:lang w:eastAsia="zh-CN"/>
        </w:rPr>
        <w:t>〕</w:t>
      </w:r>
      <w:r>
        <w:rPr>
          <w:rFonts w:hint="eastAsia" w:ascii="仿宋_GB2312" w:hAnsi="仿宋" w:eastAsia="仿宋_GB2312"/>
          <w:sz w:val="32"/>
          <w:szCs w:val="32"/>
          <w:lang w:val="zh-CN" w:eastAsia="zh-CN"/>
        </w:rPr>
        <w:t>109号）</w:t>
      </w:r>
      <w:r>
        <w:rPr>
          <w:rFonts w:hint="eastAsia" w:ascii="仿宋_GB2312" w:eastAsia="仿宋_GB2312"/>
          <w:sz w:val="32"/>
          <w:szCs w:val="32"/>
          <w:lang w:val="en-US" w:eastAsia="zh-CN"/>
        </w:rPr>
        <w:t>的规定，</w:t>
      </w:r>
      <w:r>
        <w:rPr>
          <w:rFonts w:hint="eastAsia" w:ascii="仿宋_GB2312" w:hAnsi="仿宋" w:eastAsia="仿宋_GB2312"/>
          <w:sz w:val="32"/>
          <w:szCs w:val="32"/>
          <w:lang w:val="en-US" w:eastAsia="zh-CN"/>
        </w:rPr>
        <w:t>土地补偿费</w:t>
      </w:r>
      <w:r>
        <w:rPr>
          <w:rFonts w:hint="eastAsia" w:ascii="仿宋_GB2312" w:eastAsia="仿宋_GB2312"/>
          <w:sz w:val="32"/>
          <w:szCs w:val="32"/>
          <w:lang w:val="en-US" w:eastAsia="zh-CN"/>
        </w:rPr>
        <w:t>及</w:t>
      </w:r>
      <w:r>
        <w:rPr>
          <w:rFonts w:hint="eastAsia" w:ascii="仿宋_GB2312" w:hAnsi="仿宋" w:eastAsia="仿宋_GB2312"/>
          <w:sz w:val="32"/>
          <w:szCs w:val="32"/>
          <w:lang w:val="en-US" w:eastAsia="zh-CN"/>
        </w:rPr>
        <w:t>安置补助费标准</w:t>
      </w:r>
      <w:r>
        <w:rPr>
          <w:rFonts w:hint="eastAsia" w:ascii="仿宋_GB2312" w:eastAsia="仿宋_GB2312"/>
          <w:sz w:val="32"/>
          <w:szCs w:val="32"/>
          <w:lang w:val="en-US" w:eastAsia="zh-CN"/>
        </w:rPr>
        <w:t>如下：</w:t>
      </w:r>
    </w:p>
    <w:tbl>
      <w:tblPr>
        <w:tblStyle w:val="10"/>
        <w:tblW w:w="9522"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80"/>
        <w:gridCol w:w="2380"/>
        <w:gridCol w:w="2381"/>
        <w:gridCol w:w="2381"/>
      </w:tblGrid>
      <w:tr w14:paraId="4F8DA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9520" w:type="dxa"/>
            <w:gridSpan w:val="4"/>
            <w:tcBorders>
              <w:top w:val="nil"/>
              <w:left w:val="nil"/>
              <w:bottom w:val="nil"/>
              <w:right w:val="nil"/>
            </w:tcBorders>
            <w:shd w:val="clear" w:color="auto" w:fill="auto"/>
            <w:noWrap/>
            <w:vAlign w:val="center"/>
          </w:tcPr>
          <w:p w14:paraId="3F06FBBC">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单位：万元/公顷</w:t>
            </w:r>
          </w:p>
        </w:tc>
      </w:tr>
      <w:tr w14:paraId="60625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EA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土地类别</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42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土地补偿标准</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EA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安置补助标准</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14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r>
      <w:tr w14:paraId="23EFB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90B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耕地</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156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48.4500 </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A81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48.6000 </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E3C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97.0500 </w:t>
            </w:r>
          </w:p>
        </w:tc>
      </w:tr>
      <w:tr w14:paraId="740C1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8A2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园地</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67C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36.3375 </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002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36.4500 </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9FA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72.7875 </w:t>
            </w:r>
          </w:p>
        </w:tc>
      </w:tr>
      <w:tr w14:paraId="20A20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311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林地</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57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21.8025 </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F8C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21.8700 </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073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43.6725 </w:t>
            </w:r>
          </w:p>
        </w:tc>
      </w:tr>
      <w:tr w14:paraId="2DAB3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8C6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草地</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1FD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21.8025 </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003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21.8700 </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3DE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43.6725 </w:t>
            </w:r>
          </w:p>
        </w:tc>
      </w:tr>
      <w:tr w14:paraId="14017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46D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养殖水面</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02B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48.4500 </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4C2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48.6000 </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DEC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97.0500 </w:t>
            </w:r>
          </w:p>
        </w:tc>
      </w:tr>
      <w:tr w14:paraId="318AA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30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其他农用地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（不含养殖水面）</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F5F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21.8025 </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953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21.8700 </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AE0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43.6725 </w:t>
            </w:r>
          </w:p>
        </w:tc>
      </w:tr>
      <w:tr w14:paraId="60DDF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2EE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建设用地</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A5C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48.4500 </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E3F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48.6000 </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3F0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97.0500 </w:t>
            </w:r>
          </w:p>
        </w:tc>
      </w:tr>
      <w:tr w14:paraId="596CC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59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1"/>
                <w:szCs w:val="21"/>
                <w:u w:val="none"/>
                <w:lang w:val="en-US" w:eastAsia="zh-CN" w:bidi="ar"/>
              </w:rPr>
            </w:pPr>
            <w:r>
              <w:rPr>
                <w:rFonts w:hint="eastAsia" w:ascii="宋体" w:hAnsi="宋体" w:cs="宋体"/>
                <w:color w:val="000000"/>
                <w:kern w:val="0"/>
                <w:szCs w:val="21"/>
                <w:u w:val="none"/>
                <w:lang w:eastAsia="zh-CN" w:bidi="ar"/>
              </w:rPr>
              <w:t>未利用地</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A0D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19.3800</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352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19.4400</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D3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1"/>
                <w:szCs w:val="21"/>
                <w:u w:val="none"/>
                <w:lang w:val="en-US" w:eastAsia="zh-CN" w:bidi="ar"/>
              </w:rPr>
            </w:pPr>
            <w:r>
              <w:rPr>
                <w:rFonts w:hint="eastAsia" w:ascii="宋体" w:hAnsi="宋体" w:cs="宋体"/>
                <w:color w:val="000000"/>
                <w:kern w:val="0"/>
                <w:szCs w:val="21"/>
                <w:u w:val="none"/>
                <w:lang w:val="en-US" w:eastAsia="zh-CN" w:bidi="ar"/>
              </w:rPr>
              <w:t>38.8200</w:t>
            </w:r>
          </w:p>
        </w:tc>
      </w:tr>
    </w:tbl>
    <w:p w14:paraId="3C6F8F1D">
      <w:pPr>
        <w:keepNext w:val="0"/>
        <w:keepLines w:val="0"/>
        <w:pageBreakBefore w:val="0"/>
        <w:numPr>
          <w:ilvl w:val="0"/>
          <w:numId w:val="1"/>
        </w:numPr>
        <w:kinsoku/>
        <w:wordWrap/>
        <w:overflowPunct/>
        <w:topLinePunct w:val="0"/>
        <w:autoSpaceDE/>
        <w:autoSpaceDN/>
        <w:bidi w:val="0"/>
        <w:adjustRightInd/>
        <w:snapToGrid/>
        <w:spacing w:line="560" w:lineRule="exact"/>
        <w:ind w:left="-10" w:leftChars="0" w:firstLine="640" w:firstLineChars="0"/>
        <w:jc w:val="left"/>
        <w:rPr>
          <w:rFonts w:hint="eastAsia" w:ascii="仿宋_GB2312" w:hAnsi="仿宋" w:eastAsia="仿宋_GB2312" w:cs="仿宋"/>
          <w:kern w:val="2"/>
          <w:sz w:val="32"/>
          <w:szCs w:val="32"/>
          <w:lang w:val="en-US" w:eastAsia="zh-CN" w:bidi="ar-SA"/>
        </w:rPr>
      </w:pPr>
      <w:r>
        <w:rPr>
          <w:rFonts w:hint="eastAsia" w:ascii="仿宋_GB2312" w:hAnsi="仿宋" w:eastAsia="仿宋_GB2312" w:cs="仿宋"/>
          <w:kern w:val="2"/>
          <w:sz w:val="32"/>
          <w:szCs w:val="32"/>
          <w:lang w:val="en-US" w:eastAsia="zh-CN" w:bidi="ar-SA"/>
        </w:rPr>
        <w:t>其他地上附着物和青苗补偿</w:t>
      </w:r>
    </w:p>
    <w:p w14:paraId="2A34A201">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left"/>
        <w:rPr>
          <w:rFonts w:hint="default" w:ascii="仿宋_GB2312" w:hAnsi="仿宋" w:eastAsia="仿宋_GB2312" w:cs="仿宋"/>
          <w:kern w:val="2"/>
          <w:sz w:val="32"/>
          <w:szCs w:val="32"/>
          <w:lang w:val="en-US" w:eastAsia="zh-CN" w:bidi="ar-SA"/>
        </w:rPr>
      </w:pPr>
      <w:r>
        <w:rPr>
          <w:rFonts w:hint="eastAsia" w:ascii="仿宋_GB2312" w:hAnsi="仿宋" w:eastAsia="仿宋_GB2312" w:cs="仿宋"/>
          <w:kern w:val="2"/>
          <w:sz w:val="32"/>
          <w:szCs w:val="32"/>
          <w:lang w:val="en-US" w:eastAsia="zh-CN" w:bidi="ar-SA"/>
        </w:rPr>
        <w:t>其他地上附着物和青苗补偿按</w:t>
      </w:r>
      <w:r>
        <w:rPr>
          <w:rFonts w:hint="default" w:ascii="仿宋_GB2312" w:hAnsi="仿宋" w:eastAsia="仿宋_GB2312" w:cs="仿宋"/>
          <w:kern w:val="2"/>
          <w:sz w:val="32"/>
          <w:szCs w:val="32"/>
          <w:lang w:val="en-US" w:eastAsia="zh-CN" w:bidi="ar-SA"/>
        </w:rPr>
        <w:t>《韶关市浈江区、武江区征收集体土地地上附着物和青苗补偿标准》（韶府规〔2024〕3号）</w:t>
      </w:r>
      <w:r>
        <w:rPr>
          <w:rFonts w:hint="eastAsia" w:ascii="仿宋_GB2312" w:hAnsi="仿宋" w:eastAsia="仿宋_GB2312" w:cs="仿宋"/>
          <w:kern w:val="2"/>
          <w:sz w:val="32"/>
          <w:szCs w:val="32"/>
          <w:lang w:val="en-US" w:eastAsia="zh-CN" w:bidi="ar-SA"/>
        </w:rPr>
        <w:t>的规定执行。</w:t>
      </w:r>
    </w:p>
    <w:p w14:paraId="69DF900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宋体"/>
          <w:sz w:val="32"/>
          <w:szCs w:val="32"/>
        </w:rPr>
      </w:pPr>
      <w:r>
        <w:rPr>
          <w:rFonts w:hint="eastAsia" w:ascii="黑体" w:hAnsi="黑体" w:eastAsia="黑体" w:cs="宋体"/>
          <w:sz w:val="32"/>
          <w:szCs w:val="32"/>
        </w:rPr>
        <w:t>五、安置方式和社会保障</w:t>
      </w:r>
    </w:p>
    <w:p w14:paraId="3742D33C">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rPr>
          <w:rFonts w:hint="default" w:eastAsia="仿宋"/>
          <w:sz w:val="32"/>
          <w:szCs w:val="32"/>
          <w:lang w:val="en-US" w:eastAsia="zh-CN"/>
        </w:rPr>
      </w:pPr>
      <w:r>
        <w:rPr>
          <w:rFonts w:hint="eastAsia" w:ascii="楷体_GB2312" w:hAnsi="楷体_GB2312" w:eastAsia="楷体_GB2312" w:cs="楷体_GB2312"/>
          <w:bCs/>
          <w:sz w:val="32"/>
          <w:szCs w:val="32"/>
          <w:lang w:val="en-US" w:eastAsia="zh-CN"/>
        </w:rPr>
        <w:t>（一）货币安置。</w:t>
      </w:r>
      <w:r>
        <w:rPr>
          <w:rFonts w:hint="eastAsia" w:ascii="仿宋_GB2312" w:hAnsi="宋体" w:eastAsia="仿宋_GB2312" w:cs="宋体"/>
          <w:bCs/>
          <w:sz w:val="32"/>
          <w:szCs w:val="32"/>
          <w:lang w:val="en-US" w:eastAsia="zh-CN"/>
        </w:rPr>
        <w:t>有关费用已包含在土地补偿费与安置补助费中。</w:t>
      </w:r>
    </w:p>
    <w:p w14:paraId="2B847167">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rPr>
          <w:rFonts w:hint="eastAsia" w:ascii="仿宋_GB2312" w:hAnsi="宋体" w:eastAsia="仿宋_GB2312" w:cs="宋体"/>
          <w:bCs/>
          <w:sz w:val="32"/>
          <w:szCs w:val="32"/>
          <w:lang w:val="zh-CN" w:eastAsia="zh-CN"/>
        </w:rPr>
      </w:pPr>
      <w:r>
        <w:rPr>
          <w:rFonts w:hint="eastAsia" w:ascii="楷体_GB2312" w:hAnsi="楷体_GB2312" w:eastAsia="楷体_GB2312" w:cs="楷体_GB2312"/>
          <w:bCs/>
          <w:sz w:val="32"/>
          <w:szCs w:val="32"/>
          <w:lang w:val="en-US" w:eastAsia="zh-CN"/>
        </w:rPr>
        <w:t>（二）留用地安置。</w:t>
      </w:r>
      <w:r>
        <w:rPr>
          <w:rFonts w:hint="eastAsia" w:ascii="仿宋_GB2312" w:hAnsi="宋体" w:eastAsia="仿宋_GB2312" w:cs="宋体"/>
          <w:bCs/>
          <w:sz w:val="32"/>
          <w:szCs w:val="32"/>
          <w:lang w:val="zh-CN" w:eastAsia="zh-CN"/>
        </w:rPr>
        <w:t>根据《广东省人民政府办公厅关于加强征收农村集体土地留用地安置管理工作的意见》（粤府办〔2016〕30号）</w:t>
      </w:r>
      <w:r>
        <w:rPr>
          <w:rFonts w:hint="eastAsia" w:ascii="仿宋_GB2312" w:hAnsi="仿宋_GB2312" w:eastAsia="仿宋_GB2312" w:cs="仿宋_GB2312"/>
          <w:color w:val="auto"/>
          <w:w w:val="99"/>
          <w:sz w:val="32"/>
          <w:szCs w:val="32"/>
          <w:lang w:val="en-US" w:eastAsia="zh-CN"/>
        </w:rPr>
        <w:t>和《韶关市人民政府办公室关于加强韶关市浈江区、武江区征收农村集体土地留用地安置管理工作的意见》（韶府办〔2016〕82号）</w:t>
      </w:r>
      <w:r>
        <w:rPr>
          <w:rFonts w:hint="eastAsia" w:ascii="仿宋_GB2312" w:hAnsi="宋体" w:eastAsia="仿宋_GB2312" w:cs="宋体"/>
          <w:bCs/>
          <w:sz w:val="32"/>
          <w:szCs w:val="32"/>
          <w:lang w:val="zh-CN" w:eastAsia="zh-CN"/>
        </w:rPr>
        <w:t>的规定，按实际征收土地面积的</w:t>
      </w:r>
      <w:r>
        <w:rPr>
          <w:rFonts w:hint="eastAsia" w:ascii="仿宋_GB2312" w:hAnsi="宋体" w:eastAsia="仿宋_GB2312" w:cs="宋体"/>
          <w:bCs/>
          <w:sz w:val="32"/>
          <w:szCs w:val="32"/>
          <w:lang w:val="en-US" w:eastAsia="zh-CN"/>
        </w:rPr>
        <w:t>15</w:t>
      </w:r>
      <w:r>
        <w:rPr>
          <w:rFonts w:hint="eastAsia" w:ascii="仿宋_GB2312" w:hAnsi="宋体" w:eastAsia="仿宋_GB2312" w:cs="宋体"/>
          <w:bCs/>
          <w:sz w:val="32"/>
          <w:szCs w:val="32"/>
          <w:lang w:val="zh-CN" w:eastAsia="zh-CN"/>
        </w:rPr>
        <w:t>%，按照</w:t>
      </w:r>
      <w:r>
        <w:rPr>
          <w:rFonts w:hint="eastAsia" w:ascii="仿宋_GB2312" w:hAnsi="宋体" w:eastAsia="仿宋_GB2312" w:cs="宋体"/>
          <w:bCs/>
          <w:sz w:val="32"/>
          <w:szCs w:val="32"/>
          <w:lang w:val="en-US" w:eastAsia="zh-CN"/>
        </w:rPr>
        <w:t>20</w:t>
      </w:r>
      <w:r>
        <w:rPr>
          <w:rFonts w:hint="eastAsia" w:ascii="仿宋_GB2312" w:hAnsi="宋体" w:eastAsia="仿宋_GB2312" w:cs="宋体"/>
          <w:bCs/>
          <w:sz w:val="32"/>
          <w:szCs w:val="32"/>
          <w:highlight w:val="none"/>
          <w:lang w:val="zh-CN" w:eastAsia="zh-CN"/>
        </w:rPr>
        <w:t>万元/亩</w:t>
      </w:r>
      <w:r>
        <w:rPr>
          <w:rFonts w:hint="eastAsia" w:ascii="仿宋_GB2312" w:hAnsi="宋体" w:eastAsia="仿宋_GB2312" w:cs="宋体"/>
          <w:bCs/>
          <w:sz w:val="32"/>
          <w:szCs w:val="32"/>
          <w:lang w:val="zh-CN" w:eastAsia="zh-CN"/>
        </w:rPr>
        <w:t>，折算货币补偿</w:t>
      </w:r>
      <w:r>
        <w:rPr>
          <w:rFonts w:hint="eastAsia" w:ascii="仿宋_GB2312" w:hAnsi="宋体" w:eastAsia="仿宋_GB2312" w:cs="宋体"/>
          <w:bCs/>
          <w:sz w:val="32"/>
          <w:szCs w:val="32"/>
          <w:lang w:val="en-US" w:eastAsia="zh-CN"/>
        </w:rPr>
        <w:t>方式</w:t>
      </w:r>
      <w:r>
        <w:rPr>
          <w:rFonts w:hint="eastAsia" w:ascii="仿宋_GB2312" w:hAnsi="宋体" w:eastAsia="仿宋_GB2312" w:cs="宋体"/>
          <w:bCs/>
          <w:sz w:val="32"/>
          <w:szCs w:val="32"/>
          <w:lang w:val="zh-CN" w:eastAsia="zh-CN"/>
        </w:rPr>
        <w:t>安排留用地。</w:t>
      </w:r>
    </w:p>
    <w:p w14:paraId="05BEF51F">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仿宋_GB2312" w:hAnsi="宋体" w:eastAsia="仿宋_GB2312" w:cs="宋体"/>
          <w:bCs/>
          <w:sz w:val="32"/>
          <w:szCs w:val="32"/>
          <w:highlight w:val="none"/>
          <w:lang w:val="en-US" w:eastAsia="zh-CN"/>
        </w:rPr>
      </w:pPr>
      <w:r>
        <w:rPr>
          <w:rFonts w:hint="eastAsia" w:ascii="楷体_GB2312" w:hAnsi="楷体_GB2312" w:eastAsia="楷体_GB2312" w:cs="楷体_GB2312"/>
          <w:bCs/>
          <w:sz w:val="32"/>
          <w:szCs w:val="32"/>
          <w:lang w:val="en-US" w:eastAsia="zh-CN"/>
        </w:rPr>
        <w:t>（三）社会保障。</w:t>
      </w:r>
      <w:r>
        <w:rPr>
          <w:rFonts w:hint="eastAsia" w:ascii="仿宋_GB2312" w:hAnsi="宋体" w:eastAsia="仿宋_GB2312" w:cs="宋体"/>
          <w:bCs/>
          <w:sz w:val="32"/>
          <w:szCs w:val="32"/>
          <w:highlight w:val="none"/>
          <w:lang w:val="en-US" w:eastAsia="zh-CN"/>
        </w:rPr>
        <w:t>根据《广东省人民政府办公厅转发省人力资源社会保障厅关于进一步完善我省被征地农民养老保障政策意见的通知》（粤府办〔2021〕22号）、《韶关市人民政府办公室关于进一步明确韶关市被征地农民养老保障工作的通知》（韶府办发函〔2021〕179号）等有关规定，核定该项目按全市平均每亩征收农用地区片综合地价2.8459万元的33%比例计提征地社保费，即每征一亩地按0.94万元的标准一次性计提征地社保费，预存入“收缴被征地农民养老保障资金过渡户”，费用合计16.35177万元，专款用于被征地农民的基本养老保险补贴。</w:t>
      </w:r>
      <w:r>
        <w:rPr>
          <w:rFonts w:hint="eastAsia" w:ascii="仿宋_GB2312" w:hAnsi="宋体" w:eastAsia="仿宋_GB2312" w:cs="宋体"/>
          <w:bCs/>
          <w:color w:val="auto"/>
          <w:sz w:val="32"/>
          <w:szCs w:val="32"/>
          <w:highlight w:val="none"/>
          <w:lang w:eastAsia="zh-CN"/>
        </w:rPr>
        <w:t>韶关市</w:t>
      </w:r>
      <w:r>
        <w:rPr>
          <w:rFonts w:hint="eastAsia" w:ascii="仿宋_GB2312" w:hAnsi="宋体" w:eastAsia="仿宋_GB2312" w:cs="宋体"/>
          <w:bCs/>
          <w:color w:val="auto"/>
          <w:sz w:val="32"/>
          <w:szCs w:val="32"/>
          <w:highlight w:val="none"/>
          <w:lang w:val="en-US" w:eastAsia="zh-CN"/>
        </w:rPr>
        <w:t>武江</w:t>
      </w:r>
      <w:r>
        <w:rPr>
          <w:rFonts w:hint="eastAsia" w:ascii="仿宋_GB2312" w:hAnsi="宋体" w:eastAsia="仿宋_GB2312" w:cs="宋体"/>
          <w:bCs/>
          <w:color w:val="auto"/>
          <w:sz w:val="32"/>
          <w:szCs w:val="32"/>
          <w:highlight w:val="none"/>
          <w:lang w:eastAsia="zh-CN"/>
        </w:rPr>
        <w:t>区202</w:t>
      </w:r>
      <w:r>
        <w:rPr>
          <w:rFonts w:hint="eastAsia" w:ascii="仿宋_GB2312" w:hAnsi="宋体" w:eastAsia="仿宋_GB2312" w:cs="宋体"/>
          <w:bCs/>
          <w:color w:val="auto"/>
          <w:sz w:val="32"/>
          <w:szCs w:val="32"/>
          <w:highlight w:val="none"/>
          <w:lang w:val="en-US" w:eastAsia="zh-CN"/>
        </w:rPr>
        <w:t>4</w:t>
      </w:r>
      <w:r>
        <w:rPr>
          <w:rFonts w:hint="eastAsia" w:ascii="仿宋_GB2312" w:hAnsi="宋体" w:eastAsia="仿宋_GB2312" w:cs="宋体"/>
          <w:bCs/>
          <w:color w:val="auto"/>
          <w:sz w:val="32"/>
          <w:szCs w:val="32"/>
          <w:highlight w:val="none"/>
          <w:lang w:eastAsia="zh-CN"/>
        </w:rPr>
        <w:t>年度第六批次城镇建设用地项目</w:t>
      </w:r>
      <w:r>
        <w:rPr>
          <w:rFonts w:hint="eastAsia" w:ascii="仿宋_GB2312" w:hAnsi="宋体" w:eastAsia="仿宋_GB2312" w:cs="宋体"/>
          <w:bCs/>
          <w:color w:val="auto"/>
          <w:sz w:val="32"/>
          <w:szCs w:val="32"/>
          <w:highlight w:val="none"/>
          <w:lang w:val="en-US" w:eastAsia="zh-CN"/>
        </w:rPr>
        <w:t>涉及集体土地17.3955亩，其中，9.066亩集体土地涉及应参加养老保障的被征地农民户数为24户，8.3295亩集</w:t>
      </w:r>
      <w:bookmarkStart w:id="1" w:name="_GoBack"/>
      <w:r>
        <w:rPr>
          <w:rFonts w:hint="eastAsia" w:ascii="仿宋_GB2312" w:hAnsi="宋体" w:eastAsia="仿宋_GB2312" w:cs="宋体"/>
          <w:bCs/>
          <w:color w:val="auto"/>
          <w:sz w:val="32"/>
          <w:szCs w:val="32"/>
          <w:highlight w:val="none"/>
          <w:lang w:val="en-US" w:eastAsia="zh-CN"/>
        </w:rPr>
        <w:t>体土地涉及被征地农村集体经济组织实行集体统一经营土地。</w:t>
      </w:r>
    </w:p>
    <w:p w14:paraId="3C15926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宋体"/>
          <w:sz w:val="32"/>
          <w:szCs w:val="32"/>
          <w:highlight w:val="none"/>
        </w:rPr>
      </w:pPr>
      <w:r>
        <w:rPr>
          <w:rFonts w:hint="eastAsia" w:ascii="黑体" w:hAnsi="黑体" w:eastAsia="黑体" w:cs="宋体"/>
          <w:sz w:val="32"/>
          <w:szCs w:val="32"/>
          <w:highlight w:val="none"/>
        </w:rPr>
        <w:t>六、其他事项</w:t>
      </w:r>
    </w:p>
    <w:p w14:paraId="636E491A">
      <w:pPr>
        <w:pStyle w:val="5"/>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z w:val="32"/>
          <w:szCs w:val="32"/>
          <w:highlight w:val="none"/>
        </w:rPr>
      </w:pPr>
      <w:r>
        <w:rPr>
          <w:rFonts w:hint="eastAsia" w:ascii="楷体_GB2312" w:hAnsi="楷体_GB2312" w:eastAsia="楷体_GB2312" w:cs="楷体_GB2312"/>
          <w:bCs/>
          <w:sz w:val="32"/>
          <w:szCs w:val="32"/>
          <w:highlight w:val="none"/>
          <w:lang w:val="en-US" w:eastAsia="zh-CN"/>
        </w:rPr>
        <w:t>（一）公告时间</w:t>
      </w:r>
      <w:r>
        <w:rPr>
          <w:rFonts w:hint="eastAsia" w:ascii="仿宋_GB2312" w:hAnsi="宋体" w:eastAsia="仿宋_GB2312" w:cs="宋体"/>
          <w:bCs/>
          <w:sz w:val="32"/>
          <w:szCs w:val="32"/>
          <w:highlight w:val="none"/>
          <w:lang w:val="en-US" w:eastAsia="zh-CN"/>
        </w:rPr>
        <w:t>：2025年7月31日至2025年8月29日（不少于30日）。</w:t>
      </w:r>
    </w:p>
    <w:p w14:paraId="61D761C2">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sz w:val="32"/>
          <w:szCs w:val="32"/>
          <w:highlight w:val="none"/>
        </w:rPr>
      </w:pPr>
      <w:r>
        <w:rPr>
          <w:rFonts w:hint="eastAsia" w:ascii="楷体_GB2312" w:hAnsi="楷体_GB2312" w:eastAsia="楷体_GB2312" w:cs="楷体_GB2312"/>
          <w:bCs/>
          <w:sz w:val="32"/>
          <w:szCs w:val="32"/>
          <w:highlight w:val="none"/>
          <w:lang w:val="en-US" w:eastAsia="zh-CN"/>
        </w:rPr>
        <w:t>（二）补偿登记期限和方式。</w:t>
      </w:r>
      <w:r>
        <w:rPr>
          <w:rFonts w:hint="eastAsia" w:ascii="仿宋_GB2312" w:hAnsi="宋体" w:eastAsia="仿宋_GB2312" w:cs="宋体"/>
          <w:bCs/>
          <w:sz w:val="32"/>
          <w:szCs w:val="32"/>
          <w:highlight w:val="none"/>
          <w:lang w:val="en-US" w:eastAsia="zh-CN"/>
        </w:rPr>
        <w:t>被征收土地所有权人及相关权利人应当在2025年7月31日至2025年8月14日内，持集体土地所有权证、集体土地使用权证、集体土地承包合同及身份证等证明材料至韶关市</w:t>
      </w:r>
      <w:r>
        <w:rPr>
          <w:rFonts w:hint="eastAsia" w:ascii="仿宋_GB2312" w:hAnsi="仿宋_GB2312" w:eastAsia="仿宋_GB2312" w:cs="仿宋_GB2312"/>
          <w:sz w:val="32"/>
          <w:szCs w:val="32"/>
          <w:highlight w:val="none"/>
          <w:lang w:eastAsia="zh-CN"/>
        </w:rPr>
        <w:t>武江区</w:t>
      </w:r>
      <w:r>
        <w:rPr>
          <w:rFonts w:hint="eastAsia" w:ascii="仿宋_GB2312" w:hAnsi="仿宋_GB2312" w:eastAsia="仿宋_GB2312" w:cs="仿宋_GB2312"/>
          <w:color w:val="auto"/>
          <w:sz w:val="32"/>
          <w:szCs w:val="32"/>
          <w:highlight w:val="none"/>
          <w:lang w:val="en-US" w:eastAsia="zh-CN"/>
        </w:rPr>
        <w:t>土地和房屋征收事务中心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地址：</w:t>
      </w:r>
      <w:r>
        <w:rPr>
          <w:rFonts w:hint="eastAsia" w:ascii="仿宋_GB2312" w:hAnsi="仿宋_GB2312" w:eastAsia="仿宋_GB2312" w:cs="仿宋_GB2312"/>
          <w:sz w:val="32"/>
          <w:szCs w:val="32"/>
          <w:highlight w:val="none"/>
          <w:lang w:eastAsia="zh-CN"/>
        </w:rPr>
        <w:t>韶关市武江区</w:t>
      </w:r>
      <w:r>
        <w:rPr>
          <w:rFonts w:hint="eastAsia" w:ascii="仿宋_GB2312" w:hAnsi="仿宋_GB2312" w:eastAsia="仿宋_GB2312" w:cs="仿宋_GB2312"/>
          <w:color w:val="auto"/>
          <w:sz w:val="32"/>
          <w:szCs w:val="32"/>
          <w:highlight w:val="none"/>
          <w:lang w:val="en-US" w:eastAsia="zh-CN"/>
        </w:rPr>
        <w:t>建设路49号</w:t>
      </w:r>
      <w:r>
        <w:rPr>
          <w:rFonts w:hint="eastAsia" w:ascii="仿宋_GB2312" w:hAnsi="宋体" w:eastAsia="仿宋_GB2312" w:cs="宋体"/>
          <w:bCs/>
          <w:sz w:val="32"/>
          <w:szCs w:val="32"/>
          <w:highlight w:val="none"/>
          <w:lang w:val="en-US" w:eastAsia="zh-CN"/>
        </w:rPr>
        <w:t>；联系人：</w:t>
      </w:r>
      <w:r>
        <w:rPr>
          <w:rFonts w:hint="eastAsia" w:ascii="仿宋_GB2312" w:hAnsi="仿宋_GB2312" w:eastAsia="仿宋_GB2312" w:cs="仿宋_GB2312"/>
          <w:color w:val="auto"/>
          <w:sz w:val="32"/>
          <w:szCs w:val="32"/>
          <w:highlight w:val="none"/>
          <w:lang w:val="en-US" w:eastAsia="zh-CN"/>
        </w:rPr>
        <w:t>林建宇</w:t>
      </w:r>
      <w:r>
        <w:rPr>
          <w:rFonts w:hint="eastAsia" w:ascii="仿宋_GB2312" w:hAnsi="宋体" w:eastAsia="仿宋_GB2312" w:cs="宋体"/>
          <w:bCs/>
          <w:sz w:val="32"/>
          <w:szCs w:val="32"/>
          <w:highlight w:val="none"/>
          <w:lang w:val="en-US" w:eastAsia="zh-CN"/>
        </w:rPr>
        <w:t>；电话：</w:t>
      </w:r>
      <w:r>
        <w:rPr>
          <w:rFonts w:hint="eastAsia" w:ascii="仿宋_GB2312" w:hAnsi="仿宋_GB2312" w:eastAsia="仿宋_GB2312" w:cs="仿宋_GB2312"/>
          <w:sz w:val="32"/>
          <w:szCs w:val="32"/>
          <w:highlight w:val="none"/>
          <w:lang w:eastAsia="zh-CN"/>
        </w:rPr>
        <w:t>0751-</w:t>
      </w:r>
      <w:r>
        <w:rPr>
          <w:rFonts w:hint="eastAsia" w:ascii="仿宋_GB2312" w:hAnsi="仿宋_GB2312" w:eastAsia="仿宋_GB2312" w:cs="仿宋_GB2312"/>
          <w:color w:val="auto"/>
          <w:sz w:val="32"/>
          <w:szCs w:val="32"/>
          <w:highlight w:val="none"/>
          <w:lang w:val="en-US" w:eastAsia="zh-CN"/>
        </w:rPr>
        <w:t>8610112</w:t>
      </w:r>
      <w:r>
        <w:rPr>
          <w:rFonts w:hint="eastAsia" w:ascii="仿宋_GB2312" w:hAnsi="宋体" w:eastAsia="仿宋_GB2312" w:cs="宋体"/>
          <w:bCs/>
          <w:sz w:val="32"/>
          <w:szCs w:val="32"/>
          <w:highlight w:val="none"/>
          <w:lang w:val="en-US" w:eastAsia="zh-CN"/>
        </w:rPr>
        <w:t>）办理征地补偿登记手续，请相互转告。未按期办理补偿登记的，其补偿内容以经确认或者公示的土地现状调查结果为准。</w:t>
      </w:r>
    </w:p>
    <w:p w14:paraId="3ABF7366">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bCs/>
          <w:sz w:val="32"/>
          <w:szCs w:val="32"/>
          <w:highlight w:val="none"/>
          <w:lang w:val="en-US" w:eastAsia="zh-CN"/>
        </w:rPr>
      </w:pPr>
      <w:r>
        <w:rPr>
          <w:rFonts w:hint="eastAsia" w:ascii="楷体_GB2312" w:hAnsi="楷体_GB2312" w:eastAsia="楷体_GB2312" w:cs="楷体_GB2312"/>
          <w:bCs/>
          <w:sz w:val="32"/>
          <w:szCs w:val="32"/>
          <w:highlight w:val="none"/>
          <w:lang w:val="en-US" w:eastAsia="zh-CN"/>
        </w:rPr>
        <w:t>（三）异议反馈渠道。</w:t>
      </w:r>
      <w:r>
        <w:rPr>
          <w:rFonts w:hint="eastAsia" w:ascii="仿宋_GB2312" w:hAnsi="宋体" w:eastAsia="仿宋_GB2312" w:cs="宋体"/>
          <w:bCs/>
          <w:sz w:val="32"/>
          <w:szCs w:val="32"/>
          <w:highlight w:val="none"/>
          <w:lang w:val="en-US" w:eastAsia="zh-CN"/>
        </w:rPr>
        <w:t>对本征地补偿安置方案有异议的，请于2025年8月15日至2025年8月19日内持土地权属证明材料等向</w:t>
      </w:r>
      <w:r>
        <w:rPr>
          <w:rFonts w:hint="eastAsia" w:ascii="仿宋_GB2312" w:hAnsi="宋体" w:eastAsia="仿宋_GB2312" w:cs="宋体"/>
          <w:bCs/>
          <w:color w:val="auto"/>
          <w:sz w:val="32"/>
          <w:szCs w:val="32"/>
          <w:highlight w:val="none"/>
          <w:lang w:val="en-US" w:eastAsia="zh-CN"/>
        </w:rPr>
        <w:t>韶关市武江</w:t>
      </w:r>
      <w:r>
        <w:rPr>
          <w:rFonts w:hint="default" w:ascii="仿宋_GB2312" w:hAnsi="宋体" w:eastAsia="仿宋_GB2312" w:cs="宋体"/>
          <w:bCs/>
          <w:snapToGrid/>
          <w:color w:val="auto"/>
          <w:kern w:val="2"/>
          <w:sz w:val="32"/>
          <w:szCs w:val="32"/>
          <w:highlight w:val="none"/>
          <w:lang w:val="en-US" w:eastAsia="zh-CN" w:bidi="ar-SA"/>
        </w:rPr>
        <w:t>区</w:t>
      </w:r>
      <w:r>
        <w:rPr>
          <w:rFonts w:hint="eastAsia" w:ascii="仿宋_GB2312" w:hAnsi="仿宋_GB2312" w:eastAsia="仿宋_GB2312" w:cs="仿宋_GB2312"/>
          <w:kern w:val="2"/>
          <w:sz w:val="32"/>
          <w:szCs w:val="30"/>
          <w:highlight w:val="none"/>
          <w:lang w:val="en-US" w:eastAsia="zh-CN" w:bidi="ar-SA"/>
        </w:rPr>
        <w:t>自然资源局</w:t>
      </w:r>
      <w:r>
        <w:rPr>
          <w:rFonts w:hint="eastAsia" w:ascii="仿宋_GB2312" w:hAnsi="宋体" w:eastAsia="仿宋_GB2312" w:cs="宋体"/>
          <w:bCs/>
          <w:sz w:val="32"/>
          <w:szCs w:val="32"/>
          <w:highlight w:val="none"/>
          <w:lang w:val="en-US" w:eastAsia="zh-CN"/>
        </w:rPr>
        <w:t>提交书面意见。异议提交地址为：</w:t>
      </w:r>
      <w:r>
        <w:rPr>
          <w:rFonts w:hint="eastAsia" w:ascii="仿宋_GB2312" w:hAnsi="仿宋_GB2312" w:eastAsia="仿宋_GB2312" w:cs="仿宋_GB2312"/>
          <w:kern w:val="2"/>
          <w:sz w:val="32"/>
          <w:szCs w:val="30"/>
          <w:highlight w:val="none"/>
          <w:lang w:val="en-US" w:eastAsia="zh-CN" w:bidi="ar-SA"/>
        </w:rPr>
        <w:t>韶关市武江区惠民南路42幢（联系人：李健，电话：0751-8776597；</w:t>
      </w:r>
      <w:r>
        <w:rPr>
          <w:rFonts w:hint="eastAsia" w:ascii="仿宋_GB2312" w:hAnsi="仿宋_GB2312" w:eastAsia="仿宋_GB2312" w:cs="仿宋_GB2312"/>
          <w:kern w:val="2"/>
          <w:sz w:val="32"/>
          <w:szCs w:val="30"/>
          <w:highlight w:val="none"/>
          <w:lang w:val="en-US" w:eastAsia="zh-CN" w:bidi="ar-SA"/>
        </w:rPr>
        <w:t>邮编：</w:t>
      </w:r>
      <w:r>
        <w:rPr>
          <w:rFonts w:hint="eastAsia" w:ascii="仿宋_GB2312" w:hAnsi="宋体" w:eastAsia="仿宋_GB2312" w:cs="宋体"/>
          <w:bCs/>
          <w:sz w:val="32"/>
          <w:szCs w:val="32"/>
          <w:highlight w:val="none"/>
          <w:lang w:val="en-US" w:eastAsia="zh-CN"/>
        </w:rPr>
        <w:t>512000</w:t>
      </w:r>
      <w:r>
        <w:rPr>
          <w:rFonts w:hint="eastAsia" w:ascii="仿宋_GB2312" w:hAnsi="仿宋_GB2312" w:eastAsia="仿宋_GB2312" w:cs="仿宋_GB2312"/>
          <w:kern w:val="2"/>
          <w:sz w:val="32"/>
          <w:szCs w:val="30"/>
          <w:highlight w:val="none"/>
          <w:lang w:val="en-US" w:eastAsia="zh-CN" w:bidi="ar-SA"/>
        </w:rPr>
        <w:t>）</w:t>
      </w:r>
      <w:r>
        <w:rPr>
          <w:rFonts w:hint="eastAsia" w:ascii="仿宋_GB2312" w:hAnsi="宋体" w:eastAsia="仿宋_GB2312" w:cs="宋体"/>
          <w:bCs/>
          <w:sz w:val="32"/>
          <w:szCs w:val="32"/>
          <w:highlight w:val="none"/>
          <w:lang w:val="en-US" w:eastAsia="zh-CN"/>
        </w:rPr>
        <w:t>。在规定时间内未提交书面意见的，视为无异议。我区将在收取意见后，对符合《土地管理法》《土地管理法实施条例》《广东省土地管理条例》规定条件的，依法依规组织听证。</w:t>
      </w:r>
    </w:p>
    <w:p w14:paraId="34A6E2B9">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spacing w:val="-3"/>
          <w:highlight w:val="none"/>
        </w:rPr>
      </w:pPr>
      <w:r>
        <w:rPr>
          <w:rFonts w:hint="eastAsia" w:ascii="仿宋_GB2312" w:hAnsi="宋体" w:eastAsia="仿宋_GB2312" w:cs="宋体"/>
          <w:bCs/>
          <w:sz w:val="32"/>
          <w:szCs w:val="32"/>
          <w:highlight w:val="none"/>
          <w:lang w:val="en-US" w:eastAsia="zh-CN"/>
        </w:rPr>
        <w:t>特此公告</w:t>
      </w:r>
      <w:r>
        <w:rPr>
          <w:spacing w:val="-3"/>
          <w:highlight w:val="none"/>
        </w:rPr>
        <w:t>。</w:t>
      </w:r>
    </w:p>
    <w:p w14:paraId="32A6FEA9">
      <w:pPr>
        <w:pStyle w:val="5"/>
        <w:keepNext w:val="0"/>
        <w:keepLines w:val="0"/>
        <w:pageBreakBefore w:val="0"/>
        <w:widowControl w:val="0"/>
        <w:kinsoku/>
        <w:wordWrap/>
        <w:overflowPunct/>
        <w:topLinePunct w:val="0"/>
        <w:autoSpaceDE/>
        <w:autoSpaceDN/>
        <w:bidi w:val="0"/>
        <w:adjustRightInd/>
        <w:snapToGrid/>
        <w:spacing w:line="560" w:lineRule="exact"/>
        <w:jc w:val="both"/>
        <w:textAlignment w:val="auto"/>
        <w:rPr>
          <w:spacing w:val="-3"/>
          <w:highlight w:val="none"/>
        </w:rPr>
      </w:pPr>
    </w:p>
    <w:p w14:paraId="0CB4B59A">
      <w:pPr>
        <w:pStyle w:val="5"/>
        <w:keepNext w:val="0"/>
        <w:keepLines w:val="0"/>
        <w:pageBreakBefore w:val="0"/>
        <w:widowControl w:val="0"/>
        <w:kinsoku/>
        <w:wordWrap/>
        <w:overflowPunct/>
        <w:topLinePunct w:val="0"/>
        <w:autoSpaceDE/>
        <w:autoSpaceDN/>
        <w:bidi w:val="0"/>
        <w:adjustRightInd/>
        <w:snapToGrid/>
        <w:spacing w:line="560" w:lineRule="exact"/>
        <w:ind w:left="1476" w:leftChars="304" w:hanging="838" w:hangingChars="262"/>
        <w:jc w:val="both"/>
        <w:textAlignment w:val="auto"/>
        <w:rPr>
          <w:rFonts w:hint="eastAsia" w:ascii="仿宋_GB2312" w:hAnsi="仿宋_GB2312" w:eastAsia="仿宋_GB2312" w:cs="仿宋_GB2312"/>
          <w:kern w:val="2"/>
          <w:sz w:val="32"/>
          <w:szCs w:val="30"/>
          <w:highlight w:val="none"/>
          <w:lang w:val="en-US" w:eastAsia="zh-CN" w:bidi="ar-SA"/>
        </w:rPr>
      </w:pPr>
      <w:r>
        <w:rPr>
          <w:rFonts w:hint="eastAsia" w:ascii="仿宋_GB2312" w:hAnsi="仿宋_GB2312" w:eastAsia="仿宋_GB2312" w:cs="仿宋_GB2312"/>
          <w:kern w:val="2"/>
          <w:sz w:val="32"/>
          <w:szCs w:val="30"/>
          <w:highlight w:val="none"/>
          <w:lang w:val="en-US" w:eastAsia="zh-CN" w:bidi="ar-SA"/>
        </w:rPr>
        <w:t>附件：1.韶关市武江区2024年度第六批次城镇建设用地项目征收土地补偿安置方案</w:t>
      </w:r>
    </w:p>
    <w:p w14:paraId="2A51BE19">
      <w:pPr>
        <w:pStyle w:val="5"/>
        <w:keepNext w:val="0"/>
        <w:keepLines w:val="0"/>
        <w:pageBreakBefore w:val="0"/>
        <w:widowControl w:val="0"/>
        <w:kinsoku/>
        <w:wordWrap/>
        <w:overflowPunct/>
        <w:topLinePunct w:val="0"/>
        <w:autoSpaceDE/>
        <w:autoSpaceDN/>
        <w:bidi w:val="0"/>
        <w:adjustRightInd/>
        <w:snapToGrid/>
        <w:spacing w:line="560" w:lineRule="exact"/>
        <w:ind w:left="1478" w:leftChars="704" w:firstLine="118" w:firstLineChars="37"/>
        <w:jc w:val="both"/>
        <w:textAlignment w:val="auto"/>
        <w:rPr>
          <w:rFonts w:hint="eastAsia" w:ascii="仿宋_GB2312" w:hAnsi="仿宋_GB2312" w:eastAsia="仿宋_GB2312" w:cs="仿宋_GB2312"/>
          <w:kern w:val="2"/>
          <w:sz w:val="32"/>
          <w:szCs w:val="30"/>
          <w:highlight w:val="none"/>
          <w:lang w:val="en-US" w:eastAsia="zh-CN" w:bidi="ar-SA"/>
        </w:rPr>
      </w:pPr>
      <w:r>
        <w:rPr>
          <w:rFonts w:hint="eastAsia" w:ascii="仿宋_GB2312" w:hAnsi="仿宋_GB2312" w:eastAsia="仿宋_GB2312" w:cs="仿宋_GB2312"/>
          <w:kern w:val="2"/>
          <w:sz w:val="32"/>
          <w:szCs w:val="30"/>
          <w:highlight w:val="none"/>
          <w:lang w:val="en-US" w:eastAsia="zh-CN" w:bidi="ar-SA"/>
        </w:rPr>
        <w:t>2.关于韶关市武江区2024年度第六批次城镇建设用地项目被征地农民养老保障方案</w:t>
      </w:r>
    </w:p>
    <w:p w14:paraId="1729C8CA">
      <w:pPr>
        <w:pStyle w:val="5"/>
        <w:keepNext w:val="0"/>
        <w:keepLines w:val="0"/>
        <w:pageBreakBefore w:val="0"/>
        <w:widowControl w:val="0"/>
        <w:kinsoku/>
        <w:wordWrap/>
        <w:overflowPunct/>
        <w:topLinePunct w:val="0"/>
        <w:autoSpaceDE/>
        <w:autoSpaceDN/>
        <w:bidi w:val="0"/>
        <w:adjustRightInd/>
        <w:snapToGrid/>
        <w:spacing w:line="560" w:lineRule="exact"/>
        <w:ind w:left="1478" w:leftChars="704" w:firstLine="118" w:firstLineChars="37"/>
        <w:jc w:val="both"/>
        <w:textAlignment w:val="auto"/>
        <w:rPr>
          <w:rFonts w:hint="default" w:ascii="仿宋_GB2312" w:hAnsi="仿宋_GB2312" w:eastAsia="仿宋_GB2312" w:cs="仿宋_GB2312"/>
          <w:kern w:val="2"/>
          <w:sz w:val="32"/>
          <w:szCs w:val="30"/>
          <w:highlight w:val="none"/>
          <w:lang w:val="en-US" w:eastAsia="zh-CN" w:bidi="ar-SA"/>
        </w:rPr>
      </w:pPr>
      <w:r>
        <w:rPr>
          <w:rFonts w:hint="eastAsia" w:ascii="仿宋_GB2312" w:hAnsi="仿宋_GB2312" w:eastAsia="仿宋_GB2312" w:cs="仿宋_GB2312"/>
          <w:kern w:val="2"/>
          <w:sz w:val="32"/>
          <w:szCs w:val="30"/>
          <w:highlight w:val="none"/>
          <w:lang w:val="en-US" w:eastAsia="zh-CN" w:bidi="ar-SA"/>
        </w:rPr>
        <w:t>3.韶关市武江区2024年度第六批次城镇建设用地项目征收集体土地示意图</w:t>
      </w:r>
    </w:p>
    <w:p w14:paraId="31752E60">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kern w:val="2"/>
          <w:sz w:val="32"/>
          <w:szCs w:val="30"/>
          <w:highlight w:val="none"/>
          <w:lang w:val="en-US" w:eastAsia="zh-CN" w:bidi="ar-SA"/>
        </w:rPr>
      </w:pPr>
    </w:p>
    <w:p w14:paraId="5468795F">
      <w:pPr>
        <w:pStyle w:val="5"/>
        <w:keepNext w:val="0"/>
        <w:keepLines w:val="0"/>
        <w:pageBreakBefore w:val="0"/>
        <w:widowControl w:val="0"/>
        <w:kinsoku/>
        <w:wordWrap/>
        <w:overflowPunct/>
        <w:topLinePunct w:val="0"/>
        <w:autoSpaceDE/>
        <w:autoSpaceDN/>
        <w:bidi w:val="0"/>
        <w:adjustRightInd/>
        <w:snapToGrid/>
        <w:spacing w:line="560" w:lineRule="exact"/>
        <w:ind w:left="0" w:firstLine="5440" w:firstLineChars="1700"/>
        <w:jc w:val="left"/>
        <w:textAlignment w:val="auto"/>
        <w:rPr>
          <w:rFonts w:hint="eastAsia" w:ascii="仿宋_GB2312" w:hAnsi="仿宋_GB2312" w:eastAsia="仿宋_GB2312" w:cs="仿宋_GB2312"/>
          <w:kern w:val="2"/>
          <w:sz w:val="32"/>
          <w:szCs w:val="30"/>
          <w:highlight w:val="none"/>
          <w:lang w:val="en-US" w:eastAsia="zh-CN" w:bidi="ar-SA"/>
        </w:rPr>
      </w:pPr>
    </w:p>
    <w:p w14:paraId="7BF751FC">
      <w:pPr>
        <w:pStyle w:val="5"/>
        <w:keepNext w:val="0"/>
        <w:keepLines w:val="0"/>
        <w:pageBreakBefore w:val="0"/>
        <w:widowControl w:val="0"/>
        <w:kinsoku/>
        <w:wordWrap/>
        <w:overflowPunct/>
        <w:topLinePunct w:val="0"/>
        <w:autoSpaceDE/>
        <w:autoSpaceDN/>
        <w:bidi w:val="0"/>
        <w:adjustRightInd/>
        <w:snapToGrid/>
        <w:spacing w:line="560" w:lineRule="exact"/>
        <w:ind w:left="0" w:firstLine="5440" w:firstLineChars="1700"/>
        <w:jc w:val="left"/>
        <w:textAlignment w:val="auto"/>
        <w:rPr>
          <w:rFonts w:hint="eastAsia" w:ascii="仿宋_GB2312" w:hAnsi="仿宋_GB2312" w:eastAsia="仿宋_GB2312" w:cs="仿宋_GB2312"/>
          <w:kern w:val="2"/>
          <w:sz w:val="32"/>
          <w:szCs w:val="30"/>
          <w:highlight w:val="none"/>
          <w:lang w:val="en-US" w:eastAsia="zh-CN" w:bidi="ar-SA"/>
        </w:rPr>
      </w:pPr>
    </w:p>
    <w:p w14:paraId="4CA8F049">
      <w:pPr>
        <w:pStyle w:val="5"/>
        <w:keepNext w:val="0"/>
        <w:keepLines w:val="0"/>
        <w:pageBreakBefore w:val="0"/>
        <w:widowControl w:val="0"/>
        <w:kinsoku/>
        <w:wordWrap/>
        <w:overflowPunct/>
        <w:topLinePunct w:val="0"/>
        <w:autoSpaceDE/>
        <w:autoSpaceDN/>
        <w:bidi w:val="0"/>
        <w:adjustRightInd/>
        <w:snapToGrid/>
        <w:spacing w:line="560" w:lineRule="exact"/>
        <w:ind w:left="0" w:firstLine="5440" w:firstLineChars="1700"/>
        <w:jc w:val="left"/>
        <w:textAlignment w:val="auto"/>
        <w:rPr>
          <w:rFonts w:hint="eastAsia" w:ascii="仿宋_GB2312" w:hAnsi="仿宋_GB2312" w:eastAsia="仿宋_GB2312" w:cs="仿宋_GB2312"/>
          <w:kern w:val="2"/>
          <w:sz w:val="32"/>
          <w:szCs w:val="30"/>
          <w:highlight w:val="none"/>
          <w:lang w:val="en-US" w:eastAsia="zh-CN" w:bidi="ar-SA"/>
        </w:rPr>
      </w:pPr>
      <w:r>
        <w:rPr>
          <w:rFonts w:hint="eastAsia" w:ascii="仿宋_GB2312" w:hAnsi="仿宋_GB2312" w:eastAsia="仿宋_GB2312" w:cs="仿宋_GB2312"/>
          <w:kern w:val="2"/>
          <w:sz w:val="32"/>
          <w:szCs w:val="30"/>
          <w:highlight w:val="none"/>
          <w:lang w:val="en-US" w:eastAsia="zh-CN" w:bidi="ar-SA"/>
        </w:rPr>
        <w:t>韶关市武江区人民政府</w:t>
      </w:r>
    </w:p>
    <w:p w14:paraId="3B3F1B88">
      <w:pPr>
        <w:pStyle w:val="5"/>
        <w:keepNext w:val="0"/>
        <w:keepLines w:val="0"/>
        <w:pageBreakBefore w:val="0"/>
        <w:widowControl w:val="0"/>
        <w:kinsoku/>
        <w:wordWrap/>
        <w:overflowPunct/>
        <w:topLinePunct w:val="0"/>
        <w:autoSpaceDE/>
        <w:autoSpaceDN/>
        <w:bidi w:val="0"/>
        <w:adjustRightInd/>
        <w:snapToGrid/>
        <w:spacing w:line="560" w:lineRule="exact"/>
        <w:ind w:left="0" w:firstLine="5920" w:firstLineChars="1850"/>
        <w:jc w:val="left"/>
        <w:textAlignment w:val="auto"/>
        <w:rPr>
          <w:rFonts w:hint="eastAsia" w:ascii="仿宋_GB2312" w:hAnsi="仿宋_GB2312" w:eastAsia="仿宋_GB2312" w:cs="仿宋_GB2312"/>
          <w:kern w:val="2"/>
          <w:sz w:val="32"/>
          <w:szCs w:val="30"/>
          <w:highlight w:val="none"/>
          <w:lang w:val="en-US" w:eastAsia="zh-CN" w:bidi="ar-SA"/>
        </w:rPr>
        <w:sectPr>
          <w:footerReference r:id="rId3" w:type="default"/>
          <w:pgSz w:w="11906" w:h="16838"/>
          <w:pgMar w:top="2098" w:right="1474" w:bottom="1984" w:left="1587" w:header="851" w:footer="992" w:gutter="0"/>
          <w:cols w:space="720" w:num="1"/>
          <w:docGrid w:type="lines" w:linePitch="312" w:charSpace="0"/>
        </w:sectPr>
      </w:pPr>
      <w:r>
        <w:rPr>
          <w:rFonts w:hint="eastAsia" w:ascii="仿宋_GB2312" w:hAnsi="仿宋_GB2312" w:eastAsia="仿宋_GB2312" w:cs="仿宋_GB2312"/>
          <w:kern w:val="2"/>
          <w:sz w:val="32"/>
          <w:szCs w:val="30"/>
          <w:highlight w:val="none"/>
          <w:lang w:val="en-US" w:eastAsia="zh-CN" w:bidi="ar-SA"/>
        </w:rPr>
        <w:t>2025年7月30日</w:t>
      </w:r>
    </w:p>
    <w:bookmarkEnd w:id="1"/>
    <w:p w14:paraId="0373DA09">
      <w:pPr>
        <w:spacing w:line="560" w:lineRule="exact"/>
        <w:rPr>
          <w:rFonts w:ascii="仿宋_GB2312" w:eastAsia="仿宋_GB2312"/>
          <w:sz w:val="32"/>
          <w:szCs w:val="32"/>
        </w:rPr>
      </w:pPr>
      <w:r>
        <w:rPr>
          <w:rFonts w:hint="eastAsia" w:ascii="仿宋_GB2312" w:eastAsia="仿宋_GB2312"/>
          <w:sz w:val="32"/>
          <w:szCs w:val="32"/>
        </w:rPr>
        <w:t>附件1：</w:t>
      </w:r>
    </w:p>
    <w:p w14:paraId="0E803B4D">
      <w:pPr>
        <w:widowControl/>
        <w:spacing w:line="560" w:lineRule="exact"/>
        <w:rPr>
          <w:rFonts w:hint="eastAsia" w:ascii="方正小标宋简体" w:hAnsi="方正小标宋简体" w:eastAsia="方正小标宋简体" w:cs="方正小标宋简体"/>
          <w:bCs/>
          <w:sz w:val="44"/>
          <w:szCs w:val="44"/>
        </w:rPr>
      </w:pPr>
    </w:p>
    <w:p w14:paraId="6D516B46">
      <w:pPr>
        <w:widowControl/>
        <w:spacing w:line="60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韶关市</w:t>
      </w:r>
      <w:r>
        <w:rPr>
          <w:rFonts w:hint="eastAsia" w:ascii="方正小标宋简体" w:hAnsi="方正小标宋简体" w:eastAsia="方正小标宋简体" w:cs="方正小标宋简体"/>
          <w:bCs/>
          <w:sz w:val="44"/>
          <w:szCs w:val="44"/>
          <w:lang w:eastAsia="zh-CN"/>
        </w:rPr>
        <w:t>武江区2024年度第六批次</w:t>
      </w:r>
      <w:r>
        <w:rPr>
          <w:rFonts w:hint="eastAsia" w:ascii="方正小标宋简体" w:hAnsi="方正小标宋简体" w:eastAsia="方正小标宋简体" w:cs="方正小标宋简体"/>
          <w:bCs/>
          <w:sz w:val="44"/>
          <w:szCs w:val="44"/>
        </w:rPr>
        <w:t>城镇</w:t>
      </w:r>
    </w:p>
    <w:p w14:paraId="21B2CCDF">
      <w:pPr>
        <w:widowControl/>
        <w:spacing w:line="60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建设用地项目征收土地补偿安置方案</w:t>
      </w:r>
    </w:p>
    <w:p w14:paraId="636A4400">
      <w:pPr>
        <w:widowControl/>
        <w:spacing w:line="560" w:lineRule="exact"/>
        <w:jc w:val="center"/>
        <w:rPr>
          <w:rFonts w:eastAsia="方正仿宋_GB2312"/>
          <w:b/>
          <w:sz w:val="32"/>
          <w:szCs w:val="32"/>
        </w:rPr>
      </w:pPr>
    </w:p>
    <w:p w14:paraId="7EBFAEA7">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为实施韶关市武江区</w:t>
      </w:r>
      <w:r>
        <w:rPr>
          <w:rFonts w:hint="eastAsia" w:ascii="仿宋_GB2312" w:hAnsi="宋体" w:eastAsia="仿宋_GB2312" w:cs="宋体"/>
          <w:bCs/>
          <w:sz w:val="32"/>
          <w:szCs w:val="32"/>
        </w:rPr>
        <w:t>城镇</w:t>
      </w:r>
      <w:r>
        <w:rPr>
          <w:rFonts w:ascii="仿宋_GB2312" w:hAnsi="仿宋_GB2312" w:eastAsia="仿宋_GB2312" w:cs="仿宋_GB2312"/>
          <w:sz w:val="32"/>
          <w:szCs w:val="32"/>
        </w:rPr>
        <w:t>建设规划，</w:t>
      </w:r>
      <w:r>
        <w:rPr>
          <w:rFonts w:hint="eastAsia" w:ascii="仿宋_GB2312" w:hAnsi="仿宋_GB2312" w:eastAsia="仿宋_GB2312" w:cs="仿宋_GB2312"/>
          <w:sz w:val="32"/>
          <w:szCs w:val="32"/>
        </w:rPr>
        <w:t>进一步</w:t>
      </w:r>
      <w:r>
        <w:rPr>
          <w:rFonts w:ascii="仿宋_GB2312" w:hAnsi="仿宋_GB2312" w:eastAsia="仿宋_GB2312" w:cs="仿宋_GB2312"/>
          <w:sz w:val="32"/>
          <w:szCs w:val="32"/>
        </w:rPr>
        <w:t>完善城市功能，改善城市环境，促进经济</w:t>
      </w:r>
      <w:r>
        <w:rPr>
          <w:rFonts w:hint="eastAsia" w:ascii="仿宋_GB2312" w:hAnsi="仿宋_GB2312" w:eastAsia="仿宋_GB2312" w:cs="仿宋_GB2312"/>
          <w:sz w:val="32"/>
          <w:szCs w:val="32"/>
        </w:rPr>
        <w:t>社会</w:t>
      </w:r>
      <w:r>
        <w:rPr>
          <w:rFonts w:ascii="仿宋_GB2312" w:hAnsi="仿宋_GB2312" w:eastAsia="仿宋_GB2312" w:cs="仿宋_GB2312"/>
          <w:sz w:val="32"/>
          <w:szCs w:val="32"/>
        </w:rPr>
        <w:t>发</w:t>
      </w:r>
      <w:r>
        <w:rPr>
          <w:rFonts w:ascii="仿宋_GB2312" w:hAnsi="仿宋_GB2312" w:eastAsia="仿宋_GB2312" w:cs="仿宋_GB2312"/>
          <w:sz w:val="32"/>
          <w:szCs w:val="32"/>
          <w:highlight w:val="none"/>
        </w:rPr>
        <w:t>展，我</w:t>
      </w:r>
      <w:r>
        <w:rPr>
          <w:rFonts w:hint="eastAsia" w:ascii="仿宋_GB2312" w:hAnsi="仿宋_GB2312" w:eastAsia="仿宋_GB2312" w:cs="仿宋_GB2312"/>
          <w:sz w:val="32"/>
          <w:szCs w:val="32"/>
          <w:highlight w:val="none"/>
          <w:lang w:val="en-US" w:eastAsia="zh-CN"/>
        </w:rPr>
        <w:t>区</w:t>
      </w:r>
      <w:r>
        <w:rPr>
          <w:rFonts w:ascii="仿宋_GB2312" w:hAnsi="仿宋_GB2312" w:eastAsia="仿宋_GB2312" w:cs="仿宋_GB2312"/>
          <w:sz w:val="32"/>
          <w:szCs w:val="32"/>
          <w:highlight w:val="none"/>
        </w:rPr>
        <w:t>拟征收</w:t>
      </w:r>
      <w:r>
        <w:rPr>
          <w:rFonts w:hint="eastAsia" w:ascii="仿宋_GB2312" w:hAnsi="宋体" w:eastAsia="仿宋_GB2312" w:cs="宋体"/>
          <w:bCs/>
          <w:sz w:val="32"/>
          <w:szCs w:val="32"/>
          <w:lang w:val="en-US" w:eastAsia="zh-CN"/>
        </w:rPr>
        <w:t>韶关市武江区龙归镇冲下村第七经济合作社，</w:t>
      </w:r>
      <w:r>
        <w:rPr>
          <w:rFonts w:hint="eastAsia" w:ascii="仿宋_GB2312" w:hAnsi="仿宋_GB2312" w:eastAsia="仿宋_GB2312" w:cs="仿宋_GB2312"/>
          <w:color w:val="000000"/>
          <w:sz w:val="32"/>
          <w:szCs w:val="32"/>
          <w:lang w:eastAsia="zh-CN"/>
        </w:rPr>
        <w:t>韶关市武江区龙归镇冲下村第三经济合作社、韶关市武江区龙归镇冲下村第二经济合作社共有，</w:t>
      </w:r>
      <w:r>
        <w:rPr>
          <w:rFonts w:hint="eastAsia" w:ascii="仿宋_GB2312" w:hAnsi="宋体" w:eastAsia="仿宋_GB2312" w:cs="宋体"/>
          <w:bCs/>
          <w:sz w:val="32"/>
          <w:szCs w:val="32"/>
          <w:lang w:val="en-US" w:eastAsia="zh-CN"/>
        </w:rPr>
        <w:t>韶关市武江区龙归镇冲下村第十三经济合作社</w:t>
      </w:r>
      <w:r>
        <w:rPr>
          <w:rFonts w:hint="eastAsia" w:ascii="仿宋_GB2312" w:hAnsi="仿宋_GB2312" w:eastAsia="仿宋_GB2312" w:cs="仿宋_GB2312"/>
          <w:sz w:val="32"/>
          <w:szCs w:val="32"/>
        </w:rPr>
        <w:t>属下的集体土地</w:t>
      </w:r>
      <w:r>
        <w:rPr>
          <w:rFonts w:hint="eastAsia" w:ascii="仿宋_GB2312" w:hAnsi="宋体" w:eastAsia="仿宋_GB2312" w:cs="宋体"/>
          <w:bCs/>
          <w:sz w:val="32"/>
          <w:szCs w:val="32"/>
          <w:highlight w:val="none"/>
          <w:lang w:val="en-US" w:eastAsia="zh-CN"/>
        </w:rPr>
        <w:t>1.1597</w:t>
      </w:r>
      <w:r>
        <w:rPr>
          <w:rFonts w:hint="eastAsia" w:ascii="仿宋_GB2312" w:hAnsi="仿宋_GB2312" w:eastAsia="仿宋_GB2312" w:cs="仿宋_GB2312"/>
          <w:sz w:val="32"/>
          <w:szCs w:val="32"/>
        </w:rPr>
        <w:t>公顷</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根据</w:t>
      </w:r>
      <w:r>
        <w:rPr>
          <w:rFonts w:ascii="仿宋_GB2312" w:hAnsi="仿宋_GB2312" w:eastAsia="仿宋_GB2312" w:cs="仿宋_GB2312"/>
          <w:sz w:val="32"/>
          <w:szCs w:val="32"/>
        </w:rPr>
        <w:t>《中华人民共和国土地管理法》第二条、第四十五条、第四十七条</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以及《</w:t>
      </w:r>
      <w:r>
        <w:rPr>
          <w:rFonts w:hint="eastAsia" w:ascii="仿宋_GB2312" w:hAnsi="仿宋_GB2312" w:eastAsia="仿宋_GB2312" w:cs="仿宋_GB2312"/>
          <w:sz w:val="32"/>
          <w:szCs w:val="32"/>
        </w:rPr>
        <w:t>广东省土地管理条例</w:t>
      </w:r>
      <w:r>
        <w:rPr>
          <w:rFonts w:ascii="仿宋_GB2312" w:hAnsi="仿宋_GB2312" w:eastAsia="仿宋_GB2312" w:cs="仿宋_GB2312"/>
          <w:sz w:val="32"/>
          <w:szCs w:val="32"/>
        </w:rPr>
        <w:t>》等有关规定精神，结合我</w:t>
      </w:r>
      <w:r>
        <w:rPr>
          <w:rFonts w:hint="eastAsia" w:ascii="仿宋_GB2312" w:hAnsi="仿宋_GB2312" w:eastAsia="仿宋_GB2312" w:cs="仿宋_GB2312"/>
          <w:sz w:val="32"/>
          <w:szCs w:val="32"/>
          <w:lang w:val="en-US" w:eastAsia="zh-CN"/>
        </w:rPr>
        <w:t>区</w:t>
      </w:r>
      <w:r>
        <w:rPr>
          <w:rFonts w:ascii="仿宋_GB2312" w:hAnsi="仿宋_GB2312" w:eastAsia="仿宋_GB2312" w:cs="仿宋_GB2312"/>
          <w:sz w:val="32"/>
          <w:szCs w:val="32"/>
        </w:rPr>
        <w:t>实际情况，</w:t>
      </w:r>
      <w:r>
        <w:rPr>
          <w:rFonts w:hint="eastAsia" w:ascii="仿宋_GB2312" w:hAnsi="仿宋_GB2312" w:eastAsia="仿宋_GB2312" w:cs="仿宋_GB2312"/>
          <w:sz w:val="32"/>
          <w:szCs w:val="32"/>
        </w:rPr>
        <w:t>制定本</w:t>
      </w:r>
      <w:r>
        <w:rPr>
          <w:rFonts w:ascii="仿宋_GB2312" w:hAnsi="仿宋_GB2312" w:eastAsia="仿宋_GB2312" w:cs="仿宋_GB2312"/>
          <w:sz w:val="32"/>
          <w:szCs w:val="32"/>
        </w:rPr>
        <w:t>征地补偿安置方案，具体如下：</w:t>
      </w:r>
    </w:p>
    <w:p w14:paraId="1A9C4A2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一、征收集体土地情况</w:t>
      </w:r>
    </w:p>
    <w:p w14:paraId="29AE2DE5">
      <w:pPr>
        <w:tabs>
          <w:tab w:val="left" w:pos="3990"/>
        </w:tabs>
        <w:spacing w:line="560" w:lineRule="exact"/>
        <w:ind w:firstLine="640" w:firstLineChars="200"/>
        <w:rPr>
          <w:rFonts w:ascii="仿宋_GB2312" w:hAnsi="宋体" w:eastAsia="仿宋_GB2312" w:cs="宋体"/>
          <w:bCs/>
          <w:sz w:val="32"/>
          <w:szCs w:val="32"/>
        </w:rPr>
      </w:pPr>
      <w:r>
        <w:rPr>
          <w:rFonts w:ascii="仿宋_GB2312" w:hAnsi="宋体" w:eastAsia="仿宋_GB2312" w:cs="宋体"/>
          <w:bCs/>
          <w:sz w:val="32"/>
          <w:szCs w:val="32"/>
          <w:lang w:val="zh-CN"/>
        </w:rPr>
        <w:t>（</w:t>
      </w:r>
      <w:r>
        <w:rPr>
          <w:rFonts w:ascii="仿宋_GB2312" w:hAnsi="宋体" w:eastAsia="仿宋_GB2312" w:cs="宋体"/>
          <w:bCs/>
          <w:sz w:val="32"/>
          <w:szCs w:val="32"/>
        </w:rPr>
        <w:t>一</w:t>
      </w:r>
      <w:r>
        <w:rPr>
          <w:rFonts w:ascii="仿宋_GB2312" w:hAnsi="宋体" w:eastAsia="仿宋_GB2312" w:cs="宋体"/>
          <w:bCs/>
          <w:sz w:val="32"/>
          <w:szCs w:val="32"/>
          <w:lang w:val="zh-CN"/>
        </w:rPr>
        <w:t>）</w:t>
      </w:r>
      <w:r>
        <w:rPr>
          <w:rFonts w:ascii="仿宋_GB2312" w:hAnsi="宋体" w:eastAsia="仿宋_GB2312" w:cs="宋体"/>
          <w:bCs/>
          <w:sz w:val="32"/>
          <w:szCs w:val="32"/>
        </w:rPr>
        <w:t>拟征收</w:t>
      </w:r>
      <w:r>
        <w:rPr>
          <w:rFonts w:hint="eastAsia" w:ascii="仿宋_GB2312" w:hAnsi="宋体" w:eastAsia="仿宋_GB2312" w:cs="宋体"/>
          <w:bCs/>
          <w:sz w:val="32"/>
          <w:szCs w:val="32"/>
          <w:lang w:val="en-US" w:eastAsia="zh-CN"/>
        </w:rPr>
        <w:t>韶关市武江区龙归镇冲下村第七经济合作社，</w:t>
      </w:r>
      <w:r>
        <w:rPr>
          <w:rFonts w:hint="eastAsia" w:ascii="仿宋_GB2312" w:hAnsi="仿宋_GB2312" w:eastAsia="仿宋_GB2312" w:cs="仿宋_GB2312"/>
          <w:color w:val="000000"/>
          <w:sz w:val="32"/>
          <w:szCs w:val="32"/>
          <w:lang w:eastAsia="zh-CN"/>
        </w:rPr>
        <w:t>韶关市武江区龙归镇冲下村第三经济合作社、韶关市武江区龙归镇冲下村第二经济合作社共有，</w:t>
      </w:r>
      <w:r>
        <w:rPr>
          <w:rFonts w:hint="eastAsia" w:ascii="仿宋_GB2312" w:hAnsi="宋体" w:eastAsia="仿宋_GB2312" w:cs="宋体"/>
          <w:bCs/>
          <w:sz w:val="32"/>
          <w:szCs w:val="32"/>
          <w:lang w:val="en-US" w:eastAsia="zh-CN"/>
        </w:rPr>
        <w:t>韶关市武江区龙归镇冲下村第十三经济合作社</w:t>
      </w:r>
      <w:r>
        <w:rPr>
          <w:rFonts w:hint="eastAsia" w:ascii="仿宋_GB2312" w:hAnsi="仿宋_GB2312" w:eastAsia="仿宋_GB2312" w:cs="仿宋_GB2312"/>
          <w:sz w:val="32"/>
          <w:szCs w:val="32"/>
        </w:rPr>
        <w:t>属下的集体土地</w:t>
      </w:r>
      <w:r>
        <w:rPr>
          <w:rFonts w:ascii="仿宋_GB2312" w:hAnsi="宋体" w:eastAsia="仿宋_GB2312" w:cs="宋体"/>
          <w:bCs/>
          <w:sz w:val="32"/>
          <w:szCs w:val="32"/>
        </w:rPr>
        <w:t>总面积</w:t>
      </w:r>
      <w:r>
        <w:rPr>
          <w:rFonts w:hint="eastAsia" w:ascii="仿宋_GB2312" w:hAnsi="宋体" w:eastAsia="仿宋_GB2312" w:cs="宋体"/>
          <w:bCs/>
          <w:sz w:val="32"/>
          <w:szCs w:val="32"/>
          <w:highlight w:val="none"/>
          <w:lang w:val="en-US" w:eastAsia="zh-CN"/>
        </w:rPr>
        <w:t>1.1597</w:t>
      </w:r>
      <w:r>
        <w:rPr>
          <w:rFonts w:hint="eastAsia" w:ascii="仿宋_GB2312" w:hAnsi="仿宋_GB2312" w:eastAsia="仿宋_GB2312" w:cs="仿宋_GB2312"/>
          <w:sz w:val="32"/>
          <w:szCs w:val="32"/>
        </w:rPr>
        <w:t>公顷</w:t>
      </w:r>
      <w:r>
        <w:rPr>
          <w:rFonts w:ascii="仿宋_GB2312" w:hAnsi="宋体" w:eastAsia="仿宋_GB2312" w:cs="宋体"/>
          <w:bCs/>
          <w:sz w:val="32"/>
          <w:szCs w:val="32"/>
        </w:rPr>
        <w:t>，现状地类为</w:t>
      </w:r>
      <w:r>
        <w:rPr>
          <w:rFonts w:hint="eastAsia" w:ascii="仿宋_GB2312" w:hAnsi="宋体" w:eastAsia="仿宋_GB2312" w:cs="宋体"/>
          <w:bCs/>
          <w:sz w:val="32"/>
          <w:szCs w:val="32"/>
        </w:rPr>
        <w:t>农用地</w:t>
      </w:r>
      <w:r>
        <w:rPr>
          <w:rFonts w:hint="eastAsia" w:ascii="仿宋_GB2312" w:hAnsi="宋体" w:eastAsia="仿宋_GB2312" w:cs="宋体"/>
          <w:bCs/>
          <w:sz w:val="32"/>
          <w:szCs w:val="32"/>
          <w:highlight w:val="none"/>
          <w:lang w:val="en-US" w:eastAsia="zh-CN"/>
        </w:rPr>
        <w:t>0.8007</w:t>
      </w:r>
      <w:r>
        <w:rPr>
          <w:rFonts w:hint="eastAsia" w:ascii="仿宋_GB2312" w:hAnsi="宋体" w:eastAsia="仿宋_GB2312" w:cs="宋体"/>
          <w:bCs/>
          <w:sz w:val="32"/>
          <w:szCs w:val="32"/>
        </w:rPr>
        <w:t>公顷</w:t>
      </w:r>
      <w:r>
        <w:rPr>
          <w:rFonts w:hint="eastAsia" w:ascii="仿宋_GB2312" w:hAnsi="宋体" w:eastAsia="仿宋_GB2312" w:cs="宋体"/>
          <w:bCs/>
          <w:sz w:val="32"/>
          <w:szCs w:val="32"/>
          <w:lang w:val="en-US" w:eastAsia="zh-CN"/>
        </w:rPr>
        <w:t>[</w:t>
      </w:r>
      <w:r>
        <w:rPr>
          <w:rFonts w:hint="eastAsia" w:ascii="仿宋_GB2312" w:hAnsi="宋体" w:eastAsia="仿宋_GB2312" w:cs="宋体"/>
          <w:bCs/>
          <w:sz w:val="32"/>
          <w:szCs w:val="32"/>
        </w:rPr>
        <w:t>其中水田</w:t>
      </w:r>
      <w:r>
        <w:rPr>
          <w:rFonts w:hint="eastAsia" w:ascii="仿宋_GB2312" w:hAnsi="宋体" w:eastAsia="仿宋_GB2312" w:cs="宋体"/>
          <w:bCs/>
          <w:sz w:val="32"/>
          <w:szCs w:val="32"/>
          <w:lang w:val="en-US" w:eastAsia="zh-CN"/>
        </w:rPr>
        <w:t>0.5973</w:t>
      </w:r>
      <w:r>
        <w:rPr>
          <w:rFonts w:hint="eastAsia" w:ascii="仿宋_GB2312" w:hAnsi="宋体" w:eastAsia="仿宋_GB2312" w:cs="宋体"/>
          <w:bCs/>
          <w:sz w:val="32"/>
          <w:szCs w:val="32"/>
        </w:rPr>
        <w:t>公顷、</w:t>
      </w:r>
      <w:r>
        <w:rPr>
          <w:rFonts w:hint="eastAsia" w:ascii="仿宋_GB2312" w:hAnsi="宋体" w:eastAsia="仿宋_GB2312" w:cs="宋体"/>
          <w:bCs/>
          <w:sz w:val="32"/>
          <w:szCs w:val="32"/>
          <w:lang w:eastAsia="zh-CN"/>
        </w:rPr>
        <w:t>林地</w:t>
      </w:r>
      <w:r>
        <w:rPr>
          <w:rFonts w:hint="eastAsia" w:ascii="仿宋_GB2312" w:hAnsi="宋体" w:eastAsia="仿宋_GB2312" w:cs="宋体"/>
          <w:bCs/>
          <w:sz w:val="32"/>
          <w:szCs w:val="32"/>
          <w:lang w:val="en-US" w:eastAsia="zh-CN"/>
        </w:rPr>
        <w:t>0.1542公顷、草地0.0376公顷、</w:t>
      </w:r>
      <w:r>
        <w:rPr>
          <w:rFonts w:hint="eastAsia" w:ascii="仿宋_GB2312" w:hAnsi="宋体" w:eastAsia="仿宋_GB2312" w:cs="宋体"/>
          <w:bCs/>
          <w:sz w:val="32"/>
          <w:szCs w:val="32"/>
        </w:rPr>
        <w:t>其他农用地（不含养殖水面）</w:t>
      </w:r>
      <w:r>
        <w:rPr>
          <w:rFonts w:hint="eastAsia" w:ascii="仿宋_GB2312" w:hAnsi="宋体" w:eastAsia="仿宋_GB2312" w:cs="宋体"/>
          <w:bCs/>
          <w:sz w:val="32"/>
          <w:szCs w:val="32"/>
          <w:lang w:val="en-US" w:eastAsia="zh-CN"/>
        </w:rPr>
        <w:t>0.0116</w:t>
      </w:r>
      <w:r>
        <w:rPr>
          <w:rFonts w:hint="eastAsia" w:ascii="仿宋_GB2312" w:hAnsi="宋体" w:eastAsia="仿宋_GB2312" w:cs="宋体"/>
          <w:bCs/>
          <w:sz w:val="32"/>
          <w:szCs w:val="32"/>
        </w:rPr>
        <w:t>公顷</w:t>
      </w:r>
      <w:r>
        <w:rPr>
          <w:rFonts w:hint="eastAsia" w:ascii="仿宋_GB2312" w:hAnsi="宋体" w:eastAsia="仿宋_GB2312" w:cs="宋体"/>
          <w:bCs/>
          <w:sz w:val="32"/>
          <w:szCs w:val="32"/>
          <w:lang w:val="en-US" w:eastAsia="zh-CN"/>
        </w:rPr>
        <w:t>]</w:t>
      </w:r>
      <w:r>
        <w:rPr>
          <w:rFonts w:hint="eastAsia" w:ascii="仿宋_GB2312" w:hAnsi="宋体" w:eastAsia="仿宋_GB2312" w:cs="宋体"/>
          <w:bCs/>
          <w:sz w:val="32"/>
          <w:szCs w:val="32"/>
        </w:rPr>
        <w:t>、</w:t>
      </w:r>
      <w:r>
        <w:rPr>
          <w:rFonts w:ascii="仿宋_GB2312" w:hAnsi="宋体" w:eastAsia="仿宋_GB2312" w:cs="宋体"/>
          <w:bCs/>
          <w:sz w:val="32"/>
          <w:szCs w:val="32"/>
        </w:rPr>
        <w:t>建设用地</w:t>
      </w:r>
      <w:r>
        <w:rPr>
          <w:rFonts w:hint="eastAsia" w:ascii="仿宋_GB2312" w:hAnsi="宋体" w:eastAsia="仿宋_GB2312" w:cs="宋体"/>
          <w:bCs/>
          <w:sz w:val="32"/>
          <w:szCs w:val="32"/>
          <w:highlight w:val="none"/>
          <w:lang w:val="en-US" w:eastAsia="zh-CN"/>
        </w:rPr>
        <w:t>0.3590</w:t>
      </w:r>
      <w:r>
        <w:rPr>
          <w:rFonts w:ascii="仿宋_GB2312" w:hAnsi="宋体" w:eastAsia="仿宋_GB2312" w:cs="宋体"/>
          <w:bCs/>
          <w:sz w:val="32"/>
          <w:szCs w:val="32"/>
        </w:rPr>
        <w:t>公顷</w:t>
      </w:r>
      <w:r>
        <w:rPr>
          <w:rFonts w:hint="eastAsia" w:ascii="仿宋_GB2312" w:hAnsi="宋体" w:eastAsia="仿宋_GB2312" w:cs="宋体"/>
          <w:bCs/>
          <w:sz w:val="32"/>
          <w:szCs w:val="32"/>
          <w:lang w:val="en-US" w:eastAsia="zh-CN"/>
        </w:rPr>
        <w:t>;</w:t>
      </w:r>
      <w:r>
        <w:rPr>
          <w:rFonts w:ascii="仿宋_GB2312" w:hAnsi="宋体" w:eastAsia="仿宋_GB2312" w:cs="宋体"/>
          <w:bCs/>
          <w:sz w:val="32"/>
          <w:szCs w:val="32"/>
        </w:rPr>
        <w:t>不占用永久基本农田。</w:t>
      </w:r>
    </w:p>
    <w:p w14:paraId="1781319D">
      <w:pPr>
        <w:spacing w:line="560" w:lineRule="exact"/>
        <w:ind w:firstLine="640" w:firstLineChars="200"/>
        <w:rPr>
          <w:rFonts w:hint="eastAsia" w:ascii="仿宋_GB2312" w:hAnsi="宋体" w:eastAsia="仿宋_GB2312" w:cs="宋体"/>
          <w:bCs/>
          <w:sz w:val="32"/>
          <w:szCs w:val="32"/>
        </w:rPr>
      </w:pPr>
      <w:r>
        <w:rPr>
          <w:rFonts w:ascii="仿宋_GB2312" w:hAnsi="宋体" w:eastAsia="仿宋_GB2312" w:cs="宋体"/>
          <w:bCs/>
          <w:sz w:val="32"/>
          <w:szCs w:val="32"/>
          <w:lang w:val="zh-CN"/>
        </w:rPr>
        <w:t>（</w:t>
      </w:r>
      <w:r>
        <w:rPr>
          <w:rFonts w:ascii="仿宋_GB2312" w:hAnsi="宋体" w:eastAsia="仿宋_GB2312" w:cs="宋体"/>
          <w:bCs/>
          <w:sz w:val="32"/>
          <w:szCs w:val="32"/>
        </w:rPr>
        <w:t>二</w:t>
      </w:r>
      <w:r>
        <w:rPr>
          <w:rFonts w:ascii="仿宋_GB2312" w:hAnsi="宋体" w:eastAsia="仿宋_GB2312" w:cs="宋体"/>
          <w:bCs/>
          <w:sz w:val="32"/>
          <w:szCs w:val="32"/>
          <w:lang w:val="zh-CN"/>
        </w:rPr>
        <w:t>）</w:t>
      </w:r>
      <w:r>
        <w:rPr>
          <w:rFonts w:ascii="仿宋_GB2312" w:hAnsi="宋体" w:eastAsia="仿宋_GB2312" w:cs="宋体"/>
          <w:bCs/>
          <w:sz w:val="32"/>
          <w:szCs w:val="32"/>
        </w:rPr>
        <w:t>根据用地报批要求，上述</w:t>
      </w:r>
      <w:r>
        <w:rPr>
          <w:rFonts w:hint="eastAsia" w:ascii="仿宋_GB2312" w:hAnsi="仿宋_GB2312" w:eastAsia="仿宋_GB2312" w:cs="仿宋_GB2312"/>
          <w:sz w:val="32"/>
          <w:szCs w:val="32"/>
          <w:lang w:val="en-US" w:eastAsia="zh-CN"/>
        </w:rPr>
        <w:t>1.1597</w:t>
      </w:r>
      <w:r>
        <w:rPr>
          <w:rFonts w:ascii="仿宋_GB2312" w:hAnsi="宋体" w:eastAsia="仿宋_GB2312" w:cs="宋体"/>
          <w:bCs/>
          <w:sz w:val="32"/>
          <w:szCs w:val="32"/>
        </w:rPr>
        <w:t>公顷的</w:t>
      </w:r>
      <w:r>
        <w:rPr>
          <w:rFonts w:hint="eastAsia" w:ascii="仿宋_GB2312" w:hAnsi="宋体" w:eastAsia="仿宋_GB2312" w:cs="宋体"/>
          <w:bCs/>
          <w:sz w:val="32"/>
          <w:szCs w:val="32"/>
        </w:rPr>
        <w:t>报批</w:t>
      </w:r>
      <w:r>
        <w:rPr>
          <w:rFonts w:ascii="仿宋_GB2312" w:hAnsi="宋体" w:eastAsia="仿宋_GB2312" w:cs="宋体"/>
          <w:bCs/>
          <w:sz w:val="32"/>
          <w:szCs w:val="32"/>
        </w:rPr>
        <w:t>地类为农用地</w:t>
      </w:r>
      <w:r>
        <w:rPr>
          <w:rFonts w:hint="eastAsia" w:ascii="仿宋_GB2312" w:hAnsi="仿宋_GB2312" w:eastAsia="仿宋_GB2312" w:cs="仿宋_GB2312"/>
          <w:sz w:val="32"/>
          <w:szCs w:val="32"/>
          <w:lang w:val="en-US" w:eastAsia="zh-CN"/>
        </w:rPr>
        <w:t>0.9853</w:t>
      </w:r>
      <w:r>
        <w:rPr>
          <w:rFonts w:ascii="仿宋_GB2312" w:hAnsi="宋体" w:eastAsia="仿宋_GB2312" w:cs="宋体"/>
          <w:bCs/>
          <w:sz w:val="32"/>
          <w:szCs w:val="32"/>
        </w:rPr>
        <w:t>公顷</w:t>
      </w:r>
      <w:r>
        <w:rPr>
          <w:rFonts w:hint="eastAsia" w:ascii="仿宋_GB2312" w:hAnsi="宋体" w:eastAsia="仿宋_GB2312" w:cs="宋体"/>
          <w:bCs/>
          <w:sz w:val="32"/>
          <w:szCs w:val="32"/>
          <w:lang w:val="en-US" w:eastAsia="zh-CN"/>
        </w:rPr>
        <w:t>[</w:t>
      </w:r>
      <w:r>
        <w:rPr>
          <w:rFonts w:ascii="仿宋_GB2312" w:hAnsi="宋体" w:eastAsia="仿宋_GB2312" w:cs="宋体"/>
          <w:bCs/>
          <w:sz w:val="32"/>
          <w:szCs w:val="32"/>
        </w:rPr>
        <w:t>其中水田</w:t>
      </w:r>
      <w:r>
        <w:rPr>
          <w:rFonts w:hint="eastAsia" w:ascii="仿宋_GB2312" w:hAnsi="仿宋_GB2312" w:eastAsia="仿宋_GB2312" w:cs="仿宋_GB2312"/>
          <w:sz w:val="32"/>
          <w:szCs w:val="32"/>
          <w:lang w:val="en-US" w:eastAsia="zh-CN"/>
        </w:rPr>
        <w:t>0.6096</w:t>
      </w:r>
      <w:r>
        <w:rPr>
          <w:rFonts w:ascii="仿宋_GB2312" w:hAnsi="宋体" w:eastAsia="仿宋_GB2312" w:cs="宋体"/>
          <w:bCs/>
          <w:sz w:val="32"/>
          <w:szCs w:val="32"/>
        </w:rPr>
        <w:t>公顷</w:t>
      </w:r>
      <w:r>
        <w:rPr>
          <w:rFonts w:hint="eastAsia" w:ascii="仿宋_GB2312" w:hAnsi="宋体" w:eastAsia="仿宋_GB2312" w:cs="宋体"/>
          <w:bCs/>
          <w:sz w:val="32"/>
          <w:szCs w:val="32"/>
        </w:rPr>
        <w:t>、</w:t>
      </w:r>
      <w:r>
        <w:rPr>
          <w:rFonts w:hint="eastAsia" w:ascii="仿宋_GB2312" w:hAnsi="宋体" w:eastAsia="仿宋_GB2312" w:cs="宋体"/>
          <w:bCs/>
          <w:sz w:val="32"/>
          <w:szCs w:val="32"/>
          <w:lang w:eastAsia="zh-CN"/>
        </w:rPr>
        <w:t>园地</w:t>
      </w:r>
      <w:r>
        <w:rPr>
          <w:rFonts w:hint="eastAsia" w:ascii="仿宋_GB2312" w:hAnsi="宋体" w:eastAsia="仿宋_GB2312" w:cs="宋体"/>
          <w:bCs/>
          <w:sz w:val="32"/>
          <w:szCs w:val="32"/>
          <w:lang w:val="en-US" w:eastAsia="zh-CN"/>
        </w:rPr>
        <w:t>0.0251公顷、林地0.1542公顷、草地0.0376公顷、养殖水面0.0941公顷、</w:t>
      </w:r>
      <w:r>
        <w:rPr>
          <w:rFonts w:ascii="仿宋_GB2312" w:hAnsi="宋体" w:eastAsia="仿宋_GB2312" w:cs="宋体"/>
          <w:bCs/>
          <w:sz w:val="32"/>
          <w:szCs w:val="32"/>
        </w:rPr>
        <w:t>其他农用地</w:t>
      </w:r>
      <w:r>
        <w:rPr>
          <w:rFonts w:hint="eastAsia" w:ascii="仿宋_GB2312" w:hAnsi="宋体" w:eastAsia="仿宋_GB2312" w:cs="宋体"/>
          <w:bCs/>
          <w:sz w:val="32"/>
          <w:szCs w:val="32"/>
        </w:rPr>
        <w:t>（不含养殖水面）</w:t>
      </w:r>
      <w:r>
        <w:rPr>
          <w:rFonts w:hint="eastAsia" w:ascii="仿宋_GB2312" w:hAnsi="宋体" w:eastAsia="仿宋_GB2312" w:cs="宋体"/>
          <w:bCs/>
          <w:sz w:val="32"/>
          <w:szCs w:val="32"/>
          <w:lang w:val="en-US" w:eastAsia="zh-CN"/>
        </w:rPr>
        <w:t>0.0647</w:t>
      </w:r>
      <w:r>
        <w:rPr>
          <w:rFonts w:ascii="仿宋_GB2312" w:hAnsi="宋体" w:eastAsia="仿宋_GB2312" w:cs="宋体"/>
          <w:bCs/>
          <w:sz w:val="32"/>
          <w:szCs w:val="32"/>
        </w:rPr>
        <w:t>公顷</w:t>
      </w:r>
      <w:r>
        <w:rPr>
          <w:rFonts w:hint="eastAsia" w:ascii="仿宋_GB2312" w:hAnsi="宋体" w:eastAsia="仿宋_GB2312" w:cs="宋体"/>
          <w:bCs/>
          <w:sz w:val="32"/>
          <w:szCs w:val="32"/>
          <w:lang w:val="en-US" w:eastAsia="zh-CN"/>
        </w:rPr>
        <w:t>]</w:t>
      </w:r>
      <w:r>
        <w:rPr>
          <w:rFonts w:ascii="仿宋_GB2312" w:hAnsi="宋体" w:eastAsia="仿宋_GB2312" w:cs="宋体"/>
          <w:bCs/>
          <w:sz w:val="32"/>
          <w:szCs w:val="32"/>
        </w:rPr>
        <w:t>、</w:t>
      </w:r>
      <w:r>
        <w:rPr>
          <w:rFonts w:hint="eastAsia" w:ascii="仿宋_GB2312" w:hAnsi="宋体" w:eastAsia="仿宋_GB2312" w:cs="宋体"/>
          <w:bCs/>
          <w:sz w:val="32"/>
          <w:szCs w:val="32"/>
        </w:rPr>
        <w:t>建设用地</w:t>
      </w:r>
      <w:r>
        <w:rPr>
          <w:rFonts w:hint="eastAsia" w:ascii="仿宋_GB2312" w:hAnsi="宋体" w:eastAsia="仿宋_GB2312" w:cs="宋体"/>
          <w:bCs/>
          <w:sz w:val="32"/>
          <w:szCs w:val="32"/>
          <w:lang w:val="en-US" w:eastAsia="zh-CN"/>
        </w:rPr>
        <w:t>0.0950</w:t>
      </w:r>
      <w:r>
        <w:rPr>
          <w:rFonts w:hint="eastAsia" w:ascii="仿宋_GB2312" w:hAnsi="宋体" w:eastAsia="仿宋_GB2312" w:cs="宋体"/>
          <w:bCs/>
          <w:sz w:val="32"/>
          <w:szCs w:val="32"/>
        </w:rPr>
        <w:t>公顷</w:t>
      </w:r>
      <w:r>
        <w:rPr>
          <w:rFonts w:hint="eastAsia" w:ascii="仿宋_GB2312" w:hAnsi="宋体" w:eastAsia="仿宋_GB2312" w:cs="宋体"/>
          <w:bCs/>
          <w:sz w:val="32"/>
          <w:szCs w:val="32"/>
          <w:lang w:eastAsia="zh-CN"/>
        </w:rPr>
        <w:t>、未利用地</w:t>
      </w:r>
      <w:r>
        <w:rPr>
          <w:rFonts w:hint="eastAsia" w:ascii="仿宋_GB2312" w:hAnsi="宋体" w:eastAsia="仿宋_GB2312" w:cs="宋体"/>
          <w:bCs/>
          <w:sz w:val="32"/>
          <w:szCs w:val="32"/>
          <w:lang w:val="en-US" w:eastAsia="zh-CN"/>
        </w:rPr>
        <w:t>0.0794公顷</w:t>
      </w:r>
      <w:r>
        <w:rPr>
          <w:rFonts w:ascii="仿宋_GB2312" w:hAnsi="宋体" w:eastAsia="仿宋_GB2312" w:cs="宋体"/>
          <w:bCs/>
          <w:sz w:val="32"/>
          <w:szCs w:val="32"/>
        </w:rPr>
        <w:t>。征地补偿费用根据报批地类确定。</w:t>
      </w:r>
    </w:p>
    <w:p w14:paraId="525917FF">
      <w:pPr>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二、征地补偿标准及费用</w:t>
      </w:r>
    </w:p>
    <w:p w14:paraId="6357A718">
      <w:pPr>
        <w:spacing w:line="600" w:lineRule="exact"/>
        <w:ind w:firstLine="640" w:firstLineChars="200"/>
        <w:rPr>
          <w:rFonts w:hint="eastAsia" w:ascii="黑体" w:hAnsi="黑体" w:eastAsia="黑体" w:cs="黑体"/>
          <w:sz w:val="32"/>
          <w:szCs w:val="32"/>
        </w:rPr>
      </w:pPr>
    </w:p>
    <w:tbl>
      <w:tblPr>
        <w:tblStyle w:val="10"/>
        <w:tblW w:w="8806" w:type="dxa"/>
        <w:tblInd w:w="0" w:type="dxa"/>
        <w:tblLayout w:type="fixed"/>
        <w:tblCellMar>
          <w:top w:w="0" w:type="dxa"/>
          <w:left w:w="0" w:type="dxa"/>
          <w:bottom w:w="0" w:type="dxa"/>
          <w:right w:w="0" w:type="dxa"/>
        </w:tblCellMar>
      </w:tblPr>
      <w:tblGrid>
        <w:gridCol w:w="1573"/>
        <w:gridCol w:w="1077"/>
        <w:gridCol w:w="994"/>
        <w:gridCol w:w="1112"/>
        <w:gridCol w:w="1100"/>
        <w:gridCol w:w="969"/>
        <w:gridCol w:w="1013"/>
        <w:gridCol w:w="968"/>
      </w:tblGrid>
      <w:tr w14:paraId="268729AD">
        <w:tblPrEx>
          <w:tblCellMar>
            <w:top w:w="0" w:type="dxa"/>
            <w:left w:w="0" w:type="dxa"/>
            <w:bottom w:w="0" w:type="dxa"/>
            <w:right w:w="0" w:type="dxa"/>
          </w:tblCellMar>
        </w:tblPrEx>
        <w:trPr>
          <w:trHeight w:val="272" w:hRule="atLeast"/>
        </w:trPr>
        <w:tc>
          <w:tcPr>
            <w:tcW w:w="8806" w:type="dxa"/>
            <w:gridSpan w:val="8"/>
            <w:tcBorders>
              <w:top w:val="nil"/>
              <w:left w:val="nil"/>
              <w:bottom w:val="nil"/>
              <w:right w:val="nil"/>
            </w:tcBorders>
            <w:tcMar>
              <w:top w:w="15" w:type="dxa"/>
              <w:left w:w="15" w:type="dxa"/>
              <w:right w:w="15" w:type="dxa"/>
            </w:tcMar>
            <w:vAlign w:val="center"/>
          </w:tcPr>
          <w:p w14:paraId="3EFA61CF">
            <w:pPr>
              <w:widowControl/>
              <w:spacing w:line="540" w:lineRule="exact"/>
              <w:jc w:val="right"/>
              <w:textAlignment w:val="center"/>
              <w:rPr>
                <w:rFonts w:hint="eastAsia" w:ascii="仿宋_GB2312" w:hAnsi="仿宋_GB2312" w:eastAsia="仿宋_GB2312" w:cs="仿宋_GB2312"/>
                <w:color w:val="000000"/>
                <w:szCs w:val="21"/>
              </w:rPr>
            </w:pPr>
            <w:bookmarkStart w:id="0" w:name="OLE_LINK2"/>
            <w:r>
              <w:rPr>
                <w:rFonts w:hint="eastAsia" w:ascii="仿宋_GB2312" w:hAnsi="仿宋_GB2312" w:eastAsia="仿宋_GB2312" w:cs="仿宋_GB2312"/>
                <w:color w:val="000000"/>
                <w:kern w:val="0"/>
                <w:szCs w:val="21"/>
                <w:lang w:bidi="ar"/>
              </w:rPr>
              <w:t>单位：公顷、万元/公顷、万元</w:t>
            </w:r>
          </w:p>
        </w:tc>
      </w:tr>
      <w:tr w14:paraId="30D1803B">
        <w:tblPrEx>
          <w:tblCellMar>
            <w:top w:w="0" w:type="dxa"/>
            <w:left w:w="0" w:type="dxa"/>
            <w:bottom w:w="0" w:type="dxa"/>
            <w:right w:w="0" w:type="dxa"/>
          </w:tblCellMar>
        </w:tblPrEx>
        <w:trPr>
          <w:trHeight w:val="345" w:hRule="atLeast"/>
        </w:trPr>
        <w:tc>
          <w:tcPr>
            <w:tcW w:w="15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56A5C5">
            <w:pPr>
              <w:widowControl/>
              <w:spacing w:line="540" w:lineRule="exact"/>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单位</w:t>
            </w:r>
          </w:p>
        </w:tc>
        <w:tc>
          <w:tcPr>
            <w:tcW w:w="10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23AD3">
            <w:pPr>
              <w:widowControl/>
              <w:spacing w:line="300" w:lineRule="exact"/>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土地类别</w:t>
            </w:r>
          </w:p>
        </w:tc>
        <w:tc>
          <w:tcPr>
            <w:tcW w:w="99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379CB4">
            <w:pPr>
              <w:widowControl/>
              <w:spacing w:line="300" w:lineRule="exact"/>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面积</w:t>
            </w:r>
          </w:p>
        </w:tc>
        <w:tc>
          <w:tcPr>
            <w:tcW w:w="221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835606">
            <w:pPr>
              <w:widowControl/>
              <w:spacing w:line="300" w:lineRule="exact"/>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土地补偿费</w:t>
            </w:r>
          </w:p>
        </w:tc>
        <w:tc>
          <w:tcPr>
            <w:tcW w:w="198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7D33C">
            <w:pPr>
              <w:widowControl/>
              <w:spacing w:line="300" w:lineRule="exact"/>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安置补助费</w:t>
            </w:r>
          </w:p>
        </w:tc>
        <w:tc>
          <w:tcPr>
            <w:tcW w:w="96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BF8155">
            <w:pPr>
              <w:widowControl/>
              <w:spacing w:line="300" w:lineRule="exact"/>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小计</w:t>
            </w:r>
          </w:p>
        </w:tc>
      </w:tr>
      <w:tr w14:paraId="006378EB">
        <w:tblPrEx>
          <w:tblCellMar>
            <w:top w:w="0" w:type="dxa"/>
            <w:left w:w="0" w:type="dxa"/>
            <w:bottom w:w="0" w:type="dxa"/>
            <w:right w:w="0" w:type="dxa"/>
          </w:tblCellMar>
        </w:tblPrEx>
        <w:trPr>
          <w:trHeight w:val="283" w:hRule="atLeast"/>
        </w:trPr>
        <w:tc>
          <w:tcPr>
            <w:tcW w:w="15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135EA">
            <w:pPr>
              <w:spacing w:line="540" w:lineRule="exact"/>
              <w:jc w:val="center"/>
              <w:rPr>
                <w:rFonts w:hint="eastAsia" w:ascii="仿宋_GB2312" w:hAnsi="仿宋_GB2312" w:eastAsia="仿宋_GB2312" w:cs="仿宋_GB2312"/>
                <w:color w:val="000000"/>
                <w:szCs w:val="21"/>
              </w:rPr>
            </w:pPr>
          </w:p>
        </w:tc>
        <w:tc>
          <w:tcPr>
            <w:tcW w:w="10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EE5416">
            <w:pPr>
              <w:widowControl/>
              <w:spacing w:line="300" w:lineRule="exact"/>
              <w:jc w:val="center"/>
              <w:rPr>
                <w:rFonts w:hint="eastAsia" w:ascii="仿宋_GB2312" w:hAnsi="仿宋_GB2312" w:eastAsia="仿宋_GB2312" w:cs="仿宋_GB2312"/>
                <w:color w:val="000000"/>
                <w:szCs w:val="21"/>
              </w:rPr>
            </w:pPr>
          </w:p>
        </w:tc>
        <w:tc>
          <w:tcPr>
            <w:tcW w:w="99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1C900F">
            <w:pPr>
              <w:widowControl/>
              <w:spacing w:line="300" w:lineRule="exact"/>
              <w:jc w:val="center"/>
              <w:rPr>
                <w:rFonts w:hint="eastAsia" w:ascii="仿宋_GB2312" w:hAnsi="仿宋_GB2312" w:eastAsia="仿宋_GB2312" w:cs="仿宋_GB2312"/>
                <w:color w:val="000000"/>
                <w:szCs w:val="21"/>
              </w:rPr>
            </w:pPr>
          </w:p>
        </w:tc>
        <w:tc>
          <w:tcPr>
            <w:tcW w:w="11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F4E8A">
            <w:pPr>
              <w:widowControl/>
              <w:spacing w:line="300" w:lineRule="exact"/>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补偿标准</w:t>
            </w:r>
          </w:p>
        </w:tc>
        <w:tc>
          <w:tcPr>
            <w:tcW w:w="1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4DBB9">
            <w:pPr>
              <w:widowControl/>
              <w:spacing w:line="300" w:lineRule="exact"/>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补偿金额</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6E2F03">
            <w:pPr>
              <w:widowControl/>
              <w:spacing w:line="300" w:lineRule="exact"/>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补偿标准</w:t>
            </w:r>
          </w:p>
        </w:tc>
        <w:tc>
          <w:tcPr>
            <w:tcW w:w="10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0E41A8">
            <w:pPr>
              <w:widowControl/>
              <w:spacing w:line="300" w:lineRule="exact"/>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补偿金额</w:t>
            </w:r>
          </w:p>
        </w:tc>
        <w:tc>
          <w:tcPr>
            <w:tcW w:w="96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9B361">
            <w:pPr>
              <w:widowControl/>
              <w:spacing w:line="300" w:lineRule="exact"/>
              <w:jc w:val="center"/>
              <w:rPr>
                <w:rFonts w:hint="eastAsia" w:ascii="仿宋_GB2312" w:hAnsi="仿宋_GB2312" w:eastAsia="仿宋_GB2312" w:cs="仿宋_GB2312"/>
                <w:color w:val="000000"/>
                <w:szCs w:val="21"/>
              </w:rPr>
            </w:pPr>
          </w:p>
        </w:tc>
      </w:tr>
      <w:tr w14:paraId="732AA573">
        <w:tblPrEx>
          <w:tblCellMar>
            <w:top w:w="0" w:type="dxa"/>
            <w:left w:w="0" w:type="dxa"/>
            <w:bottom w:w="0" w:type="dxa"/>
            <w:right w:w="0" w:type="dxa"/>
          </w:tblCellMar>
        </w:tblPrEx>
        <w:trPr>
          <w:trHeight w:val="283" w:hRule="atLeast"/>
        </w:trPr>
        <w:tc>
          <w:tcPr>
            <w:tcW w:w="1573"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03227956">
            <w:pPr>
              <w:spacing w:line="240" w:lineRule="exact"/>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韶关市武江区龙归镇冲下村第七经济合作社，</w:t>
            </w:r>
            <w:r>
              <w:rPr>
                <w:rFonts w:hint="eastAsia" w:ascii="仿宋_GB2312" w:hAnsi="仿宋_GB2312" w:eastAsia="仿宋_GB2312" w:cs="仿宋_GB2312"/>
                <w:color w:val="000000"/>
                <w:kern w:val="0"/>
                <w:szCs w:val="21"/>
                <w:lang w:eastAsia="zh-CN" w:bidi="ar"/>
              </w:rPr>
              <w:t>韶关市武江区龙归镇冲下村第三经济合作社、韶关市武江区龙归镇冲下村第二经济合作社共有</w:t>
            </w:r>
            <w:r>
              <w:rPr>
                <w:rFonts w:hint="eastAsia" w:ascii="仿宋_GB2312" w:hAnsi="仿宋_GB2312" w:eastAsia="仿宋_GB2312" w:cs="仿宋_GB2312"/>
                <w:color w:val="000000"/>
                <w:kern w:val="0"/>
                <w:szCs w:val="21"/>
                <w:lang w:bidi="ar"/>
              </w:rPr>
              <w:t>，韶关市武江区龙归镇冲下村第十三经济合作社</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9580EE">
            <w:pPr>
              <w:widowControl/>
              <w:spacing w:line="300" w:lineRule="exact"/>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水田</w:t>
            </w:r>
          </w:p>
        </w:tc>
        <w:tc>
          <w:tcPr>
            <w:tcW w:w="9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00483">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0.6096</w:t>
            </w:r>
          </w:p>
        </w:tc>
        <w:tc>
          <w:tcPr>
            <w:tcW w:w="11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9FC3E">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48.4500</w:t>
            </w:r>
          </w:p>
        </w:tc>
        <w:tc>
          <w:tcPr>
            <w:tcW w:w="1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8EAAAC">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29.5351</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363B48">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48.6000</w:t>
            </w:r>
          </w:p>
        </w:tc>
        <w:tc>
          <w:tcPr>
            <w:tcW w:w="10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8D3F33">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highlight w:val="yellow"/>
                <w:u w:val="none"/>
                <w:lang w:val="en-US" w:eastAsia="zh-CN" w:bidi="ar"/>
              </w:rPr>
              <w:t>29.626</w:t>
            </w:r>
            <w:r>
              <w:rPr>
                <w:rFonts w:hint="eastAsia" w:ascii="仿宋_GB2312" w:hAnsi="宋体" w:eastAsia="仿宋_GB2312" w:cs="仿宋_GB2312"/>
                <w:i w:val="0"/>
                <w:iCs w:val="0"/>
                <w:color w:val="000000"/>
                <w:kern w:val="0"/>
                <w:sz w:val="21"/>
                <w:szCs w:val="21"/>
                <w:highlight w:val="yellow"/>
                <w:u w:val="none"/>
                <w:lang w:val="en-US" w:eastAsia="zh-CN" w:bidi="ar"/>
              </w:rPr>
              <w:t>6</w:t>
            </w:r>
          </w:p>
        </w:tc>
        <w:tc>
          <w:tcPr>
            <w:tcW w:w="9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BE8615">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b w:val="0"/>
                <w:bCs w:val="0"/>
                <w:i w:val="0"/>
                <w:iCs w:val="0"/>
                <w:color w:val="000000"/>
                <w:kern w:val="0"/>
                <w:sz w:val="21"/>
                <w:szCs w:val="21"/>
                <w:highlight w:val="yellow"/>
                <w:u w:val="none"/>
                <w:lang w:val="en-US" w:eastAsia="zh-CN" w:bidi="ar"/>
              </w:rPr>
              <w:t>59.161</w:t>
            </w:r>
            <w:r>
              <w:rPr>
                <w:rFonts w:hint="eastAsia" w:ascii="仿宋_GB2312" w:hAnsi="宋体" w:eastAsia="仿宋_GB2312" w:cs="仿宋_GB2312"/>
                <w:b w:val="0"/>
                <w:bCs w:val="0"/>
                <w:i w:val="0"/>
                <w:iCs w:val="0"/>
                <w:color w:val="000000"/>
                <w:kern w:val="0"/>
                <w:sz w:val="21"/>
                <w:szCs w:val="21"/>
                <w:highlight w:val="yellow"/>
                <w:u w:val="none"/>
                <w:lang w:val="en-US" w:eastAsia="zh-CN" w:bidi="ar"/>
              </w:rPr>
              <w:t>7</w:t>
            </w:r>
          </w:p>
        </w:tc>
      </w:tr>
      <w:tr w14:paraId="7B122DDD">
        <w:tblPrEx>
          <w:tblCellMar>
            <w:top w:w="0" w:type="dxa"/>
            <w:left w:w="0" w:type="dxa"/>
            <w:bottom w:w="0" w:type="dxa"/>
            <w:right w:w="0" w:type="dxa"/>
          </w:tblCellMar>
        </w:tblPrEx>
        <w:trPr>
          <w:trHeight w:val="283" w:hRule="atLeast"/>
        </w:trPr>
        <w:tc>
          <w:tcPr>
            <w:tcW w:w="1573" w:type="dxa"/>
            <w:vMerge w:val="continue"/>
            <w:tcBorders>
              <w:left w:val="single" w:color="000000" w:sz="4" w:space="0"/>
              <w:right w:val="single" w:color="000000" w:sz="4" w:space="0"/>
            </w:tcBorders>
            <w:tcMar>
              <w:top w:w="15" w:type="dxa"/>
              <w:left w:w="15" w:type="dxa"/>
              <w:right w:w="15" w:type="dxa"/>
            </w:tcMar>
            <w:vAlign w:val="center"/>
          </w:tcPr>
          <w:p w14:paraId="34FC0F5F">
            <w:pPr>
              <w:spacing w:line="240" w:lineRule="exact"/>
              <w:jc w:val="center"/>
              <w:rPr>
                <w:rFonts w:hint="eastAsia" w:ascii="仿宋_GB2312" w:hAnsi="仿宋_GB2312" w:eastAsia="仿宋_GB2312" w:cs="仿宋_GB2312"/>
                <w:color w:val="000000"/>
                <w:kern w:val="0"/>
                <w:szCs w:val="21"/>
                <w:lang w:bidi="ar"/>
              </w:rPr>
            </w:pP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2E935">
            <w:pPr>
              <w:widowControl/>
              <w:spacing w:line="300" w:lineRule="exact"/>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eastAsia="zh-CN" w:bidi="ar"/>
              </w:rPr>
              <w:t>园地</w:t>
            </w:r>
          </w:p>
        </w:tc>
        <w:tc>
          <w:tcPr>
            <w:tcW w:w="9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9E4E9C">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0.0251</w:t>
            </w:r>
          </w:p>
        </w:tc>
        <w:tc>
          <w:tcPr>
            <w:tcW w:w="11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20B583">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color w:val="000000"/>
                <w:kern w:val="0"/>
                <w:szCs w:val="21"/>
                <w:lang w:val="en-US" w:eastAsia="zh-CN" w:bidi="ar"/>
              </w:rPr>
              <w:t>36.3375</w:t>
            </w:r>
          </w:p>
        </w:tc>
        <w:tc>
          <w:tcPr>
            <w:tcW w:w="1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6D8A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0.9121</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8797C">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36.4500</w:t>
            </w:r>
          </w:p>
        </w:tc>
        <w:tc>
          <w:tcPr>
            <w:tcW w:w="10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17DF9E">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0.9149</w:t>
            </w:r>
          </w:p>
        </w:tc>
        <w:tc>
          <w:tcPr>
            <w:tcW w:w="9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26BEB">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b w:val="0"/>
                <w:bCs w:val="0"/>
                <w:i w:val="0"/>
                <w:iCs w:val="0"/>
                <w:color w:val="000000"/>
                <w:kern w:val="0"/>
                <w:sz w:val="21"/>
                <w:szCs w:val="21"/>
                <w:u w:val="none"/>
                <w:lang w:val="en-US" w:eastAsia="zh-CN" w:bidi="ar"/>
              </w:rPr>
              <w:t>1.827</w:t>
            </w:r>
            <w:r>
              <w:rPr>
                <w:rFonts w:hint="eastAsia" w:ascii="仿宋_GB2312" w:hAnsi="宋体" w:eastAsia="仿宋_GB2312" w:cs="仿宋_GB2312"/>
                <w:b w:val="0"/>
                <w:bCs w:val="0"/>
                <w:i w:val="0"/>
                <w:iCs w:val="0"/>
                <w:color w:val="000000"/>
                <w:kern w:val="0"/>
                <w:sz w:val="21"/>
                <w:szCs w:val="21"/>
                <w:u w:val="none"/>
                <w:lang w:val="en-US" w:eastAsia="zh-CN" w:bidi="ar"/>
              </w:rPr>
              <w:t>0</w:t>
            </w:r>
          </w:p>
        </w:tc>
      </w:tr>
      <w:tr w14:paraId="0E5E557F">
        <w:tblPrEx>
          <w:tblCellMar>
            <w:top w:w="0" w:type="dxa"/>
            <w:left w:w="0" w:type="dxa"/>
            <w:bottom w:w="0" w:type="dxa"/>
            <w:right w:w="0" w:type="dxa"/>
          </w:tblCellMar>
        </w:tblPrEx>
        <w:trPr>
          <w:trHeight w:val="283" w:hRule="atLeast"/>
        </w:trPr>
        <w:tc>
          <w:tcPr>
            <w:tcW w:w="1573" w:type="dxa"/>
            <w:vMerge w:val="continue"/>
            <w:tcBorders>
              <w:left w:val="single" w:color="000000" w:sz="4" w:space="0"/>
              <w:right w:val="single" w:color="000000" w:sz="4" w:space="0"/>
            </w:tcBorders>
            <w:tcMar>
              <w:top w:w="15" w:type="dxa"/>
              <w:left w:w="15" w:type="dxa"/>
              <w:right w:w="15" w:type="dxa"/>
            </w:tcMar>
            <w:vAlign w:val="center"/>
          </w:tcPr>
          <w:p w14:paraId="6EDB989F">
            <w:pPr>
              <w:spacing w:line="240" w:lineRule="exact"/>
              <w:jc w:val="center"/>
              <w:rPr>
                <w:rFonts w:hint="eastAsia" w:ascii="仿宋_GB2312" w:hAnsi="仿宋_GB2312" w:eastAsia="仿宋_GB2312" w:cs="仿宋_GB2312"/>
                <w:color w:val="000000"/>
                <w:kern w:val="0"/>
                <w:szCs w:val="21"/>
                <w:lang w:bidi="ar"/>
              </w:rPr>
            </w:pP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D5CCFF">
            <w:pPr>
              <w:widowControl/>
              <w:spacing w:line="300" w:lineRule="exact"/>
              <w:jc w:val="center"/>
              <w:textAlignment w:val="center"/>
              <w:rPr>
                <w:rFonts w:hint="eastAsia" w:ascii="仿宋_GB2312" w:hAnsi="仿宋_GB2312" w:eastAsia="仿宋_GB2312" w:cs="仿宋_GB2312"/>
                <w:color w:val="000000"/>
                <w:kern w:val="0"/>
                <w:szCs w:val="21"/>
                <w:lang w:eastAsia="zh-CN" w:bidi="ar"/>
              </w:rPr>
            </w:pPr>
            <w:r>
              <w:rPr>
                <w:rFonts w:hint="eastAsia" w:ascii="仿宋_GB2312" w:hAnsi="仿宋_GB2312" w:eastAsia="仿宋_GB2312" w:cs="仿宋_GB2312"/>
                <w:color w:val="000000"/>
                <w:kern w:val="0"/>
                <w:szCs w:val="21"/>
                <w:lang w:eastAsia="zh-CN" w:bidi="ar"/>
              </w:rPr>
              <w:t>林地</w:t>
            </w:r>
          </w:p>
        </w:tc>
        <w:tc>
          <w:tcPr>
            <w:tcW w:w="9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1DB1A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0.1542</w:t>
            </w:r>
          </w:p>
        </w:tc>
        <w:tc>
          <w:tcPr>
            <w:tcW w:w="11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4724E">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21.8025</w:t>
            </w:r>
          </w:p>
        </w:tc>
        <w:tc>
          <w:tcPr>
            <w:tcW w:w="1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5259B1">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3.3619</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B15D1">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21.8700</w:t>
            </w:r>
          </w:p>
        </w:tc>
        <w:tc>
          <w:tcPr>
            <w:tcW w:w="10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1181DA">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3.3724</w:t>
            </w:r>
          </w:p>
        </w:tc>
        <w:tc>
          <w:tcPr>
            <w:tcW w:w="9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12A92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b w:val="0"/>
                <w:bCs w:val="0"/>
                <w:i w:val="0"/>
                <w:iCs w:val="0"/>
                <w:color w:val="000000"/>
                <w:kern w:val="0"/>
                <w:sz w:val="21"/>
                <w:szCs w:val="21"/>
                <w:u w:val="none"/>
                <w:lang w:val="en-US" w:eastAsia="zh-CN" w:bidi="ar"/>
              </w:rPr>
              <w:t>6.7343</w:t>
            </w:r>
          </w:p>
        </w:tc>
      </w:tr>
      <w:tr w14:paraId="024B8569">
        <w:tblPrEx>
          <w:tblCellMar>
            <w:top w:w="0" w:type="dxa"/>
            <w:left w:w="0" w:type="dxa"/>
            <w:bottom w:w="0" w:type="dxa"/>
            <w:right w:w="0" w:type="dxa"/>
          </w:tblCellMar>
        </w:tblPrEx>
        <w:trPr>
          <w:trHeight w:val="283" w:hRule="atLeast"/>
        </w:trPr>
        <w:tc>
          <w:tcPr>
            <w:tcW w:w="1573" w:type="dxa"/>
            <w:vMerge w:val="continue"/>
            <w:tcBorders>
              <w:left w:val="single" w:color="000000" w:sz="4" w:space="0"/>
              <w:right w:val="single" w:color="000000" w:sz="4" w:space="0"/>
            </w:tcBorders>
            <w:tcMar>
              <w:top w:w="15" w:type="dxa"/>
              <w:left w:w="15" w:type="dxa"/>
              <w:right w:w="15" w:type="dxa"/>
            </w:tcMar>
            <w:vAlign w:val="center"/>
          </w:tcPr>
          <w:p w14:paraId="335C372D">
            <w:pPr>
              <w:spacing w:line="240" w:lineRule="exact"/>
              <w:jc w:val="center"/>
              <w:rPr>
                <w:rFonts w:hint="eastAsia" w:ascii="仿宋_GB2312" w:hAnsi="仿宋_GB2312" w:eastAsia="仿宋_GB2312" w:cs="仿宋_GB2312"/>
                <w:color w:val="000000"/>
                <w:kern w:val="0"/>
                <w:szCs w:val="21"/>
                <w:lang w:bidi="ar"/>
              </w:rPr>
            </w:pP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6A5BA">
            <w:pPr>
              <w:widowControl/>
              <w:spacing w:line="300" w:lineRule="exact"/>
              <w:jc w:val="center"/>
              <w:textAlignment w:val="center"/>
              <w:rPr>
                <w:rFonts w:hint="eastAsia" w:ascii="仿宋_GB2312" w:hAnsi="仿宋_GB2312" w:eastAsia="仿宋_GB2312" w:cs="仿宋_GB2312"/>
                <w:color w:val="000000"/>
                <w:kern w:val="0"/>
                <w:szCs w:val="21"/>
                <w:lang w:eastAsia="zh-CN" w:bidi="ar"/>
              </w:rPr>
            </w:pPr>
            <w:r>
              <w:rPr>
                <w:rFonts w:hint="eastAsia" w:ascii="仿宋_GB2312" w:hAnsi="仿宋_GB2312" w:eastAsia="仿宋_GB2312" w:cs="仿宋_GB2312"/>
                <w:color w:val="000000"/>
                <w:kern w:val="0"/>
                <w:szCs w:val="21"/>
                <w:lang w:eastAsia="zh-CN" w:bidi="ar"/>
              </w:rPr>
              <w:t>草地</w:t>
            </w:r>
          </w:p>
        </w:tc>
        <w:tc>
          <w:tcPr>
            <w:tcW w:w="9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29F9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0.0376</w:t>
            </w:r>
          </w:p>
        </w:tc>
        <w:tc>
          <w:tcPr>
            <w:tcW w:w="11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33EE57">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21.8025</w:t>
            </w:r>
          </w:p>
        </w:tc>
        <w:tc>
          <w:tcPr>
            <w:tcW w:w="1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5677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0.8198</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7FDE48">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21.8700</w:t>
            </w:r>
          </w:p>
        </w:tc>
        <w:tc>
          <w:tcPr>
            <w:tcW w:w="10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B0E77C">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0.8223</w:t>
            </w:r>
          </w:p>
        </w:tc>
        <w:tc>
          <w:tcPr>
            <w:tcW w:w="9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64B98B">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b w:val="0"/>
                <w:bCs w:val="0"/>
                <w:i w:val="0"/>
                <w:iCs w:val="0"/>
                <w:color w:val="000000"/>
                <w:kern w:val="0"/>
                <w:sz w:val="21"/>
                <w:szCs w:val="21"/>
                <w:u w:val="none"/>
                <w:lang w:val="en-US" w:eastAsia="zh-CN" w:bidi="ar"/>
              </w:rPr>
              <w:t>1.6421</w:t>
            </w:r>
          </w:p>
        </w:tc>
      </w:tr>
      <w:tr w14:paraId="3D0965E4">
        <w:tblPrEx>
          <w:tblCellMar>
            <w:top w:w="0" w:type="dxa"/>
            <w:left w:w="0" w:type="dxa"/>
            <w:bottom w:w="0" w:type="dxa"/>
            <w:right w:w="0" w:type="dxa"/>
          </w:tblCellMar>
        </w:tblPrEx>
        <w:trPr>
          <w:trHeight w:val="283" w:hRule="atLeast"/>
        </w:trPr>
        <w:tc>
          <w:tcPr>
            <w:tcW w:w="1573" w:type="dxa"/>
            <w:vMerge w:val="continue"/>
            <w:tcBorders>
              <w:left w:val="single" w:color="000000" w:sz="4" w:space="0"/>
              <w:right w:val="single" w:color="000000" w:sz="4" w:space="0"/>
            </w:tcBorders>
            <w:tcMar>
              <w:top w:w="15" w:type="dxa"/>
              <w:left w:w="15" w:type="dxa"/>
              <w:right w:w="15" w:type="dxa"/>
            </w:tcMar>
            <w:vAlign w:val="center"/>
          </w:tcPr>
          <w:p w14:paraId="6F5B6B9B">
            <w:pPr>
              <w:spacing w:line="240" w:lineRule="exact"/>
              <w:jc w:val="center"/>
              <w:rPr>
                <w:rFonts w:hint="eastAsia" w:ascii="仿宋_GB2312" w:hAnsi="仿宋_GB2312" w:eastAsia="仿宋_GB2312" w:cs="仿宋_GB2312"/>
                <w:color w:val="000000"/>
                <w:kern w:val="0"/>
                <w:szCs w:val="21"/>
                <w:lang w:bidi="ar"/>
              </w:rPr>
            </w:pP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704655">
            <w:pPr>
              <w:widowControl/>
              <w:spacing w:line="300" w:lineRule="exact"/>
              <w:jc w:val="center"/>
              <w:textAlignment w:val="center"/>
              <w:rPr>
                <w:rFonts w:hint="eastAsia" w:ascii="仿宋_GB2312" w:hAnsi="仿宋_GB2312" w:eastAsia="仿宋_GB2312" w:cs="仿宋_GB2312"/>
                <w:color w:val="000000"/>
                <w:kern w:val="0"/>
                <w:szCs w:val="21"/>
                <w:lang w:eastAsia="zh-CN" w:bidi="ar"/>
              </w:rPr>
            </w:pPr>
            <w:r>
              <w:rPr>
                <w:rFonts w:hint="eastAsia" w:ascii="仿宋_GB2312" w:hAnsi="仿宋_GB2312" w:eastAsia="仿宋_GB2312" w:cs="仿宋_GB2312"/>
                <w:color w:val="000000"/>
                <w:kern w:val="0"/>
                <w:szCs w:val="21"/>
                <w:lang w:eastAsia="zh-CN" w:bidi="ar"/>
              </w:rPr>
              <w:t>养殖水面</w:t>
            </w:r>
          </w:p>
        </w:tc>
        <w:tc>
          <w:tcPr>
            <w:tcW w:w="9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D48A8C">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0.0941</w:t>
            </w:r>
          </w:p>
        </w:tc>
        <w:tc>
          <w:tcPr>
            <w:tcW w:w="11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56AD54">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48.4500</w:t>
            </w:r>
          </w:p>
        </w:tc>
        <w:tc>
          <w:tcPr>
            <w:tcW w:w="1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83EEB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4.5591</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CBF164">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48.6000</w:t>
            </w:r>
          </w:p>
        </w:tc>
        <w:tc>
          <w:tcPr>
            <w:tcW w:w="10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4854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4.5733</w:t>
            </w:r>
          </w:p>
        </w:tc>
        <w:tc>
          <w:tcPr>
            <w:tcW w:w="9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E6D7C">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b w:val="0"/>
                <w:bCs w:val="0"/>
                <w:i w:val="0"/>
                <w:iCs w:val="0"/>
                <w:color w:val="000000"/>
                <w:kern w:val="0"/>
                <w:sz w:val="21"/>
                <w:szCs w:val="21"/>
                <w:u w:val="none"/>
                <w:lang w:val="en-US" w:eastAsia="zh-CN" w:bidi="ar"/>
              </w:rPr>
              <w:t>9.1324</w:t>
            </w:r>
          </w:p>
        </w:tc>
      </w:tr>
      <w:tr w14:paraId="2806ADCD">
        <w:tblPrEx>
          <w:tblCellMar>
            <w:top w:w="0" w:type="dxa"/>
            <w:left w:w="0" w:type="dxa"/>
            <w:bottom w:w="0" w:type="dxa"/>
            <w:right w:w="0" w:type="dxa"/>
          </w:tblCellMar>
        </w:tblPrEx>
        <w:trPr>
          <w:trHeight w:val="957" w:hRule="atLeast"/>
        </w:trPr>
        <w:tc>
          <w:tcPr>
            <w:tcW w:w="1573" w:type="dxa"/>
            <w:vMerge w:val="continue"/>
            <w:tcBorders>
              <w:left w:val="single" w:color="000000" w:sz="4" w:space="0"/>
              <w:right w:val="single" w:color="000000" w:sz="4" w:space="0"/>
            </w:tcBorders>
            <w:tcMar>
              <w:top w:w="15" w:type="dxa"/>
              <w:left w:w="15" w:type="dxa"/>
              <w:right w:w="15" w:type="dxa"/>
            </w:tcMar>
            <w:vAlign w:val="center"/>
          </w:tcPr>
          <w:p w14:paraId="0B2E781B">
            <w:pPr>
              <w:jc w:val="center"/>
              <w:rPr>
                <w:rFonts w:hint="eastAsia" w:ascii="仿宋_GB2312" w:hAnsi="仿宋_GB2312" w:eastAsia="仿宋_GB2312" w:cs="仿宋_GB2312"/>
                <w:color w:val="000000"/>
                <w:kern w:val="0"/>
                <w:szCs w:val="21"/>
                <w:lang w:bidi="ar"/>
              </w:rPr>
            </w:pP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9E385">
            <w:pPr>
              <w:widowControl/>
              <w:spacing w:line="300" w:lineRule="exact"/>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其他农用地（不含养殖水面）</w:t>
            </w:r>
          </w:p>
        </w:tc>
        <w:tc>
          <w:tcPr>
            <w:tcW w:w="9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A1D84">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0.0647</w:t>
            </w:r>
          </w:p>
        </w:tc>
        <w:tc>
          <w:tcPr>
            <w:tcW w:w="11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9B0D45">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21.8025</w:t>
            </w:r>
          </w:p>
        </w:tc>
        <w:tc>
          <w:tcPr>
            <w:tcW w:w="1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58F260">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1.4106</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570C58">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21.8700</w:t>
            </w:r>
          </w:p>
        </w:tc>
        <w:tc>
          <w:tcPr>
            <w:tcW w:w="10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8139AD">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 xml:space="preserve">1.4150 </w:t>
            </w:r>
          </w:p>
        </w:tc>
        <w:tc>
          <w:tcPr>
            <w:tcW w:w="9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8E740B">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b w:val="0"/>
                <w:bCs w:val="0"/>
                <w:i w:val="0"/>
                <w:iCs w:val="0"/>
                <w:color w:val="000000"/>
                <w:kern w:val="0"/>
                <w:sz w:val="21"/>
                <w:szCs w:val="21"/>
                <w:u w:val="none"/>
                <w:lang w:val="en-US" w:eastAsia="zh-CN" w:bidi="ar"/>
              </w:rPr>
              <w:t>2.8256</w:t>
            </w:r>
          </w:p>
        </w:tc>
      </w:tr>
      <w:tr w14:paraId="2B6055CA">
        <w:tblPrEx>
          <w:tblCellMar>
            <w:top w:w="0" w:type="dxa"/>
            <w:left w:w="0" w:type="dxa"/>
            <w:bottom w:w="0" w:type="dxa"/>
            <w:right w:w="0" w:type="dxa"/>
          </w:tblCellMar>
        </w:tblPrEx>
        <w:trPr>
          <w:trHeight w:val="460" w:hRule="atLeast"/>
        </w:trPr>
        <w:tc>
          <w:tcPr>
            <w:tcW w:w="1573" w:type="dxa"/>
            <w:vMerge w:val="continue"/>
            <w:tcBorders>
              <w:left w:val="single" w:color="000000" w:sz="4" w:space="0"/>
              <w:right w:val="single" w:color="000000" w:sz="4" w:space="0"/>
            </w:tcBorders>
            <w:tcMar>
              <w:top w:w="15" w:type="dxa"/>
              <w:left w:w="15" w:type="dxa"/>
              <w:right w:w="15" w:type="dxa"/>
            </w:tcMar>
            <w:vAlign w:val="center"/>
          </w:tcPr>
          <w:p w14:paraId="2E24CF52">
            <w:pPr>
              <w:jc w:val="center"/>
              <w:rPr>
                <w:rFonts w:hint="eastAsia" w:ascii="仿宋_GB2312" w:hAnsi="仿宋_GB2312" w:eastAsia="仿宋_GB2312" w:cs="仿宋_GB2312"/>
                <w:color w:val="000000"/>
                <w:kern w:val="0"/>
                <w:szCs w:val="21"/>
                <w:lang w:bidi="ar"/>
              </w:rPr>
            </w:pP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FC650">
            <w:pPr>
              <w:widowControl/>
              <w:tabs>
                <w:tab w:val="left" w:pos="365"/>
              </w:tabs>
              <w:spacing w:line="300" w:lineRule="exact"/>
              <w:jc w:val="center"/>
              <w:textAlignment w:val="center"/>
              <w:rPr>
                <w:rFonts w:hint="default" w:ascii="仿宋_GB2312" w:hAnsi="仿宋_GB2312" w:eastAsia="仿宋_GB2312" w:cs="仿宋_GB2312"/>
                <w:color w:val="000000"/>
                <w:kern w:val="0"/>
                <w:szCs w:val="21"/>
                <w:lang w:val="en-US" w:eastAsia="zh-CN" w:bidi="ar"/>
              </w:rPr>
            </w:pPr>
            <w:r>
              <w:rPr>
                <w:rFonts w:hint="eastAsia" w:ascii="仿宋_GB2312" w:hAnsi="仿宋_GB2312" w:eastAsia="仿宋_GB2312" w:cs="仿宋_GB2312"/>
                <w:color w:val="000000"/>
                <w:kern w:val="0"/>
                <w:szCs w:val="21"/>
                <w:lang w:val="en-US" w:eastAsia="zh-CN" w:bidi="ar"/>
              </w:rPr>
              <w:t>建设用地</w:t>
            </w:r>
          </w:p>
        </w:tc>
        <w:tc>
          <w:tcPr>
            <w:tcW w:w="9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EE894F">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0.0950</w:t>
            </w:r>
          </w:p>
        </w:tc>
        <w:tc>
          <w:tcPr>
            <w:tcW w:w="11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AAA391">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48.4500</w:t>
            </w:r>
          </w:p>
        </w:tc>
        <w:tc>
          <w:tcPr>
            <w:tcW w:w="1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6EB74D">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highlight w:val="yellow"/>
                <w:u w:val="none"/>
                <w:lang w:val="en-US" w:eastAsia="zh-CN" w:bidi="ar"/>
              </w:rPr>
              <w:t>4.602</w:t>
            </w:r>
            <w:r>
              <w:rPr>
                <w:rFonts w:hint="eastAsia" w:ascii="仿宋_GB2312" w:hAnsi="宋体" w:eastAsia="仿宋_GB2312" w:cs="仿宋_GB2312"/>
                <w:i w:val="0"/>
                <w:iCs w:val="0"/>
                <w:color w:val="000000"/>
                <w:kern w:val="0"/>
                <w:sz w:val="21"/>
                <w:szCs w:val="21"/>
                <w:highlight w:val="yellow"/>
                <w:u w:val="none"/>
                <w:lang w:val="en-US" w:eastAsia="zh-CN" w:bidi="ar"/>
              </w:rPr>
              <w:t>7</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9AEE4">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48.6000</w:t>
            </w:r>
          </w:p>
        </w:tc>
        <w:tc>
          <w:tcPr>
            <w:tcW w:w="10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5760B">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4.617</w:t>
            </w:r>
          </w:p>
        </w:tc>
        <w:tc>
          <w:tcPr>
            <w:tcW w:w="9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036EB">
            <w:pPr>
              <w:keepNext w:val="0"/>
              <w:keepLines w:val="0"/>
              <w:widowControl/>
              <w:suppressLineNumbers w:val="0"/>
              <w:jc w:val="center"/>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b w:val="0"/>
                <w:bCs w:val="0"/>
                <w:i w:val="0"/>
                <w:iCs w:val="0"/>
                <w:color w:val="000000"/>
                <w:kern w:val="0"/>
                <w:sz w:val="21"/>
                <w:szCs w:val="21"/>
                <w:highlight w:val="yellow"/>
                <w:u w:val="none"/>
                <w:lang w:val="en-US" w:eastAsia="zh-CN" w:bidi="ar"/>
              </w:rPr>
              <w:t>9.219</w:t>
            </w:r>
            <w:r>
              <w:rPr>
                <w:rFonts w:hint="eastAsia" w:ascii="仿宋_GB2312" w:hAnsi="宋体" w:eastAsia="仿宋_GB2312" w:cs="仿宋_GB2312"/>
                <w:b w:val="0"/>
                <w:bCs w:val="0"/>
                <w:i w:val="0"/>
                <w:iCs w:val="0"/>
                <w:color w:val="000000"/>
                <w:kern w:val="0"/>
                <w:sz w:val="21"/>
                <w:szCs w:val="21"/>
                <w:highlight w:val="yellow"/>
                <w:u w:val="none"/>
                <w:lang w:val="en-US" w:eastAsia="zh-CN" w:bidi="ar"/>
              </w:rPr>
              <w:t>7</w:t>
            </w:r>
          </w:p>
        </w:tc>
      </w:tr>
      <w:tr w14:paraId="4A625C3D">
        <w:tblPrEx>
          <w:tblCellMar>
            <w:top w:w="0" w:type="dxa"/>
            <w:left w:w="0" w:type="dxa"/>
            <w:bottom w:w="0" w:type="dxa"/>
            <w:right w:w="0" w:type="dxa"/>
          </w:tblCellMar>
        </w:tblPrEx>
        <w:trPr>
          <w:trHeight w:val="460" w:hRule="atLeast"/>
        </w:trPr>
        <w:tc>
          <w:tcPr>
            <w:tcW w:w="1573" w:type="dxa"/>
            <w:vMerge w:val="continue"/>
            <w:tcBorders>
              <w:left w:val="single" w:color="000000" w:sz="4" w:space="0"/>
              <w:right w:val="single" w:color="000000" w:sz="4" w:space="0"/>
            </w:tcBorders>
            <w:tcMar>
              <w:top w:w="15" w:type="dxa"/>
              <w:left w:w="15" w:type="dxa"/>
              <w:right w:w="15" w:type="dxa"/>
            </w:tcMar>
            <w:vAlign w:val="center"/>
          </w:tcPr>
          <w:p w14:paraId="76C689F5">
            <w:pPr>
              <w:jc w:val="center"/>
              <w:rPr>
                <w:rFonts w:hint="eastAsia" w:ascii="仿宋_GB2312" w:hAnsi="仿宋_GB2312" w:eastAsia="仿宋_GB2312" w:cs="仿宋_GB2312"/>
                <w:color w:val="000000"/>
                <w:kern w:val="0"/>
                <w:szCs w:val="21"/>
                <w:lang w:bidi="ar"/>
              </w:rPr>
            </w:pP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BB69F1">
            <w:pPr>
              <w:keepNext w:val="0"/>
              <w:keepLines w:val="0"/>
              <w:widowControl/>
              <w:suppressLineNumbers w:val="0"/>
              <w:jc w:val="center"/>
              <w:textAlignment w:val="center"/>
              <w:rPr>
                <w:rFonts w:hint="eastAsia" w:ascii="仿宋_GB2312" w:hAnsi="仿宋_GB2312" w:eastAsia="仿宋_GB2312" w:cs="仿宋_GB2312"/>
                <w:color w:val="000000"/>
                <w:kern w:val="0"/>
                <w:szCs w:val="21"/>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未利用地</w:t>
            </w:r>
          </w:p>
        </w:tc>
        <w:tc>
          <w:tcPr>
            <w:tcW w:w="9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AFD5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0.0794</w:t>
            </w:r>
          </w:p>
        </w:tc>
        <w:tc>
          <w:tcPr>
            <w:tcW w:w="11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0547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19.3800</w:t>
            </w:r>
          </w:p>
        </w:tc>
        <w:tc>
          <w:tcPr>
            <w:tcW w:w="1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21BB1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1.5388</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3D407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19.4400</w:t>
            </w:r>
          </w:p>
        </w:tc>
        <w:tc>
          <w:tcPr>
            <w:tcW w:w="10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5DE2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i w:val="0"/>
                <w:iCs w:val="0"/>
                <w:color w:val="000000"/>
                <w:kern w:val="0"/>
                <w:sz w:val="21"/>
                <w:szCs w:val="21"/>
                <w:u w:val="none"/>
                <w:lang w:val="en-US" w:eastAsia="zh-CN" w:bidi="ar"/>
              </w:rPr>
              <w:t>1.5435</w:t>
            </w:r>
          </w:p>
        </w:tc>
        <w:tc>
          <w:tcPr>
            <w:tcW w:w="9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DECC5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default" w:ascii="仿宋_GB2312" w:hAnsi="宋体" w:eastAsia="仿宋_GB2312" w:cs="仿宋_GB2312"/>
                <w:b w:val="0"/>
                <w:bCs w:val="0"/>
                <w:i w:val="0"/>
                <w:iCs w:val="0"/>
                <w:color w:val="000000"/>
                <w:kern w:val="0"/>
                <w:sz w:val="21"/>
                <w:szCs w:val="21"/>
                <w:u w:val="none"/>
                <w:lang w:val="en-US" w:eastAsia="zh-CN" w:bidi="ar"/>
              </w:rPr>
              <w:t>3.0823</w:t>
            </w:r>
          </w:p>
        </w:tc>
      </w:tr>
      <w:tr w14:paraId="05DD10F6">
        <w:tblPrEx>
          <w:tblCellMar>
            <w:top w:w="0" w:type="dxa"/>
            <w:left w:w="0" w:type="dxa"/>
            <w:bottom w:w="0" w:type="dxa"/>
            <w:right w:w="0" w:type="dxa"/>
          </w:tblCellMar>
        </w:tblPrEx>
        <w:trPr>
          <w:trHeight w:val="737" w:hRule="atLeast"/>
        </w:trPr>
        <w:tc>
          <w:tcPr>
            <w:tcW w:w="1573" w:type="dxa"/>
            <w:vMerge w:val="continue"/>
            <w:tcBorders>
              <w:left w:val="single" w:color="000000" w:sz="4" w:space="0"/>
              <w:right w:val="single" w:color="000000" w:sz="4" w:space="0"/>
            </w:tcBorders>
            <w:tcMar>
              <w:top w:w="15" w:type="dxa"/>
              <w:left w:w="15" w:type="dxa"/>
              <w:right w:w="15" w:type="dxa"/>
            </w:tcMar>
            <w:vAlign w:val="center"/>
          </w:tcPr>
          <w:p w14:paraId="6C27ADB4">
            <w:pPr>
              <w:spacing w:line="540" w:lineRule="exact"/>
              <w:jc w:val="center"/>
              <w:rPr>
                <w:rFonts w:hint="eastAsia" w:ascii="仿宋_GB2312" w:hAnsi="仿宋_GB2312" w:eastAsia="仿宋_GB2312" w:cs="仿宋_GB2312"/>
                <w:color w:val="000000"/>
                <w:szCs w:val="21"/>
              </w:rPr>
            </w:pPr>
          </w:p>
        </w:tc>
        <w:tc>
          <w:tcPr>
            <w:tcW w:w="207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4827A">
            <w:pPr>
              <w:widowControl/>
              <w:spacing w:line="300" w:lineRule="exact"/>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土地补偿费与安置补助费</w:t>
            </w:r>
          </w:p>
        </w:tc>
        <w:tc>
          <w:tcPr>
            <w:tcW w:w="221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4E6108">
            <w:pPr>
              <w:widowControl/>
              <w:spacing w:line="300" w:lineRule="exact"/>
              <w:jc w:val="center"/>
              <w:textAlignment w:val="center"/>
              <w:rPr>
                <w:rFonts w:hint="default" w:ascii="仿宋_GB2312" w:hAnsi="宋体" w:eastAsia="仿宋_GB2312" w:cs="仿宋_GB2312"/>
                <w:color w:val="000000"/>
                <w:kern w:val="0"/>
                <w:szCs w:val="21"/>
                <w:lang w:val="en-US" w:eastAsia="zh-CN" w:bidi="ar"/>
              </w:rPr>
            </w:pPr>
            <w:r>
              <w:rPr>
                <w:rFonts w:hint="eastAsia" w:ascii="仿宋_GB2312" w:hAnsi="宋体" w:eastAsia="仿宋_GB2312" w:cs="仿宋_GB2312"/>
                <w:color w:val="000000"/>
                <w:kern w:val="0"/>
                <w:szCs w:val="21"/>
                <w:lang w:val="en-US" w:eastAsia="zh-CN" w:bidi="ar"/>
              </w:rPr>
              <w:t>93.6251</w:t>
            </w:r>
          </w:p>
        </w:tc>
        <w:tc>
          <w:tcPr>
            <w:tcW w:w="2950" w:type="dxa"/>
            <w:gridSpan w:val="3"/>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76ED3A28">
            <w:pPr>
              <w:widowControl/>
              <w:spacing w:line="220" w:lineRule="exact"/>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补偿方式为货币，土地补偿费补偿支付对象为韶关市武江区龙归镇冲下村第七经济合作社，</w:t>
            </w:r>
            <w:r>
              <w:rPr>
                <w:rFonts w:hint="eastAsia" w:ascii="仿宋_GB2312" w:hAnsi="仿宋_GB2312" w:eastAsia="仿宋_GB2312" w:cs="仿宋_GB2312"/>
                <w:color w:val="000000"/>
                <w:kern w:val="0"/>
                <w:szCs w:val="21"/>
                <w:lang w:eastAsia="zh-CN" w:bidi="ar"/>
              </w:rPr>
              <w:t>韶关市武江区龙归镇冲下村第三经济合作社、韶关市武江区龙归镇冲下村第二经济合作社共有</w:t>
            </w:r>
            <w:r>
              <w:rPr>
                <w:rFonts w:hint="eastAsia" w:ascii="仿宋_GB2312" w:hAnsi="仿宋_GB2312" w:eastAsia="仿宋_GB2312" w:cs="仿宋_GB2312"/>
                <w:color w:val="000000"/>
                <w:kern w:val="0"/>
                <w:szCs w:val="21"/>
                <w:lang w:bidi="ar"/>
              </w:rPr>
              <w:t>，韶关市武江区龙归镇冲下村第十三经济合作社转付需安置补偿对象</w:t>
            </w:r>
          </w:p>
        </w:tc>
      </w:tr>
      <w:tr w14:paraId="258AFA83">
        <w:tblPrEx>
          <w:tblCellMar>
            <w:top w:w="0" w:type="dxa"/>
            <w:left w:w="0" w:type="dxa"/>
            <w:bottom w:w="0" w:type="dxa"/>
            <w:right w:w="0" w:type="dxa"/>
          </w:tblCellMar>
        </w:tblPrEx>
        <w:trPr>
          <w:trHeight w:val="704" w:hRule="atLeast"/>
        </w:trPr>
        <w:tc>
          <w:tcPr>
            <w:tcW w:w="1573" w:type="dxa"/>
            <w:vMerge w:val="continue"/>
            <w:tcBorders>
              <w:left w:val="single" w:color="000000" w:sz="4" w:space="0"/>
              <w:right w:val="single" w:color="000000" w:sz="4" w:space="0"/>
            </w:tcBorders>
            <w:tcMar>
              <w:top w:w="15" w:type="dxa"/>
              <w:left w:w="15" w:type="dxa"/>
              <w:right w:w="15" w:type="dxa"/>
            </w:tcMar>
            <w:vAlign w:val="center"/>
          </w:tcPr>
          <w:p w14:paraId="0CE06DBC">
            <w:pPr>
              <w:spacing w:line="540" w:lineRule="exact"/>
              <w:jc w:val="center"/>
              <w:rPr>
                <w:rFonts w:hint="eastAsia" w:ascii="仿宋_GB2312" w:hAnsi="仿宋_GB2312" w:eastAsia="仿宋_GB2312" w:cs="仿宋_GB2312"/>
                <w:color w:val="000000"/>
                <w:szCs w:val="21"/>
              </w:rPr>
            </w:pPr>
          </w:p>
        </w:tc>
        <w:tc>
          <w:tcPr>
            <w:tcW w:w="207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E79E6">
            <w:pPr>
              <w:widowControl/>
              <w:spacing w:line="300" w:lineRule="exact"/>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青苗补偿费</w:t>
            </w:r>
          </w:p>
        </w:tc>
        <w:tc>
          <w:tcPr>
            <w:tcW w:w="221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F733AA">
            <w:pPr>
              <w:widowControl/>
              <w:spacing w:line="300" w:lineRule="exact"/>
              <w:jc w:val="center"/>
              <w:textAlignment w:val="center"/>
              <w:rPr>
                <w:rFonts w:hint="eastAsia" w:ascii="仿宋_GB2312" w:hAnsi="宋体" w:eastAsia="仿宋_GB2312" w:cs="仿宋_GB2312"/>
                <w:color w:val="000000"/>
                <w:kern w:val="0"/>
                <w:szCs w:val="21"/>
                <w:lang w:bidi="ar"/>
              </w:rPr>
            </w:pPr>
            <w:r>
              <w:rPr>
                <w:rFonts w:hint="eastAsia" w:ascii="仿宋_GB2312" w:hAnsi="仿宋_GB2312" w:eastAsia="仿宋_GB2312" w:cs="仿宋_GB2312"/>
                <w:color w:val="000000"/>
                <w:kern w:val="0"/>
                <w:sz w:val="22"/>
                <w:szCs w:val="22"/>
                <w:lang w:bidi="ar"/>
              </w:rPr>
              <w:t>青苗补偿以实际清点为准</w:t>
            </w:r>
          </w:p>
        </w:tc>
        <w:tc>
          <w:tcPr>
            <w:tcW w:w="2950" w:type="dxa"/>
            <w:gridSpan w:val="3"/>
            <w:vMerge w:val="continue"/>
            <w:tcBorders>
              <w:left w:val="single" w:color="000000" w:sz="4" w:space="0"/>
              <w:right w:val="single" w:color="000000" w:sz="4" w:space="0"/>
            </w:tcBorders>
            <w:tcMar>
              <w:top w:w="15" w:type="dxa"/>
              <w:left w:w="15" w:type="dxa"/>
              <w:right w:w="15" w:type="dxa"/>
            </w:tcMar>
            <w:vAlign w:val="center"/>
          </w:tcPr>
          <w:p w14:paraId="0B85C2B3">
            <w:pPr>
              <w:spacing w:line="540" w:lineRule="exact"/>
              <w:jc w:val="center"/>
              <w:rPr>
                <w:rFonts w:hint="eastAsia" w:ascii="仿宋_GB2312" w:hAnsi="仿宋_GB2312" w:eastAsia="仿宋_GB2312" w:cs="仿宋_GB2312"/>
                <w:color w:val="000000"/>
                <w:szCs w:val="21"/>
              </w:rPr>
            </w:pPr>
          </w:p>
        </w:tc>
      </w:tr>
      <w:tr w14:paraId="2C233FEB">
        <w:tblPrEx>
          <w:tblCellMar>
            <w:top w:w="0" w:type="dxa"/>
            <w:left w:w="0" w:type="dxa"/>
            <w:bottom w:w="0" w:type="dxa"/>
            <w:right w:w="0" w:type="dxa"/>
          </w:tblCellMar>
        </w:tblPrEx>
        <w:trPr>
          <w:trHeight w:val="914" w:hRule="atLeast"/>
        </w:trPr>
        <w:tc>
          <w:tcPr>
            <w:tcW w:w="1573" w:type="dxa"/>
            <w:vMerge w:val="continue"/>
            <w:tcBorders>
              <w:left w:val="single" w:color="000000" w:sz="4" w:space="0"/>
              <w:right w:val="single" w:color="000000" w:sz="4" w:space="0"/>
            </w:tcBorders>
            <w:tcMar>
              <w:top w:w="15" w:type="dxa"/>
              <w:left w:w="15" w:type="dxa"/>
              <w:right w:w="15" w:type="dxa"/>
            </w:tcMar>
            <w:vAlign w:val="center"/>
          </w:tcPr>
          <w:p w14:paraId="5FB930E1">
            <w:pPr>
              <w:spacing w:line="540" w:lineRule="exact"/>
              <w:jc w:val="center"/>
              <w:rPr>
                <w:rFonts w:hint="eastAsia" w:ascii="仿宋_GB2312" w:hAnsi="仿宋_GB2312" w:eastAsia="仿宋_GB2312" w:cs="仿宋_GB2312"/>
                <w:color w:val="000000"/>
                <w:szCs w:val="21"/>
              </w:rPr>
            </w:pPr>
          </w:p>
        </w:tc>
        <w:tc>
          <w:tcPr>
            <w:tcW w:w="207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517E8">
            <w:pPr>
              <w:widowControl/>
              <w:spacing w:line="300" w:lineRule="exact"/>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地上附着物补偿</w:t>
            </w:r>
          </w:p>
        </w:tc>
        <w:tc>
          <w:tcPr>
            <w:tcW w:w="221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2F5E7">
            <w:pPr>
              <w:widowControl/>
              <w:spacing w:line="240" w:lineRule="exact"/>
              <w:jc w:val="center"/>
              <w:textAlignment w:val="center"/>
              <w:rPr>
                <w:rFonts w:hint="eastAsia" w:ascii="仿宋_GB2312" w:hAnsi="宋体" w:eastAsia="仿宋_GB2312" w:cs="仿宋_GB2312"/>
                <w:color w:val="000000"/>
                <w:kern w:val="0"/>
                <w:szCs w:val="21"/>
                <w:lang w:bidi="ar"/>
              </w:rPr>
            </w:pPr>
            <w:r>
              <w:rPr>
                <w:rFonts w:hint="eastAsia" w:ascii="仿宋_GB2312" w:hAnsi="仿宋_GB2312" w:eastAsia="仿宋_GB2312" w:cs="仿宋_GB2312"/>
                <w:color w:val="000000"/>
                <w:kern w:val="0"/>
                <w:sz w:val="22"/>
                <w:szCs w:val="22"/>
                <w:lang w:bidi="ar"/>
              </w:rPr>
              <w:t>经现场踏勘，该项目用地无地上附着物，不涉及地上附着物补偿</w:t>
            </w:r>
          </w:p>
        </w:tc>
        <w:tc>
          <w:tcPr>
            <w:tcW w:w="2950" w:type="dxa"/>
            <w:gridSpan w:val="3"/>
            <w:vMerge w:val="continue"/>
            <w:tcBorders>
              <w:left w:val="single" w:color="000000" w:sz="4" w:space="0"/>
              <w:right w:val="single" w:color="000000" w:sz="4" w:space="0"/>
            </w:tcBorders>
            <w:tcMar>
              <w:top w:w="15" w:type="dxa"/>
              <w:left w:w="15" w:type="dxa"/>
              <w:right w:w="15" w:type="dxa"/>
            </w:tcMar>
            <w:vAlign w:val="center"/>
          </w:tcPr>
          <w:p w14:paraId="0A605180">
            <w:pPr>
              <w:spacing w:line="540" w:lineRule="exact"/>
              <w:jc w:val="center"/>
              <w:rPr>
                <w:rFonts w:hint="eastAsia" w:ascii="仿宋_GB2312" w:hAnsi="仿宋_GB2312" w:eastAsia="仿宋_GB2312" w:cs="仿宋_GB2312"/>
                <w:color w:val="000000"/>
                <w:szCs w:val="21"/>
              </w:rPr>
            </w:pPr>
          </w:p>
        </w:tc>
      </w:tr>
      <w:tr w14:paraId="77AD2241">
        <w:tblPrEx>
          <w:tblCellMar>
            <w:top w:w="0" w:type="dxa"/>
            <w:left w:w="0" w:type="dxa"/>
            <w:bottom w:w="0" w:type="dxa"/>
            <w:right w:w="0" w:type="dxa"/>
          </w:tblCellMar>
        </w:tblPrEx>
        <w:trPr>
          <w:trHeight w:val="90" w:hRule="atLeast"/>
        </w:trPr>
        <w:tc>
          <w:tcPr>
            <w:tcW w:w="1573" w:type="dxa"/>
            <w:vMerge w:val="continue"/>
            <w:tcBorders>
              <w:left w:val="single" w:color="000000" w:sz="4" w:space="0"/>
              <w:right w:val="single" w:color="000000" w:sz="4" w:space="0"/>
            </w:tcBorders>
            <w:tcMar>
              <w:top w:w="15" w:type="dxa"/>
              <w:left w:w="15" w:type="dxa"/>
              <w:right w:w="15" w:type="dxa"/>
            </w:tcMar>
            <w:vAlign w:val="center"/>
          </w:tcPr>
          <w:p w14:paraId="5F57D87C">
            <w:pPr>
              <w:spacing w:line="540" w:lineRule="exact"/>
              <w:jc w:val="center"/>
              <w:rPr>
                <w:rFonts w:hint="eastAsia" w:ascii="仿宋_GB2312" w:hAnsi="仿宋_GB2312" w:eastAsia="仿宋_GB2312" w:cs="仿宋_GB2312"/>
                <w:color w:val="000000"/>
                <w:szCs w:val="21"/>
              </w:rPr>
            </w:pPr>
          </w:p>
        </w:tc>
        <w:tc>
          <w:tcPr>
            <w:tcW w:w="207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18FD24">
            <w:pPr>
              <w:widowControl/>
              <w:spacing w:line="300" w:lineRule="exact"/>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以上土地面积合计</w:t>
            </w:r>
          </w:p>
        </w:tc>
        <w:tc>
          <w:tcPr>
            <w:tcW w:w="221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B41DBB">
            <w:pPr>
              <w:widowControl/>
              <w:spacing w:line="300" w:lineRule="exact"/>
              <w:jc w:val="center"/>
              <w:textAlignment w:val="center"/>
              <w:rPr>
                <w:rFonts w:hint="default" w:ascii="仿宋_GB2312" w:hAnsi="宋体" w:eastAsia="仿宋_GB2312" w:cs="仿宋_GB2312"/>
                <w:color w:val="000000"/>
                <w:kern w:val="0"/>
                <w:szCs w:val="21"/>
                <w:lang w:val="en-US" w:eastAsia="zh-CN" w:bidi="ar"/>
              </w:rPr>
            </w:pPr>
            <w:r>
              <w:rPr>
                <w:rFonts w:hint="eastAsia" w:ascii="仿宋_GB2312" w:hAnsi="宋体" w:eastAsia="仿宋_GB2312" w:cs="仿宋_GB2312"/>
                <w:color w:val="000000"/>
                <w:kern w:val="0"/>
                <w:szCs w:val="21"/>
                <w:lang w:val="en-US" w:eastAsia="zh-CN" w:bidi="ar"/>
              </w:rPr>
              <w:t>1.1597</w:t>
            </w:r>
          </w:p>
        </w:tc>
        <w:tc>
          <w:tcPr>
            <w:tcW w:w="2950" w:type="dxa"/>
            <w:gridSpan w:val="3"/>
            <w:vMerge w:val="continue"/>
            <w:tcBorders>
              <w:left w:val="single" w:color="000000" w:sz="4" w:space="0"/>
              <w:right w:val="single" w:color="000000" w:sz="4" w:space="0"/>
            </w:tcBorders>
            <w:tcMar>
              <w:top w:w="15" w:type="dxa"/>
              <w:left w:w="15" w:type="dxa"/>
              <w:right w:w="15" w:type="dxa"/>
            </w:tcMar>
            <w:vAlign w:val="center"/>
          </w:tcPr>
          <w:p w14:paraId="75E545A1">
            <w:pPr>
              <w:spacing w:line="540" w:lineRule="exact"/>
              <w:jc w:val="center"/>
              <w:rPr>
                <w:rFonts w:hint="eastAsia" w:ascii="仿宋_GB2312" w:hAnsi="仿宋_GB2312" w:eastAsia="仿宋_GB2312" w:cs="仿宋_GB2312"/>
                <w:color w:val="000000"/>
                <w:szCs w:val="21"/>
              </w:rPr>
            </w:pPr>
          </w:p>
        </w:tc>
      </w:tr>
      <w:tr w14:paraId="4469715E">
        <w:tblPrEx>
          <w:tblCellMar>
            <w:top w:w="0" w:type="dxa"/>
            <w:left w:w="0" w:type="dxa"/>
            <w:bottom w:w="0" w:type="dxa"/>
            <w:right w:w="0" w:type="dxa"/>
          </w:tblCellMar>
        </w:tblPrEx>
        <w:trPr>
          <w:trHeight w:val="660" w:hRule="atLeast"/>
        </w:trPr>
        <w:tc>
          <w:tcPr>
            <w:tcW w:w="1573"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4808169E">
            <w:pPr>
              <w:spacing w:line="540" w:lineRule="exact"/>
              <w:jc w:val="center"/>
              <w:rPr>
                <w:rFonts w:hint="eastAsia" w:ascii="仿宋_GB2312" w:hAnsi="仿宋_GB2312" w:eastAsia="仿宋_GB2312" w:cs="仿宋_GB2312"/>
                <w:color w:val="000000"/>
                <w:szCs w:val="21"/>
              </w:rPr>
            </w:pPr>
          </w:p>
        </w:tc>
        <w:tc>
          <w:tcPr>
            <w:tcW w:w="207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880BD">
            <w:pPr>
              <w:widowControl/>
              <w:spacing w:line="300" w:lineRule="exact"/>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以上补偿金额合计</w:t>
            </w:r>
          </w:p>
        </w:tc>
        <w:tc>
          <w:tcPr>
            <w:tcW w:w="221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4FCE97">
            <w:pPr>
              <w:widowControl/>
              <w:spacing w:line="300" w:lineRule="exact"/>
              <w:jc w:val="center"/>
              <w:textAlignment w:val="center"/>
              <w:rPr>
                <w:rFonts w:hint="eastAsia" w:ascii="仿宋_GB2312" w:hAnsi="宋体" w:eastAsia="仿宋_GB2312" w:cs="仿宋_GB2312"/>
                <w:color w:val="000000"/>
                <w:kern w:val="0"/>
                <w:szCs w:val="21"/>
                <w:lang w:bidi="ar"/>
              </w:rPr>
            </w:pPr>
            <w:r>
              <w:rPr>
                <w:rFonts w:hint="eastAsia" w:ascii="仿宋_GB2312" w:hAnsi="宋体" w:eastAsia="仿宋_GB2312" w:cs="仿宋_GB2312"/>
                <w:color w:val="000000"/>
                <w:kern w:val="0"/>
                <w:szCs w:val="21"/>
                <w:lang w:val="en-US" w:eastAsia="zh-CN" w:bidi="ar"/>
              </w:rPr>
              <w:t>93.6251</w:t>
            </w:r>
          </w:p>
        </w:tc>
        <w:tc>
          <w:tcPr>
            <w:tcW w:w="2950" w:type="dxa"/>
            <w:gridSpan w:val="3"/>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37B5617B">
            <w:pPr>
              <w:spacing w:line="540" w:lineRule="exact"/>
              <w:jc w:val="center"/>
              <w:rPr>
                <w:rFonts w:hint="eastAsia" w:ascii="仿宋_GB2312" w:hAnsi="仿宋_GB2312" w:eastAsia="仿宋_GB2312" w:cs="仿宋_GB2312"/>
                <w:color w:val="000000"/>
                <w:szCs w:val="21"/>
              </w:rPr>
            </w:pPr>
          </w:p>
        </w:tc>
      </w:tr>
    </w:tbl>
    <w:p w14:paraId="1C2EFA25">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三、安置情况说明</w:t>
      </w:r>
    </w:p>
    <w:bookmarkEnd w:id="0"/>
    <w:p w14:paraId="513F0C7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为妥善安置被征地农民，</w:t>
      </w:r>
      <w:r>
        <w:rPr>
          <w:rFonts w:hint="eastAsia" w:ascii="仿宋_GB2312" w:hAnsi="仿宋_GB2312" w:eastAsia="仿宋_GB2312" w:cs="仿宋_GB2312"/>
          <w:sz w:val="32"/>
          <w:szCs w:val="32"/>
          <w:lang w:val="en-US" w:eastAsia="zh-CN"/>
        </w:rPr>
        <w:t>保障</w:t>
      </w:r>
      <w:r>
        <w:rPr>
          <w:rFonts w:hint="eastAsia" w:ascii="仿宋_GB2312" w:hAnsi="仿宋_GB2312" w:eastAsia="仿宋_GB2312" w:cs="仿宋_GB2312"/>
          <w:sz w:val="32"/>
          <w:szCs w:val="32"/>
        </w:rPr>
        <w:t>被征地农民的生产生活，本项目将根据《韶关市人民政府办公室关于加强韶关市浈江区、武江区征收农村集体土地留用地安置管理工作的意见》（韶府办〔2016〕82号）精神，在建设用地批准后按征地面积15%的比例以折算货币方式进行留用地安置,以</w:t>
      </w:r>
      <w:r>
        <w:rPr>
          <w:rFonts w:hint="eastAsia" w:ascii="仿宋_GB2312" w:hAnsi="仿宋_GB2312" w:eastAsia="仿宋_GB2312" w:cs="仿宋_GB2312"/>
          <w:sz w:val="32"/>
          <w:szCs w:val="32"/>
          <w:lang w:val="en-US" w:eastAsia="zh-CN"/>
        </w:rPr>
        <w:t>保障</w:t>
      </w:r>
      <w:r>
        <w:rPr>
          <w:rFonts w:hint="eastAsia" w:ascii="仿宋_GB2312" w:hAnsi="仿宋_GB2312" w:eastAsia="仿宋_GB2312" w:cs="仿宋_GB2312"/>
          <w:sz w:val="32"/>
          <w:szCs w:val="32"/>
        </w:rPr>
        <w:t>被征地农民的原有生活水平不降低，长远生计有保障。</w:t>
      </w:r>
    </w:p>
    <w:p w14:paraId="7ACF40AB">
      <w:pPr>
        <w:rPr>
          <w:rFonts w:hint="eastAsia" w:ascii="仿宋_GB2312" w:hAnsi="仿宋_GB2312" w:eastAsia="仿宋_GB2312" w:cs="仿宋_GB2312"/>
          <w:sz w:val="32"/>
          <w:szCs w:val="32"/>
        </w:rPr>
      </w:pPr>
    </w:p>
    <w:p w14:paraId="64BAAC60">
      <w:pPr>
        <w:rPr>
          <w:rFonts w:hint="eastAsia" w:ascii="仿宋_GB2312" w:hAnsi="仿宋_GB2312" w:eastAsia="仿宋_GB2312" w:cs="仿宋_GB2312"/>
          <w:sz w:val="32"/>
          <w:szCs w:val="32"/>
        </w:rPr>
      </w:pPr>
    </w:p>
    <w:p w14:paraId="4B4A2778">
      <w:pPr>
        <w:pStyle w:val="5"/>
        <w:keepNext w:val="0"/>
        <w:keepLines w:val="0"/>
        <w:pageBreakBefore w:val="0"/>
        <w:widowControl w:val="0"/>
        <w:kinsoku/>
        <w:wordWrap/>
        <w:overflowPunct/>
        <w:topLinePunct w:val="0"/>
        <w:autoSpaceDE/>
        <w:autoSpaceDN/>
        <w:bidi w:val="0"/>
        <w:adjustRightInd/>
        <w:snapToGrid/>
        <w:spacing w:before="60" w:line="560" w:lineRule="exact"/>
        <w:ind w:left="0" w:firstLine="5920" w:firstLineChars="1850"/>
        <w:jc w:val="left"/>
        <w:textAlignment w:val="auto"/>
        <w:rPr>
          <w:rFonts w:hint="eastAsia" w:ascii="仿宋_GB2312" w:hAnsi="仿宋_GB2312" w:eastAsia="仿宋_GB2312" w:cs="仿宋_GB2312"/>
          <w:kern w:val="2"/>
          <w:sz w:val="32"/>
          <w:szCs w:val="30"/>
          <w:highlight w:val="yellow"/>
          <w:lang w:val="en-US" w:eastAsia="zh-CN" w:bidi="ar-SA"/>
        </w:rPr>
        <w:sectPr>
          <w:pgSz w:w="11906" w:h="16838"/>
          <w:pgMar w:top="2098" w:right="1474" w:bottom="1984" w:left="1587" w:header="851" w:footer="992" w:gutter="0"/>
          <w:cols w:space="425" w:num="1"/>
          <w:docGrid w:type="lines" w:linePitch="312" w:charSpace="0"/>
        </w:sectPr>
      </w:pPr>
    </w:p>
    <w:p w14:paraId="335E51F0">
      <w:pPr>
        <w:pStyle w:val="16"/>
        <w:spacing w:line="56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附件2：</w:t>
      </w:r>
    </w:p>
    <w:p w14:paraId="447A2646">
      <w:pPr>
        <w:pStyle w:val="16"/>
        <w:spacing w:line="560" w:lineRule="exact"/>
        <w:rPr>
          <w:rFonts w:hint="eastAsia" w:ascii="方正小标宋简体" w:hAnsi="方正小标宋简体" w:eastAsia="方正小标宋简体" w:cs="方正小标宋简体"/>
          <w:bCs/>
          <w:color w:val="000000"/>
          <w:sz w:val="44"/>
          <w:szCs w:val="44"/>
        </w:rPr>
      </w:pPr>
    </w:p>
    <w:p w14:paraId="773CD928">
      <w:pPr>
        <w:pStyle w:val="16"/>
        <w:spacing w:line="600" w:lineRule="exact"/>
        <w:jc w:val="center"/>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lang w:val="en-US" w:eastAsia="zh-CN"/>
        </w:rPr>
        <w:t>关于</w:t>
      </w:r>
      <w:r>
        <w:rPr>
          <w:rFonts w:hint="eastAsia" w:ascii="方正小标宋简体" w:hAnsi="方正小标宋简体" w:eastAsia="方正小标宋简体" w:cs="方正小标宋简体"/>
          <w:bCs/>
          <w:color w:val="000000"/>
          <w:sz w:val="44"/>
          <w:szCs w:val="44"/>
        </w:rPr>
        <w:t>韶关市武江区202</w:t>
      </w:r>
      <w:r>
        <w:rPr>
          <w:rFonts w:hint="eastAsia" w:ascii="方正小标宋简体" w:hAnsi="方正小标宋简体" w:eastAsia="方正小标宋简体" w:cs="方正小标宋简体"/>
          <w:bCs/>
          <w:color w:val="000000"/>
          <w:sz w:val="44"/>
          <w:szCs w:val="44"/>
          <w:lang w:val="en-US" w:eastAsia="zh-CN"/>
        </w:rPr>
        <w:t>4</w:t>
      </w:r>
      <w:r>
        <w:rPr>
          <w:rFonts w:hint="eastAsia" w:ascii="方正小标宋简体" w:hAnsi="方正小标宋简体" w:eastAsia="方正小标宋简体" w:cs="方正小标宋简体"/>
          <w:bCs/>
          <w:color w:val="000000"/>
          <w:sz w:val="44"/>
          <w:szCs w:val="44"/>
        </w:rPr>
        <w:t>年度第</w:t>
      </w:r>
      <w:r>
        <w:rPr>
          <w:rFonts w:hint="eastAsia" w:ascii="方正小标宋简体" w:hAnsi="方正小标宋简体" w:eastAsia="方正小标宋简体" w:cs="方正小标宋简体"/>
          <w:bCs/>
          <w:color w:val="000000"/>
          <w:sz w:val="44"/>
          <w:szCs w:val="44"/>
          <w:lang w:val="en-US" w:eastAsia="zh-CN"/>
        </w:rPr>
        <w:t>六</w:t>
      </w:r>
      <w:r>
        <w:rPr>
          <w:rFonts w:hint="eastAsia" w:ascii="方正小标宋简体" w:hAnsi="方正小标宋简体" w:eastAsia="方正小标宋简体" w:cs="方正小标宋简体"/>
          <w:bCs/>
          <w:color w:val="000000"/>
          <w:sz w:val="44"/>
          <w:szCs w:val="44"/>
        </w:rPr>
        <w:t>批次城镇</w:t>
      </w:r>
    </w:p>
    <w:p w14:paraId="36A24C08">
      <w:pPr>
        <w:pStyle w:val="16"/>
        <w:spacing w:line="600" w:lineRule="exact"/>
        <w:jc w:val="center"/>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建设用地项目被征地农民养老保障方案</w:t>
      </w:r>
    </w:p>
    <w:p w14:paraId="0B4B9977">
      <w:pPr>
        <w:pStyle w:val="16"/>
        <w:spacing w:line="520" w:lineRule="exact"/>
        <w:ind w:firstLine="640" w:firstLineChars="200"/>
        <w:rPr>
          <w:rFonts w:hint="eastAsia" w:ascii="仿宋_GB2312" w:hAnsi="宋体" w:eastAsia="仿宋_GB2312" w:cs="宋体"/>
          <w:color w:val="000000"/>
          <w:kern w:val="0"/>
          <w:sz w:val="32"/>
          <w:szCs w:val="32"/>
        </w:rPr>
      </w:pPr>
    </w:p>
    <w:p w14:paraId="6CEAF136">
      <w:pPr>
        <w:pStyle w:val="16"/>
        <w:spacing w:line="560" w:lineRule="exact"/>
        <w:ind w:firstLine="640" w:firstLineChars="20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依照《中华人民共和国土地管理法》、《关于切实做好被征地农民社会保障工作有关问题的通知》（劳社部发〔2007〕14号）、《广东省人民政府办公厅转发省人力资源社会保障厅关于进一步完善我省被征地农民</w:t>
      </w:r>
      <w:r>
        <w:rPr>
          <w:rFonts w:hint="eastAsia" w:ascii="仿宋_GB2312" w:hAnsi="宋体" w:eastAsia="仿宋_GB2312" w:cs="宋体"/>
          <w:color w:val="000000"/>
          <w:kern w:val="0"/>
          <w:sz w:val="32"/>
          <w:szCs w:val="32"/>
          <w:highlight w:val="none"/>
        </w:rPr>
        <w:t>养老保障</w:t>
      </w:r>
      <w:r>
        <w:rPr>
          <w:rFonts w:hint="eastAsia" w:ascii="仿宋_GB2312" w:hAnsi="仿宋_GB2312" w:eastAsia="仿宋_GB2312" w:cs="仿宋_GB2312"/>
          <w:sz w:val="32"/>
          <w:szCs w:val="32"/>
          <w:highlight w:val="none"/>
          <w:lang w:eastAsia="zh-CN"/>
        </w:rPr>
        <w:t>政策</w:t>
      </w:r>
      <w:r>
        <w:rPr>
          <w:rFonts w:hint="eastAsia" w:ascii="仿宋_GB2312" w:hAnsi="宋体" w:eastAsia="仿宋_GB2312" w:cs="宋体"/>
          <w:color w:val="000000"/>
          <w:kern w:val="0"/>
          <w:sz w:val="32"/>
          <w:szCs w:val="32"/>
          <w:highlight w:val="none"/>
        </w:rPr>
        <w:t>意见</w:t>
      </w:r>
      <w:r>
        <w:rPr>
          <w:rFonts w:hint="eastAsia" w:ascii="仿宋_GB2312" w:hAnsi="宋体" w:eastAsia="仿宋_GB2312" w:cs="宋体"/>
          <w:color w:val="000000"/>
          <w:kern w:val="0"/>
          <w:sz w:val="32"/>
          <w:szCs w:val="32"/>
        </w:rPr>
        <w:t>的通知》（粤府办〔2021〕22号）、《韶关市人民政府办公室关于进一步明确韶关市被征地农民养老保障工作的通知》（韶府办发函〔2021〕179号）有关规定精神，拟定韶关市武江区202</w:t>
      </w:r>
      <w:r>
        <w:rPr>
          <w:rFonts w:hint="eastAsia" w:ascii="仿宋_GB2312" w:hAnsi="宋体" w:eastAsia="仿宋_GB2312" w:cs="宋体"/>
          <w:color w:val="000000"/>
          <w:kern w:val="0"/>
          <w:sz w:val="32"/>
          <w:szCs w:val="32"/>
          <w:lang w:val="en-US" w:eastAsia="zh-CN"/>
        </w:rPr>
        <w:t>4</w:t>
      </w:r>
      <w:r>
        <w:rPr>
          <w:rFonts w:hint="eastAsia" w:ascii="仿宋_GB2312" w:hAnsi="宋体" w:eastAsia="仿宋_GB2312" w:cs="宋体"/>
          <w:color w:val="000000"/>
          <w:kern w:val="0"/>
          <w:sz w:val="32"/>
          <w:szCs w:val="32"/>
        </w:rPr>
        <w:t>年度第</w:t>
      </w:r>
      <w:r>
        <w:rPr>
          <w:rFonts w:hint="eastAsia" w:ascii="仿宋_GB2312" w:hAnsi="宋体" w:eastAsia="仿宋_GB2312" w:cs="宋体"/>
          <w:color w:val="000000"/>
          <w:kern w:val="0"/>
          <w:sz w:val="32"/>
          <w:szCs w:val="32"/>
          <w:lang w:val="en-US" w:eastAsia="zh-CN"/>
        </w:rPr>
        <w:t>六</w:t>
      </w:r>
      <w:r>
        <w:rPr>
          <w:rFonts w:hint="eastAsia" w:ascii="仿宋_GB2312" w:hAnsi="宋体" w:eastAsia="仿宋_GB2312" w:cs="宋体"/>
          <w:color w:val="000000"/>
          <w:kern w:val="0"/>
          <w:sz w:val="32"/>
          <w:szCs w:val="32"/>
        </w:rPr>
        <w:t>批次城镇建设用地项目被征地农民养老保障方案如下：</w:t>
      </w:r>
    </w:p>
    <w:p w14:paraId="0C349576">
      <w:pPr>
        <w:pStyle w:val="16"/>
        <w:spacing w:line="560" w:lineRule="exact"/>
        <w:ind w:firstLine="640" w:firstLineChars="20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一、对韶关市武江区202</w:t>
      </w:r>
      <w:r>
        <w:rPr>
          <w:rFonts w:hint="eastAsia" w:ascii="仿宋_GB2312" w:hAnsi="宋体" w:eastAsia="仿宋_GB2312" w:cs="宋体"/>
          <w:color w:val="000000"/>
          <w:kern w:val="0"/>
          <w:sz w:val="32"/>
          <w:szCs w:val="32"/>
          <w:lang w:val="en-US" w:eastAsia="zh-CN"/>
        </w:rPr>
        <w:t>4</w:t>
      </w:r>
      <w:r>
        <w:rPr>
          <w:rFonts w:hint="eastAsia" w:ascii="仿宋_GB2312" w:hAnsi="宋体" w:eastAsia="仿宋_GB2312" w:cs="宋体"/>
          <w:color w:val="000000"/>
          <w:kern w:val="0"/>
          <w:sz w:val="32"/>
          <w:szCs w:val="32"/>
        </w:rPr>
        <w:t>年度第</w:t>
      </w:r>
      <w:r>
        <w:rPr>
          <w:rFonts w:hint="eastAsia" w:ascii="仿宋_GB2312" w:hAnsi="宋体" w:eastAsia="仿宋_GB2312" w:cs="宋体"/>
          <w:color w:val="000000"/>
          <w:kern w:val="0"/>
          <w:sz w:val="32"/>
          <w:szCs w:val="32"/>
          <w:lang w:val="en-US" w:eastAsia="zh-CN"/>
        </w:rPr>
        <w:t>六</w:t>
      </w:r>
      <w:r>
        <w:rPr>
          <w:rFonts w:hint="eastAsia" w:ascii="仿宋_GB2312" w:hAnsi="宋体" w:eastAsia="仿宋_GB2312" w:cs="宋体"/>
          <w:color w:val="000000"/>
          <w:kern w:val="0"/>
          <w:sz w:val="32"/>
          <w:szCs w:val="32"/>
        </w:rPr>
        <w:t>批次城镇建设用地项目涉及的被征地农民实施社会养老保障。</w:t>
      </w:r>
    </w:p>
    <w:p w14:paraId="451F1ED0">
      <w:pPr>
        <w:pStyle w:val="16"/>
        <w:spacing w:line="560" w:lineRule="exact"/>
        <w:ind w:firstLine="640" w:firstLineChars="200"/>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000000"/>
          <w:kern w:val="0"/>
          <w:sz w:val="32"/>
          <w:szCs w:val="32"/>
        </w:rPr>
        <w:t>二、征地社</w:t>
      </w:r>
      <w:r>
        <w:rPr>
          <w:rFonts w:hint="eastAsia" w:ascii="仿宋_GB2312" w:hAnsi="宋体" w:eastAsia="仿宋_GB2312" w:cs="宋体"/>
          <w:color w:val="000000"/>
          <w:kern w:val="0"/>
          <w:sz w:val="32"/>
          <w:szCs w:val="32"/>
          <w:highlight w:val="none"/>
        </w:rPr>
        <w:t>保费补贴对象：</w:t>
      </w:r>
      <w:r>
        <w:rPr>
          <w:rFonts w:hint="eastAsia" w:ascii="仿宋_GB2312" w:hAnsi="宋体" w:eastAsia="仿宋_GB2312" w:cs="宋体"/>
          <w:bCs/>
          <w:sz w:val="32"/>
          <w:szCs w:val="32"/>
          <w:highlight w:val="none"/>
          <w:lang w:eastAsia="zh-CN"/>
        </w:rPr>
        <w:t>韶关市</w:t>
      </w:r>
      <w:r>
        <w:rPr>
          <w:rFonts w:hint="eastAsia" w:ascii="仿宋_GB2312" w:hAnsi="宋体" w:eastAsia="仿宋_GB2312" w:cs="宋体"/>
          <w:bCs/>
          <w:sz w:val="32"/>
          <w:szCs w:val="32"/>
          <w:highlight w:val="none"/>
          <w:lang w:val="en-US" w:eastAsia="zh-CN"/>
        </w:rPr>
        <w:t>武江</w:t>
      </w:r>
      <w:r>
        <w:rPr>
          <w:rFonts w:hint="eastAsia" w:ascii="仿宋_GB2312" w:hAnsi="宋体" w:eastAsia="仿宋_GB2312" w:cs="宋体"/>
          <w:bCs/>
          <w:sz w:val="32"/>
          <w:szCs w:val="32"/>
          <w:highlight w:val="none"/>
          <w:lang w:eastAsia="zh-CN"/>
        </w:rPr>
        <w:t>区202</w:t>
      </w:r>
      <w:r>
        <w:rPr>
          <w:rFonts w:hint="eastAsia" w:ascii="仿宋_GB2312" w:hAnsi="宋体" w:eastAsia="仿宋_GB2312" w:cs="宋体"/>
          <w:bCs/>
          <w:sz w:val="32"/>
          <w:szCs w:val="32"/>
          <w:highlight w:val="none"/>
          <w:lang w:val="en-US" w:eastAsia="zh-CN"/>
        </w:rPr>
        <w:t>4</w:t>
      </w:r>
      <w:r>
        <w:rPr>
          <w:rFonts w:hint="eastAsia" w:ascii="仿宋_GB2312" w:hAnsi="宋体" w:eastAsia="仿宋_GB2312" w:cs="宋体"/>
          <w:bCs/>
          <w:sz w:val="32"/>
          <w:szCs w:val="32"/>
          <w:highlight w:val="none"/>
          <w:lang w:eastAsia="zh-CN"/>
        </w:rPr>
        <w:t>年度第六批次城镇建设用地项目</w:t>
      </w:r>
      <w:r>
        <w:rPr>
          <w:rFonts w:hint="eastAsia" w:ascii="仿宋_GB2312" w:hAnsi="宋体" w:eastAsia="仿宋_GB2312" w:cs="宋体"/>
          <w:bCs/>
          <w:sz w:val="32"/>
          <w:szCs w:val="32"/>
          <w:highlight w:val="none"/>
          <w:lang w:val="en-US" w:eastAsia="zh-CN"/>
        </w:rPr>
        <w:t>涉及集体土地17.3955亩，</w:t>
      </w:r>
      <w:r>
        <w:rPr>
          <w:rFonts w:hint="eastAsia" w:ascii="仿宋_GB2312" w:hAnsi="宋体" w:eastAsia="仿宋_GB2312" w:cs="宋体"/>
          <w:bCs/>
          <w:color w:val="auto"/>
          <w:sz w:val="32"/>
          <w:szCs w:val="32"/>
          <w:highlight w:val="none"/>
          <w:lang w:val="en-US" w:eastAsia="zh-CN"/>
        </w:rPr>
        <w:t>其中，9.066亩集体土地涉及应参加养老保障的被征地农民户数为24户，8.3295亩集体土地涉及被征地农村集体经济组织实行集体统一经营土地。</w:t>
      </w:r>
    </w:p>
    <w:p w14:paraId="4DF32900">
      <w:pPr>
        <w:pStyle w:val="16"/>
        <w:spacing w:line="560" w:lineRule="exact"/>
        <w:ind w:firstLine="640" w:firstLineChars="20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highlight w:val="none"/>
        </w:rPr>
        <w:t>三、征地社保费筹集。征地面积</w:t>
      </w:r>
      <w:r>
        <w:rPr>
          <w:rFonts w:hint="eastAsia" w:ascii="仿宋_GB2312" w:hAnsi="宋体" w:eastAsia="仿宋_GB2312" w:cs="宋体"/>
          <w:color w:val="000000"/>
          <w:kern w:val="0"/>
          <w:sz w:val="32"/>
          <w:szCs w:val="32"/>
          <w:lang w:val="en-US" w:eastAsia="zh-CN"/>
        </w:rPr>
        <w:t>17.3955</w:t>
      </w:r>
      <w:r>
        <w:rPr>
          <w:rFonts w:hint="eastAsia" w:ascii="仿宋_GB2312" w:hAnsi="宋体" w:eastAsia="仿宋_GB2312" w:cs="宋体"/>
          <w:color w:val="000000"/>
          <w:kern w:val="0"/>
          <w:sz w:val="32"/>
          <w:szCs w:val="32"/>
        </w:rPr>
        <w:t>亩，按全市平均每亩征收农用地区片综合地价2.8459万元的</w:t>
      </w:r>
      <w:r>
        <w:rPr>
          <w:rFonts w:hint="eastAsia" w:ascii="仿宋_GB2312" w:hAnsi="宋体" w:eastAsia="仿宋_GB2312" w:cs="宋体"/>
          <w:color w:val="000000"/>
          <w:kern w:val="0"/>
          <w:sz w:val="32"/>
          <w:szCs w:val="32"/>
          <w:highlight w:val="none"/>
        </w:rPr>
        <w:t>33%</w:t>
      </w:r>
      <w:r>
        <w:rPr>
          <w:rFonts w:hint="eastAsia" w:ascii="仿宋_GB2312" w:hAnsi="宋体" w:eastAsia="仿宋_GB2312" w:cs="宋体"/>
          <w:color w:val="000000"/>
          <w:kern w:val="0"/>
          <w:sz w:val="32"/>
          <w:szCs w:val="32"/>
          <w:highlight w:val="none"/>
          <w:lang w:val="en-US" w:eastAsia="zh-CN"/>
        </w:rPr>
        <w:t>比例</w:t>
      </w:r>
      <w:r>
        <w:rPr>
          <w:rFonts w:hint="eastAsia" w:ascii="仿宋_GB2312" w:hAnsi="宋体" w:eastAsia="仿宋_GB2312" w:cs="宋体"/>
          <w:color w:val="000000"/>
          <w:kern w:val="0"/>
          <w:sz w:val="32"/>
          <w:szCs w:val="32"/>
          <w:highlight w:val="none"/>
        </w:rPr>
        <w:t>计</w:t>
      </w:r>
      <w:r>
        <w:rPr>
          <w:rFonts w:hint="eastAsia" w:ascii="仿宋_GB2312" w:hAnsi="宋体" w:eastAsia="仿宋_GB2312" w:cs="宋体"/>
          <w:color w:val="000000"/>
          <w:kern w:val="0"/>
          <w:sz w:val="32"/>
          <w:szCs w:val="32"/>
        </w:rPr>
        <w:t>提征地社保费，即每征一亩地按0.94万元的标准计提征地社保费，需计提费用</w:t>
      </w:r>
      <w:r>
        <w:rPr>
          <w:rFonts w:hint="eastAsia" w:ascii="仿宋_GB2312" w:hAnsi="仿宋_GB2312" w:eastAsia="仿宋_GB2312" w:cs="仿宋_GB2312"/>
          <w:sz w:val="32"/>
          <w:szCs w:val="32"/>
          <w:lang w:val="en-US" w:eastAsia="zh-CN"/>
        </w:rPr>
        <w:t>16.35177</w:t>
      </w:r>
      <w:r>
        <w:rPr>
          <w:rFonts w:hint="eastAsia" w:ascii="仿宋_GB2312" w:hAnsi="宋体" w:eastAsia="仿宋_GB2312" w:cs="宋体"/>
          <w:color w:val="000000"/>
          <w:kern w:val="0"/>
          <w:sz w:val="32"/>
          <w:szCs w:val="32"/>
        </w:rPr>
        <w:t>万元。</w:t>
      </w:r>
    </w:p>
    <w:p w14:paraId="20210695">
      <w:pPr>
        <w:pStyle w:val="5"/>
        <w:keepNext w:val="0"/>
        <w:keepLines w:val="0"/>
        <w:pageBreakBefore w:val="0"/>
        <w:widowControl w:val="0"/>
        <w:kinsoku/>
        <w:wordWrap/>
        <w:overflowPunct/>
        <w:topLinePunct w:val="0"/>
        <w:autoSpaceDE/>
        <w:autoSpaceDN/>
        <w:bidi w:val="0"/>
        <w:adjustRightInd/>
        <w:snapToGrid/>
        <w:spacing w:before="60" w:line="560" w:lineRule="exact"/>
        <w:ind w:left="0" w:firstLine="5920" w:firstLineChars="1850"/>
        <w:jc w:val="left"/>
        <w:textAlignment w:val="auto"/>
        <w:rPr>
          <w:rFonts w:hint="eastAsia" w:ascii="仿宋_GB2312" w:hAnsi="仿宋_GB2312" w:eastAsia="仿宋_GB2312" w:cs="仿宋_GB2312"/>
          <w:kern w:val="2"/>
          <w:sz w:val="32"/>
          <w:szCs w:val="30"/>
          <w:highlight w:val="yellow"/>
          <w:lang w:val="en-US" w:eastAsia="zh-CN" w:bidi="ar-SA"/>
        </w:rPr>
        <w:sectPr>
          <w:pgSz w:w="11906" w:h="16838"/>
          <w:pgMar w:top="2098" w:right="1474" w:bottom="1984" w:left="1587" w:header="851" w:footer="992" w:gutter="0"/>
          <w:cols w:space="425" w:num="1"/>
          <w:docGrid w:type="lines" w:linePitch="312" w:charSpace="0"/>
        </w:sectPr>
      </w:pPr>
    </w:p>
    <w:p w14:paraId="6FC77F8B">
      <w:pPr>
        <w:pStyle w:val="5"/>
        <w:keepNext w:val="0"/>
        <w:keepLines w:val="0"/>
        <w:pageBreakBefore w:val="0"/>
        <w:widowControl w:val="0"/>
        <w:kinsoku/>
        <w:wordWrap/>
        <w:overflowPunct/>
        <w:topLinePunct w:val="0"/>
        <w:autoSpaceDE/>
        <w:autoSpaceDN/>
        <w:bidi w:val="0"/>
        <w:adjustRightInd/>
        <w:snapToGrid/>
        <w:spacing w:before="60" w:line="240" w:lineRule="auto"/>
        <w:jc w:val="center"/>
        <w:textAlignment w:val="auto"/>
        <w:rPr>
          <w:rFonts w:hint="eastAsia" w:ascii="仿宋_GB2312" w:hAnsi="仿宋_GB2312" w:eastAsia="仿宋_GB2312" w:cs="仿宋_GB2312"/>
          <w:kern w:val="2"/>
          <w:sz w:val="32"/>
          <w:szCs w:val="30"/>
          <w:highlight w:val="yellow"/>
          <w:lang w:val="en-US" w:eastAsia="zh-CN" w:bidi="ar-SA"/>
        </w:rPr>
      </w:pPr>
      <w:r>
        <w:rPr>
          <w:rFonts w:hint="eastAsia" w:ascii="仿宋_GB2312" w:hAnsi="仿宋_GB2312" w:eastAsia="仿宋_GB2312" w:cs="仿宋_GB2312"/>
          <w:kern w:val="2"/>
          <w:sz w:val="32"/>
          <w:szCs w:val="30"/>
          <w:highlight w:val="none"/>
          <w:lang w:val="en-US" w:eastAsia="zh-CN" w:bidi="ar-SA"/>
        </w:rPr>
        <w:drawing>
          <wp:inline distT="0" distB="0" distL="114300" distR="114300">
            <wp:extent cx="7326630" cy="10360660"/>
            <wp:effectExtent l="0" t="0" r="7620" b="2540"/>
            <wp:docPr id="1" name="图片 1" descr="附件3：韶关市武江区2024年度第六批次城镇建设用地项目征收集体土地示意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3：韶关市武江区2024年度第六批次城镇建设用地项目征收集体土地示意图_01"/>
                    <pic:cNvPicPr>
                      <a:picLocks noChangeAspect="1"/>
                    </pic:cNvPicPr>
                  </pic:nvPicPr>
                  <pic:blipFill>
                    <a:blip r:embed="rId5"/>
                    <a:stretch>
                      <a:fillRect/>
                    </a:stretch>
                  </pic:blipFill>
                  <pic:spPr>
                    <a:xfrm>
                      <a:off x="0" y="0"/>
                      <a:ext cx="7326630" cy="10360660"/>
                    </a:xfrm>
                    <a:prstGeom prst="rect">
                      <a:avLst/>
                    </a:prstGeom>
                  </pic:spPr>
                </pic:pic>
              </a:graphicData>
            </a:graphic>
          </wp:inline>
        </w:drawing>
      </w:r>
    </w:p>
    <w:sectPr>
      <w:pgSz w:w="11906" w:h="16838"/>
      <w:pgMar w:top="113" w:right="113" w:bottom="113" w:left="11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9F7906B-0178-4073-9E1F-87D60932C59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87785151-BC2E-4126-BA8F-08A0EFF2C9FF}"/>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06D91217-FAF2-4858-986D-B22672326503}"/>
  </w:font>
  <w:font w:name="楷体_GB2312">
    <w:panose1 w:val="02010609030101010101"/>
    <w:charset w:val="86"/>
    <w:family w:val="auto"/>
    <w:pitch w:val="default"/>
    <w:sig w:usb0="00000001" w:usb1="080E0000" w:usb2="00000000" w:usb3="00000000" w:csb0="00040000" w:csb1="00000000"/>
    <w:embedRegular r:id="rId4" w:fontKey="{0AC524BC-680B-44FC-9986-56262DA98BFA}"/>
  </w:font>
  <w:font w:name="方正仿宋_GB2312">
    <w:altName w:val="仿宋"/>
    <w:panose1 w:val="02000000000000000000"/>
    <w:charset w:val="86"/>
    <w:family w:val="auto"/>
    <w:pitch w:val="default"/>
    <w:sig w:usb0="00000000" w:usb1="00000000" w:usb2="00000012" w:usb3="00000000" w:csb0="00040001" w:csb1="00000000"/>
    <w:embedRegular r:id="rId5" w:fontKey="{FCEA91B5-2823-49DF-B2E2-A8531FE7F5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B2099">
    <w:pPr>
      <w:spacing w:line="184" w:lineRule="auto"/>
      <w:ind w:left="4167"/>
      <w:rPr>
        <w:rFonts w:ascii="Times New Roman" w:hAnsi="Times New Roman" w:eastAsia="Times New Roman" w:cs="Times New Roman"/>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E99A29"/>
    <w:multiLevelType w:val="singleLevel"/>
    <w:tmpl w:val="C2E99A29"/>
    <w:lvl w:ilvl="0" w:tentative="0">
      <w:start w:val="2"/>
      <w:numFmt w:val="chineseCounting"/>
      <w:suff w:val="nothing"/>
      <w:lvlText w:val="（%1）"/>
      <w:lvlJc w:val="left"/>
      <w:pPr>
        <w:ind w:left="-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jYjEwMWJhODBjOTM0MWNmZDlhMWU4ZTEyOTdiODIifQ=="/>
  </w:docVars>
  <w:rsids>
    <w:rsidRoot w:val="0058179F"/>
    <w:rsid w:val="0000049B"/>
    <w:rsid w:val="00004220"/>
    <w:rsid w:val="00017F5F"/>
    <w:rsid w:val="00050C21"/>
    <w:rsid w:val="000513CC"/>
    <w:rsid w:val="00051E70"/>
    <w:rsid w:val="00056040"/>
    <w:rsid w:val="00063FD9"/>
    <w:rsid w:val="00064564"/>
    <w:rsid w:val="000669C8"/>
    <w:rsid w:val="000670AF"/>
    <w:rsid w:val="000679C6"/>
    <w:rsid w:val="000704FB"/>
    <w:rsid w:val="0007274E"/>
    <w:rsid w:val="000A0BD2"/>
    <w:rsid w:val="000A2337"/>
    <w:rsid w:val="000A2637"/>
    <w:rsid w:val="000A33DA"/>
    <w:rsid w:val="000A49A3"/>
    <w:rsid w:val="000C2326"/>
    <w:rsid w:val="000C3C30"/>
    <w:rsid w:val="000C405C"/>
    <w:rsid w:val="000C48E2"/>
    <w:rsid w:val="000C60EF"/>
    <w:rsid w:val="000D5067"/>
    <w:rsid w:val="000E1560"/>
    <w:rsid w:val="000E2A27"/>
    <w:rsid w:val="000F09CE"/>
    <w:rsid w:val="000F105B"/>
    <w:rsid w:val="000F22F7"/>
    <w:rsid w:val="0010085B"/>
    <w:rsid w:val="00115FFF"/>
    <w:rsid w:val="001172C3"/>
    <w:rsid w:val="00142766"/>
    <w:rsid w:val="0014753C"/>
    <w:rsid w:val="0015274B"/>
    <w:rsid w:val="00155A17"/>
    <w:rsid w:val="0015628B"/>
    <w:rsid w:val="001649D2"/>
    <w:rsid w:val="001726A1"/>
    <w:rsid w:val="001765AC"/>
    <w:rsid w:val="0017701F"/>
    <w:rsid w:val="0018478A"/>
    <w:rsid w:val="00184D54"/>
    <w:rsid w:val="001871F5"/>
    <w:rsid w:val="00192AF1"/>
    <w:rsid w:val="001963D4"/>
    <w:rsid w:val="001A12C5"/>
    <w:rsid w:val="001A328F"/>
    <w:rsid w:val="001A657F"/>
    <w:rsid w:val="001B2D16"/>
    <w:rsid w:val="001C22C8"/>
    <w:rsid w:val="001C386E"/>
    <w:rsid w:val="001C79DC"/>
    <w:rsid w:val="001D19BD"/>
    <w:rsid w:val="001D4AE9"/>
    <w:rsid w:val="001E0A3F"/>
    <w:rsid w:val="001E36B2"/>
    <w:rsid w:val="001F186D"/>
    <w:rsid w:val="001F7D39"/>
    <w:rsid w:val="00204B75"/>
    <w:rsid w:val="00207369"/>
    <w:rsid w:val="002075A7"/>
    <w:rsid w:val="00213F55"/>
    <w:rsid w:val="00215544"/>
    <w:rsid w:val="0022121F"/>
    <w:rsid w:val="00224512"/>
    <w:rsid w:val="002261D1"/>
    <w:rsid w:val="00232167"/>
    <w:rsid w:val="00235DE7"/>
    <w:rsid w:val="002418DC"/>
    <w:rsid w:val="0025080D"/>
    <w:rsid w:val="002578F2"/>
    <w:rsid w:val="00260F9E"/>
    <w:rsid w:val="0026374C"/>
    <w:rsid w:val="00274C16"/>
    <w:rsid w:val="00275DAD"/>
    <w:rsid w:val="0027617F"/>
    <w:rsid w:val="00282981"/>
    <w:rsid w:val="00283A4C"/>
    <w:rsid w:val="00283E20"/>
    <w:rsid w:val="002851BF"/>
    <w:rsid w:val="00286B00"/>
    <w:rsid w:val="002874D6"/>
    <w:rsid w:val="002904C6"/>
    <w:rsid w:val="00290C62"/>
    <w:rsid w:val="00294052"/>
    <w:rsid w:val="00295605"/>
    <w:rsid w:val="002A7313"/>
    <w:rsid w:val="002B6CB8"/>
    <w:rsid w:val="002C0200"/>
    <w:rsid w:val="002C6857"/>
    <w:rsid w:val="002D71C9"/>
    <w:rsid w:val="002E0C97"/>
    <w:rsid w:val="002E3D55"/>
    <w:rsid w:val="00300CE3"/>
    <w:rsid w:val="00303497"/>
    <w:rsid w:val="00322E8F"/>
    <w:rsid w:val="003253A1"/>
    <w:rsid w:val="00330DCC"/>
    <w:rsid w:val="003348E2"/>
    <w:rsid w:val="00341480"/>
    <w:rsid w:val="003432C5"/>
    <w:rsid w:val="00350A18"/>
    <w:rsid w:val="00364127"/>
    <w:rsid w:val="00365BF0"/>
    <w:rsid w:val="00367680"/>
    <w:rsid w:val="00371DF7"/>
    <w:rsid w:val="0039071D"/>
    <w:rsid w:val="00392294"/>
    <w:rsid w:val="003923CE"/>
    <w:rsid w:val="003951A4"/>
    <w:rsid w:val="003A4F61"/>
    <w:rsid w:val="003A573C"/>
    <w:rsid w:val="003A5E03"/>
    <w:rsid w:val="003A75FE"/>
    <w:rsid w:val="003B08D9"/>
    <w:rsid w:val="003B2A82"/>
    <w:rsid w:val="003B41BD"/>
    <w:rsid w:val="003C1D4C"/>
    <w:rsid w:val="003C66C8"/>
    <w:rsid w:val="003C6726"/>
    <w:rsid w:val="003C7BB9"/>
    <w:rsid w:val="003D27DF"/>
    <w:rsid w:val="003D2D77"/>
    <w:rsid w:val="003D5DE5"/>
    <w:rsid w:val="003D5E1E"/>
    <w:rsid w:val="003E317F"/>
    <w:rsid w:val="003F4892"/>
    <w:rsid w:val="003F568C"/>
    <w:rsid w:val="0040556A"/>
    <w:rsid w:val="00406E14"/>
    <w:rsid w:val="00407821"/>
    <w:rsid w:val="004105F8"/>
    <w:rsid w:val="00431D57"/>
    <w:rsid w:val="00436CCF"/>
    <w:rsid w:val="00445058"/>
    <w:rsid w:val="0044697F"/>
    <w:rsid w:val="00447FAE"/>
    <w:rsid w:val="00450A5E"/>
    <w:rsid w:val="004529EF"/>
    <w:rsid w:val="00454B2A"/>
    <w:rsid w:val="00455E72"/>
    <w:rsid w:val="0045645B"/>
    <w:rsid w:val="004622D9"/>
    <w:rsid w:val="00462D35"/>
    <w:rsid w:val="00466C25"/>
    <w:rsid w:val="00467F1F"/>
    <w:rsid w:val="004735E7"/>
    <w:rsid w:val="0047482D"/>
    <w:rsid w:val="00477C6B"/>
    <w:rsid w:val="00484FAF"/>
    <w:rsid w:val="00487732"/>
    <w:rsid w:val="00490828"/>
    <w:rsid w:val="0049116F"/>
    <w:rsid w:val="0049490F"/>
    <w:rsid w:val="0049650A"/>
    <w:rsid w:val="00496914"/>
    <w:rsid w:val="004A6125"/>
    <w:rsid w:val="004C730B"/>
    <w:rsid w:val="004D61D3"/>
    <w:rsid w:val="004E1163"/>
    <w:rsid w:val="004E19FF"/>
    <w:rsid w:val="004E6BA9"/>
    <w:rsid w:val="004F4C53"/>
    <w:rsid w:val="004F4E96"/>
    <w:rsid w:val="004F6A2B"/>
    <w:rsid w:val="005029A0"/>
    <w:rsid w:val="00507FE3"/>
    <w:rsid w:val="00510B6F"/>
    <w:rsid w:val="00511D77"/>
    <w:rsid w:val="00512929"/>
    <w:rsid w:val="0052247D"/>
    <w:rsid w:val="00524172"/>
    <w:rsid w:val="00526C58"/>
    <w:rsid w:val="005352FD"/>
    <w:rsid w:val="00535567"/>
    <w:rsid w:val="00541240"/>
    <w:rsid w:val="00542E83"/>
    <w:rsid w:val="005430BC"/>
    <w:rsid w:val="00546661"/>
    <w:rsid w:val="0055401F"/>
    <w:rsid w:val="00555ED1"/>
    <w:rsid w:val="00562089"/>
    <w:rsid w:val="00564B39"/>
    <w:rsid w:val="005702B6"/>
    <w:rsid w:val="00576E58"/>
    <w:rsid w:val="005803A0"/>
    <w:rsid w:val="0058179F"/>
    <w:rsid w:val="005817A8"/>
    <w:rsid w:val="00590C67"/>
    <w:rsid w:val="005911AC"/>
    <w:rsid w:val="005A440E"/>
    <w:rsid w:val="005A7799"/>
    <w:rsid w:val="005B288E"/>
    <w:rsid w:val="005B5C31"/>
    <w:rsid w:val="005C1D69"/>
    <w:rsid w:val="005C32F8"/>
    <w:rsid w:val="005C4491"/>
    <w:rsid w:val="005D36B9"/>
    <w:rsid w:val="005E2BFA"/>
    <w:rsid w:val="005E5544"/>
    <w:rsid w:val="005E726A"/>
    <w:rsid w:val="005F35D3"/>
    <w:rsid w:val="00603C2C"/>
    <w:rsid w:val="00631D27"/>
    <w:rsid w:val="006349A5"/>
    <w:rsid w:val="006371F1"/>
    <w:rsid w:val="00640B08"/>
    <w:rsid w:val="0064133E"/>
    <w:rsid w:val="006417EA"/>
    <w:rsid w:val="00643890"/>
    <w:rsid w:val="00645FC0"/>
    <w:rsid w:val="0065522D"/>
    <w:rsid w:val="006557A8"/>
    <w:rsid w:val="006651C9"/>
    <w:rsid w:val="00673154"/>
    <w:rsid w:val="00693B84"/>
    <w:rsid w:val="00695088"/>
    <w:rsid w:val="006A2E2E"/>
    <w:rsid w:val="006B0780"/>
    <w:rsid w:val="006B0B4E"/>
    <w:rsid w:val="006B0D25"/>
    <w:rsid w:val="006B2462"/>
    <w:rsid w:val="006B2BAA"/>
    <w:rsid w:val="006B56B5"/>
    <w:rsid w:val="006B6F47"/>
    <w:rsid w:val="006C0CE8"/>
    <w:rsid w:val="006C3348"/>
    <w:rsid w:val="006C7E65"/>
    <w:rsid w:val="006D118D"/>
    <w:rsid w:val="006D3893"/>
    <w:rsid w:val="006D4FFA"/>
    <w:rsid w:val="006E3180"/>
    <w:rsid w:val="006F03F7"/>
    <w:rsid w:val="006F1779"/>
    <w:rsid w:val="006F2F7E"/>
    <w:rsid w:val="006F707D"/>
    <w:rsid w:val="007059EA"/>
    <w:rsid w:val="00705D02"/>
    <w:rsid w:val="007121F5"/>
    <w:rsid w:val="00720CAA"/>
    <w:rsid w:val="00721F6E"/>
    <w:rsid w:val="00722396"/>
    <w:rsid w:val="00726ED5"/>
    <w:rsid w:val="00727F0C"/>
    <w:rsid w:val="007329AD"/>
    <w:rsid w:val="00734CAD"/>
    <w:rsid w:val="007361C4"/>
    <w:rsid w:val="007412C3"/>
    <w:rsid w:val="00742027"/>
    <w:rsid w:val="00744409"/>
    <w:rsid w:val="00755FCD"/>
    <w:rsid w:val="00764082"/>
    <w:rsid w:val="00781B2F"/>
    <w:rsid w:val="00784863"/>
    <w:rsid w:val="007900DA"/>
    <w:rsid w:val="007953BE"/>
    <w:rsid w:val="00795B1F"/>
    <w:rsid w:val="007A1DD2"/>
    <w:rsid w:val="007A6470"/>
    <w:rsid w:val="007B0C54"/>
    <w:rsid w:val="007B1FB0"/>
    <w:rsid w:val="007B4251"/>
    <w:rsid w:val="007B6E40"/>
    <w:rsid w:val="007C43CA"/>
    <w:rsid w:val="007C6295"/>
    <w:rsid w:val="007D0197"/>
    <w:rsid w:val="007D2908"/>
    <w:rsid w:val="007D36FA"/>
    <w:rsid w:val="007D4AAD"/>
    <w:rsid w:val="007D4E58"/>
    <w:rsid w:val="007D604E"/>
    <w:rsid w:val="007D6ED3"/>
    <w:rsid w:val="007D7216"/>
    <w:rsid w:val="007E4D30"/>
    <w:rsid w:val="007E754B"/>
    <w:rsid w:val="007F7DFE"/>
    <w:rsid w:val="008002CF"/>
    <w:rsid w:val="00800F37"/>
    <w:rsid w:val="00802377"/>
    <w:rsid w:val="00803611"/>
    <w:rsid w:val="00823F64"/>
    <w:rsid w:val="0084057D"/>
    <w:rsid w:val="008467FF"/>
    <w:rsid w:val="00846C85"/>
    <w:rsid w:val="00852C8E"/>
    <w:rsid w:val="00856ECA"/>
    <w:rsid w:val="00865F98"/>
    <w:rsid w:val="008704C1"/>
    <w:rsid w:val="00872759"/>
    <w:rsid w:val="00877000"/>
    <w:rsid w:val="00884035"/>
    <w:rsid w:val="008876B3"/>
    <w:rsid w:val="008A0914"/>
    <w:rsid w:val="008A22E8"/>
    <w:rsid w:val="008A278D"/>
    <w:rsid w:val="008A2A7B"/>
    <w:rsid w:val="008A48B2"/>
    <w:rsid w:val="008B3D22"/>
    <w:rsid w:val="008B5906"/>
    <w:rsid w:val="008B742D"/>
    <w:rsid w:val="008C1D9C"/>
    <w:rsid w:val="008D347E"/>
    <w:rsid w:val="008D5E16"/>
    <w:rsid w:val="008D70C2"/>
    <w:rsid w:val="008E0D1C"/>
    <w:rsid w:val="008F1187"/>
    <w:rsid w:val="008F49D9"/>
    <w:rsid w:val="008F5372"/>
    <w:rsid w:val="008F6F4F"/>
    <w:rsid w:val="008F7761"/>
    <w:rsid w:val="0090307F"/>
    <w:rsid w:val="00915D36"/>
    <w:rsid w:val="0091616F"/>
    <w:rsid w:val="00917D49"/>
    <w:rsid w:val="00924E5A"/>
    <w:rsid w:val="009262CD"/>
    <w:rsid w:val="00930399"/>
    <w:rsid w:val="00935CBC"/>
    <w:rsid w:val="00950ED2"/>
    <w:rsid w:val="00955706"/>
    <w:rsid w:val="00957044"/>
    <w:rsid w:val="00965092"/>
    <w:rsid w:val="00972CD8"/>
    <w:rsid w:val="0097378E"/>
    <w:rsid w:val="00985C41"/>
    <w:rsid w:val="0098734E"/>
    <w:rsid w:val="00990E17"/>
    <w:rsid w:val="00992A82"/>
    <w:rsid w:val="00996885"/>
    <w:rsid w:val="009A1FFB"/>
    <w:rsid w:val="009A338A"/>
    <w:rsid w:val="009A5228"/>
    <w:rsid w:val="009B166E"/>
    <w:rsid w:val="009D16F5"/>
    <w:rsid w:val="009E195B"/>
    <w:rsid w:val="009E1B72"/>
    <w:rsid w:val="009E7A25"/>
    <w:rsid w:val="009F7414"/>
    <w:rsid w:val="009F7693"/>
    <w:rsid w:val="00A01486"/>
    <w:rsid w:val="00A10E03"/>
    <w:rsid w:val="00A110C6"/>
    <w:rsid w:val="00A15D09"/>
    <w:rsid w:val="00A21FB9"/>
    <w:rsid w:val="00A23D92"/>
    <w:rsid w:val="00A24941"/>
    <w:rsid w:val="00A43BA9"/>
    <w:rsid w:val="00A44CE0"/>
    <w:rsid w:val="00A52BED"/>
    <w:rsid w:val="00A546FA"/>
    <w:rsid w:val="00A65E37"/>
    <w:rsid w:val="00A717EF"/>
    <w:rsid w:val="00A7367D"/>
    <w:rsid w:val="00A75A1D"/>
    <w:rsid w:val="00AA282E"/>
    <w:rsid w:val="00AA36E2"/>
    <w:rsid w:val="00AA41EB"/>
    <w:rsid w:val="00AA68FA"/>
    <w:rsid w:val="00AA7752"/>
    <w:rsid w:val="00AB54DF"/>
    <w:rsid w:val="00AB5FD6"/>
    <w:rsid w:val="00AC0E46"/>
    <w:rsid w:val="00AD15D1"/>
    <w:rsid w:val="00AD2A2D"/>
    <w:rsid w:val="00AD5F89"/>
    <w:rsid w:val="00AD62FF"/>
    <w:rsid w:val="00AD7FFA"/>
    <w:rsid w:val="00AE15F2"/>
    <w:rsid w:val="00AE50DF"/>
    <w:rsid w:val="00AF3158"/>
    <w:rsid w:val="00AF35E9"/>
    <w:rsid w:val="00AF7B25"/>
    <w:rsid w:val="00B0382C"/>
    <w:rsid w:val="00B160B3"/>
    <w:rsid w:val="00B25982"/>
    <w:rsid w:val="00B319C9"/>
    <w:rsid w:val="00B34033"/>
    <w:rsid w:val="00B4064A"/>
    <w:rsid w:val="00B41F57"/>
    <w:rsid w:val="00B46358"/>
    <w:rsid w:val="00B4759B"/>
    <w:rsid w:val="00B52F2F"/>
    <w:rsid w:val="00B56A16"/>
    <w:rsid w:val="00B6021D"/>
    <w:rsid w:val="00B6296D"/>
    <w:rsid w:val="00B6736E"/>
    <w:rsid w:val="00B70509"/>
    <w:rsid w:val="00B70706"/>
    <w:rsid w:val="00B72E04"/>
    <w:rsid w:val="00B7319C"/>
    <w:rsid w:val="00B8295C"/>
    <w:rsid w:val="00B878AC"/>
    <w:rsid w:val="00B87FE1"/>
    <w:rsid w:val="00B95835"/>
    <w:rsid w:val="00B97518"/>
    <w:rsid w:val="00B97630"/>
    <w:rsid w:val="00BA5627"/>
    <w:rsid w:val="00BA7D99"/>
    <w:rsid w:val="00BB0E8A"/>
    <w:rsid w:val="00BC19B6"/>
    <w:rsid w:val="00BC4386"/>
    <w:rsid w:val="00BC7BB3"/>
    <w:rsid w:val="00BE1F53"/>
    <w:rsid w:val="00BE6569"/>
    <w:rsid w:val="00BF1668"/>
    <w:rsid w:val="00BF7217"/>
    <w:rsid w:val="00BF7551"/>
    <w:rsid w:val="00C05FB1"/>
    <w:rsid w:val="00C12647"/>
    <w:rsid w:val="00C15F3F"/>
    <w:rsid w:val="00C23BEB"/>
    <w:rsid w:val="00C37565"/>
    <w:rsid w:val="00C41EB2"/>
    <w:rsid w:val="00C46173"/>
    <w:rsid w:val="00C509E7"/>
    <w:rsid w:val="00C5290C"/>
    <w:rsid w:val="00C5519B"/>
    <w:rsid w:val="00C609CE"/>
    <w:rsid w:val="00C64DFF"/>
    <w:rsid w:val="00C702A9"/>
    <w:rsid w:val="00C83492"/>
    <w:rsid w:val="00C85381"/>
    <w:rsid w:val="00C9340A"/>
    <w:rsid w:val="00C95B9B"/>
    <w:rsid w:val="00C96D3C"/>
    <w:rsid w:val="00CA004D"/>
    <w:rsid w:val="00CA0E1D"/>
    <w:rsid w:val="00CB5A37"/>
    <w:rsid w:val="00CD0592"/>
    <w:rsid w:val="00CD0C18"/>
    <w:rsid w:val="00CD1771"/>
    <w:rsid w:val="00CD3B73"/>
    <w:rsid w:val="00CD4799"/>
    <w:rsid w:val="00CD6F91"/>
    <w:rsid w:val="00CE13FB"/>
    <w:rsid w:val="00CE25DC"/>
    <w:rsid w:val="00CE4B14"/>
    <w:rsid w:val="00CE668D"/>
    <w:rsid w:val="00CF4EAB"/>
    <w:rsid w:val="00CF541A"/>
    <w:rsid w:val="00D037B1"/>
    <w:rsid w:val="00D061FA"/>
    <w:rsid w:val="00D07D24"/>
    <w:rsid w:val="00D1291C"/>
    <w:rsid w:val="00D12E9E"/>
    <w:rsid w:val="00D133CC"/>
    <w:rsid w:val="00D16D69"/>
    <w:rsid w:val="00D16FAF"/>
    <w:rsid w:val="00D22A06"/>
    <w:rsid w:val="00D241F9"/>
    <w:rsid w:val="00D261A8"/>
    <w:rsid w:val="00D269C2"/>
    <w:rsid w:val="00D3238A"/>
    <w:rsid w:val="00D33093"/>
    <w:rsid w:val="00D34895"/>
    <w:rsid w:val="00D348D1"/>
    <w:rsid w:val="00D37FCB"/>
    <w:rsid w:val="00D42D21"/>
    <w:rsid w:val="00D438AC"/>
    <w:rsid w:val="00D45CE8"/>
    <w:rsid w:val="00D5652F"/>
    <w:rsid w:val="00D60412"/>
    <w:rsid w:val="00D706CB"/>
    <w:rsid w:val="00D73A22"/>
    <w:rsid w:val="00D77E3E"/>
    <w:rsid w:val="00D80AA6"/>
    <w:rsid w:val="00D815A2"/>
    <w:rsid w:val="00D81F79"/>
    <w:rsid w:val="00D8593C"/>
    <w:rsid w:val="00D909CA"/>
    <w:rsid w:val="00D95ECB"/>
    <w:rsid w:val="00DA16FC"/>
    <w:rsid w:val="00DA47A6"/>
    <w:rsid w:val="00DC4D80"/>
    <w:rsid w:val="00DD59B9"/>
    <w:rsid w:val="00DE0D29"/>
    <w:rsid w:val="00DE4C46"/>
    <w:rsid w:val="00DF6F1A"/>
    <w:rsid w:val="00E00E8E"/>
    <w:rsid w:val="00E03E59"/>
    <w:rsid w:val="00E12A48"/>
    <w:rsid w:val="00E13C3F"/>
    <w:rsid w:val="00E15937"/>
    <w:rsid w:val="00E15EF2"/>
    <w:rsid w:val="00E15F81"/>
    <w:rsid w:val="00E237FA"/>
    <w:rsid w:val="00E25D37"/>
    <w:rsid w:val="00E36034"/>
    <w:rsid w:val="00E41240"/>
    <w:rsid w:val="00E46035"/>
    <w:rsid w:val="00E4614B"/>
    <w:rsid w:val="00E53C6D"/>
    <w:rsid w:val="00E5597C"/>
    <w:rsid w:val="00E56451"/>
    <w:rsid w:val="00E56523"/>
    <w:rsid w:val="00E56B9F"/>
    <w:rsid w:val="00E630A7"/>
    <w:rsid w:val="00E72440"/>
    <w:rsid w:val="00E73C9B"/>
    <w:rsid w:val="00E84606"/>
    <w:rsid w:val="00E853DC"/>
    <w:rsid w:val="00E85405"/>
    <w:rsid w:val="00E857A2"/>
    <w:rsid w:val="00E87C60"/>
    <w:rsid w:val="00EA25E8"/>
    <w:rsid w:val="00EA3CEB"/>
    <w:rsid w:val="00EB13B3"/>
    <w:rsid w:val="00EC15C6"/>
    <w:rsid w:val="00EC346D"/>
    <w:rsid w:val="00EC5585"/>
    <w:rsid w:val="00EC57FE"/>
    <w:rsid w:val="00EC6542"/>
    <w:rsid w:val="00ED1A64"/>
    <w:rsid w:val="00ED2C4A"/>
    <w:rsid w:val="00ED49C6"/>
    <w:rsid w:val="00EE0F1C"/>
    <w:rsid w:val="00EE4014"/>
    <w:rsid w:val="00EF050F"/>
    <w:rsid w:val="00EF4244"/>
    <w:rsid w:val="00EF45D7"/>
    <w:rsid w:val="00EF5464"/>
    <w:rsid w:val="00EF7A3C"/>
    <w:rsid w:val="00F03820"/>
    <w:rsid w:val="00F106A6"/>
    <w:rsid w:val="00F21747"/>
    <w:rsid w:val="00F22A9A"/>
    <w:rsid w:val="00F22CD4"/>
    <w:rsid w:val="00F30707"/>
    <w:rsid w:val="00F3560A"/>
    <w:rsid w:val="00F61AAE"/>
    <w:rsid w:val="00F62BA0"/>
    <w:rsid w:val="00F66B63"/>
    <w:rsid w:val="00F723FB"/>
    <w:rsid w:val="00F7500D"/>
    <w:rsid w:val="00F84E37"/>
    <w:rsid w:val="00F851A3"/>
    <w:rsid w:val="00F918BC"/>
    <w:rsid w:val="00F94233"/>
    <w:rsid w:val="00F946B2"/>
    <w:rsid w:val="00FB4B97"/>
    <w:rsid w:val="00FB696C"/>
    <w:rsid w:val="00FC2B27"/>
    <w:rsid w:val="00FC2CD3"/>
    <w:rsid w:val="00FC2FB1"/>
    <w:rsid w:val="00FC4559"/>
    <w:rsid w:val="00FC49C8"/>
    <w:rsid w:val="00FC5ACE"/>
    <w:rsid w:val="00FC5BF8"/>
    <w:rsid w:val="00FD2A43"/>
    <w:rsid w:val="00FD63AA"/>
    <w:rsid w:val="00FE2EB0"/>
    <w:rsid w:val="00FE426E"/>
    <w:rsid w:val="00FE7874"/>
    <w:rsid w:val="00FF1740"/>
    <w:rsid w:val="00FF70F1"/>
    <w:rsid w:val="01A054C0"/>
    <w:rsid w:val="02477318"/>
    <w:rsid w:val="02A056CD"/>
    <w:rsid w:val="02FA63BF"/>
    <w:rsid w:val="030B2A3C"/>
    <w:rsid w:val="037D62A1"/>
    <w:rsid w:val="038878FD"/>
    <w:rsid w:val="049D3B67"/>
    <w:rsid w:val="050C7680"/>
    <w:rsid w:val="05E7509A"/>
    <w:rsid w:val="06513A19"/>
    <w:rsid w:val="06624AD0"/>
    <w:rsid w:val="06810AEE"/>
    <w:rsid w:val="07377D36"/>
    <w:rsid w:val="077C7A64"/>
    <w:rsid w:val="08840F90"/>
    <w:rsid w:val="089B6610"/>
    <w:rsid w:val="093F51ED"/>
    <w:rsid w:val="094C7A05"/>
    <w:rsid w:val="0AC77248"/>
    <w:rsid w:val="0B425772"/>
    <w:rsid w:val="0B903ADE"/>
    <w:rsid w:val="0D3F097E"/>
    <w:rsid w:val="0D474458"/>
    <w:rsid w:val="0D96580F"/>
    <w:rsid w:val="0DA311C7"/>
    <w:rsid w:val="0DC53DA9"/>
    <w:rsid w:val="0ECA58F5"/>
    <w:rsid w:val="0F8C77B8"/>
    <w:rsid w:val="0F987405"/>
    <w:rsid w:val="10993435"/>
    <w:rsid w:val="10B22749"/>
    <w:rsid w:val="11810003"/>
    <w:rsid w:val="11B21219"/>
    <w:rsid w:val="12402926"/>
    <w:rsid w:val="13AE5449"/>
    <w:rsid w:val="14184FB8"/>
    <w:rsid w:val="14307D5E"/>
    <w:rsid w:val="14322531"/>
    <w:rsid w:val="14521E09"/>
    <w:rsid w:val="14C111AC"/>
    <w:rsid w:val="15787ABD"/>
    <w:rsid w:val="161A1F51"/>
    <w:rsid w:val="16225C7A"/>
    <w:rsid w:val="16244A10"/>
    <w:rsid w:val="162561E4"/>
    <w:rsid w:val="16262476"/>
    <w:rsid w:val="164D0F49"/>
    <w:rsid w:val="16C11FE2"/>
    <w:rsid w:val="16F07B27"/>
    <w:rsid w:val="174A1746"/>
    <w:rsid w:val="174F3CAB"/>
    <w:rsid w:val="17555762"/>
    <w:rsid w:val="17AA1863"/>
    <w:rsid w:val="17C44659"/>
    <w:rsid w:val="183C7A70"/>
    <w:rsid w:val="198A7DBF"/>
    <w:rsid w:val="19CC2CA2"/>
    <w:rsid w:val="1A167244"/>
    <w:rsid w:val="1AF570CE"/>
    <w:rsid w:val="1B1A1616"/>
    <w:rsid w:val="1B390CC2"/>
    <w:rsid w:val="1C2838BF"/>
    <w:rsid w:val="1C2D3410"/>
    <w:rsid w:val="1C2F5B12"/>
    <w:rsid w:val="1C8925AF"/>
    <w:rsid w:val="1C94166F"/>
    <w:rsid w:val="1CAB4C1C"/>
    <w:rsid w:val="1CD9027E"/>
    <w:rsid w:val="1D2247B2"/>
    <w:rsid w:val="1D3F7A96"/>
    <w:rsid w:val="1DB538A2"/>
    <w:rsid w:val="1E753277"/>
    <w:rsid w:val="1F8B5867"/>
    <w:rsid w:val="1F933745"/>
    <w:rsid w:val="1FB926E2"/>
    <w:rsid w:val="1FEA15B7"/>
    <w:rsid w:val="20560B41"/>
    <w:rsid w:val="20BF6EA1"/>
    <w:rsid w:val="20C8688F"/>
    <w:rsid w:val="20CA13E8"/>
    <w:rsid w:val="20FE187B"/>
    <w:rsid w:val="211F4637"/>
    <w:rsid w:val="225B1C3C"/>
    <w:rsid w:val="231150AD"/>
    <w:rsid w:val="23B7602E"/>
    <w:rsid w:val="23E868DE"/>
    <w:rsid w:val="242520DD"/>
    <w:rsid w:val="24615853"/>
    <w:rsid w:val="24A72CAA"/>
    <w:rsid w:val="24AC7A2A"/>
    <w:rsid w:val="25BC1C7D"/>
    <w:rsid w:val="25E57B7C"/>
    <w:rsid w:val="261F2C68"/>
    <w:rsid w:val="268472FD"/>
    <w:rsid w:val="26E77620"/>
    <w:rsid w:val="279555FC"/>
    <w:rsid w:val="27AB4FB3"/>
    <w:rsid w:val="27AD7D8F"/>
    <w:rsid w:val="27B801ED"/>
    <w:rsid w:val="28994CB9"/>
    <w:rsid w:val="292841E2"/>
    <w:rsid w:val="2AB84479"/>
    <w:rsid w:val="2B971F94"/>
    <w:rsid w:val="2BCC2C58"/>
    <w:rsid w:val="2BDB6BA0"/>
    <w:rsid w:val="2BF15601"/>
    <w:rsid w:val="2C3673D7"/>
    <w:rsid w:val="2CE62C60"/>
    <w:rsid w:val="2CEE6170"/>
    <w:rsid w:val="2D962D7E"/>
    <w:rsid w:val="2E10686F"/>
    <w:rsid w:val="2E9133DF"/>
    <w:rsid w:val="2EDA39A1"/>
    <w:rsid w:val="2EF277A0"/>
    <w:rsid w:val="2F204A56"/>
    <w:rsid w:val="2F2B176D"/>
    <w:rsid w:val="2F4327EB"/>
    <w:rsid w:val="2F631386"/>
    <w:rsid w:val="2F8C2155"/>
    <w:rsid w:val="2FC11C09"/>
    <w:rsid w:val="30325050"/>
    <w:rsid w:val="30435B6D"/>
    <w:rsid w:val="30711881"/>
    <w:rsid w:val="30C70618"/>
    <w:rsid w:val="30EB0AA7"/>
    <w:rsid w:val="31296060"/>
    <w:rsid w:val="314D62F2"/>
    <w:rsid w:val="31DC0937"/>
    <w:rsid w:val="329A6E6D"/>
    <w:rsid w:val="33D90661"/>
    <w:rsid w:val="34083D66"/>
    <w:rsid w:val="34A42225"/>
    <w:rsid w:val="34F37128"/>
    <w:rsid w:val="34F97E4B"/>
    <w:rsid w:val="354C43B6"/>
    <w:rsid w:val="355E6877"/>
    <w:rsid w:val="35F828FD"/>
    <w:rsid w:val="364F7F6E"/>
    <w:rsid w:val="36612E47"/>
    <w:rsid w:val="374F4EB7"/>
    <w:rsid w:val="37FB3803"/>
    <w:rsid w:val="38300377"/>
    <w:rsid w:val="38B7095F"/>
    <w:rsid w:val="390414E4"/>
    <w:rsid w:val="3C5F6A31"/>
    <w:rsid w:val="3CF33D49"/>
    <w:rsid w:val="3DBE085D"/>
    <w:rsid w:val="3DD3647A"/>
    <w:rsid w:val="3DEA1C65"/>
    <w:rsid w:val="3DEE6DAB"/>
    <w:rsid w:val="3E645298"/>
    <w:rsid w:val="3E7F113D"/>
    <w:rsid w:val="3EA10078"/>
    <w:rsid w:val="3EC15781"/>
    <w:rsid w:val="3F5647BA"/>
    <w:rsid w:val="3F745D86"/>
    <w:rsid w:val="3F921185"/>
    <w:rsid w:val="3FA35080"/>
    <w:rsid w:val="405A5364"/>
    <w:rsid w:val="40A46034"/>
    <w:rsid w:val="40C33A32"/>
    <w:rsid w:val="41ED183A"/>
    <w:rsid w:val="421F0E16"/>
    <w:rsid w:val="428F70CF"/>
    <w:rsid w:val="429554CB"/>
    <w:rsid w:val="43452E25"/>
    <w:rsid w:val="43E44B02"/>
    <w:rsid w:val="44834D15"/>
    <w:rsid w:val="451B1E7F"/>
    <w:rsid w:val="452644FF"/>
    <w:rsid w:val="454C49D5"/>
    <w:rsid w:val="455D3F07"/>
    <w:rsid w:val="45DB52B3"/>
    <w:rsid w:val="46B9770B"/>
    <w:rsid w:val="4706274A"/>
    <w:rsid w:val="470929D7"/>
    <w:rsid w:val="470E5D55"/>
    <w:rsid w:val="47990FCD"/>
    <w:rsid w:val="48677D12"/>
    <w:rsid w:val="490219FB"/>
    <w:rsid w:val="495C4A24"/>
    <w:rsid w:val="49C15353"/>
    <w:rsid w:val="49E7732E"/>
    <w:rsid w:val="4A402BB9"/>
    <w:rsid w:val="4A8148D0"/>
    <w:rsid w:val="4B11183E"/>
    <w:rsid w:val="4B895879"/>
    <w:rsid w:val="4BD5381A"/>
    <w:rsid w:val="4C043151"/>
    <w:rsid w:val="4C6C3744"/>
    <w:rsid w:val="4D560157"/>
    <w:rsid w:val="4E5C7FCC"/>
    <w:rsid w:val="4F13254C"/>
    <w:rsid w:val="4F2F280A"/>
    <w:rsid w:val="4F4023BF"/>
    <w:rsid w:val="4F454F34"/>
    <w:rsid w:val="4FD900D9"/>
    <w:rsid w:val="50B13272"/>
    <w:rsid w:val="50F87CEC"/>
    <w:rsid w:val="51902100"/>
    <w:rsid w:val="51BA1964"/>
    <w:rsid w:val="51D62AB4"/>
    <w:rsid w:val="530D7A74"/>
    <w:rsid w:val="53262E6D"/>
    <w:rsid w:val="54B1458C"/>
    <w:rsid w:val="54BE2A37"/>
    <w:rsid w:val="552B1A79"/>
    <w:rsid w:val="553700F3"/>
    <w:rsid w:val="553D1BAE"/>
    <w:rsid w:val="55BB2AD2"/>
    <w:rsid w:val="55E03E74"/>
    <w:rsid w:val="55EE5892"/>
    <w:rsid w:val="56574EF1"/>
    <w:rsid w:val="5693754E"/>
    <w:rsid w:val="569972B8"/>
    <w:rsid w:val="56A342F7"/>
    <w:rsid w:val="57117A69"/>
    <w:rsid w:val="57241F2D"/>
    <w:rsid w:val="573E3FD0"/>
    <w:rsid w:val="578D66F1"/>
    <w:rsid w:val="581B3CFC"/>
    <w:rsid w:val="58477A82"/>
    <w:rsid w:val="588B7C90"/>
    <w:rsid w:val="5919023C"/>
    <w:rsid w:val="593002F6"/>
    <w:rsid w:val="59590F80"/>
    <w:rsid w:val="5A521717"/>
    <w:rsid w:val="5ADB4098"/>
    <w:rsid w:val="5B5F2152"/>
    <w:rsid w:val="5C0A6F4C"/>
    <w:rsid w:val="5C6B60E0"/>
    <w:rsid w:val="5C8F13DB"/>
    <w:rsid w:val="5C9347A9"/>
    <w:rsid w:val="5C9F5913"/>
    <w:rsid w:val="5CA72002"/>
    <w:rsid w:val="5D0512A9"/>
    <w:rsid w:val="5D2C3AEB"/>
    <w:rsid w:val="5D584DCA"/>
    <w:rsid w:val="5DC131BE"/>
    <w:rsid w:val="5DD60DF1"/>
    <w:rsid w:val="5E247648"/>
    <w:rsid w:val="5EA94444"/>
    <w:rsid w:val="5F13572D"/>
    <w:rsid w:val="5F514DDE"/>
    <w:rsid w:val="5FBB4B3B"/>
    <w:rsid w:val="616404C2"/>
    <w:rsid w:val="626211FD"/>
    <w:rsid w:val="626E5E62"/>
    <w:rsid w:val="62E16CB0"/>
    <w:rsid w:val="63072608"/>
    <w:rsid w:val="634A5FCE"/>
    <w:rsid w:val="637F5A87"/>
    <w:rsid w:val="638E5D64"/>
    <w:rsid w:val="63972DD1"/>
    <w:rsid w:val="63C74D38"/>
    <w:rsid w:val="63CA119D"/>
    <w:rsid w:val="63F10007"/>
    <w:rsid w:val="64601415"/>
    <w:rsid w:val="64A73549"/>
    <w:rsid w:val="64B17479"/>
    <w:rsid w:val="65242442"/>
    <w:rsid w:val="660C57F8"/>
    <w:rsid w:val="6613430C"/>
    <w:rsid w:val="670F2C05"/>
    <w:rsid w:val="67580AC9"/>
    <w:rsid w:val="677A7351"/>
    <w:rsid w:val="67A23AF2"/>
    <w:rsid w:val="67F325A0"/>
    <w:rsid w:val="67FF7C80"/>
    <w:rsid w:val="686618F1"/>
    <w:rsid w:val="68A0427D"/>
    <w:rsid w:val="6906005F"/>
    <w:rsid w:val="69666AA9"/>
    <w:rsid w:val="6A211B81"/>
    <w:rsid w:val="6A383C54"/>
    <w:rsid w:val="6A4F1F02"/>
    <w:rsid w:val="6A9A0475"/>
    <w:rsid w:val="6AAF0A00"/>
    <w:rsid w:val="6AB75B07"/>
    <w:rsid w:val="6AFE019A"/>
    <w:rsid w:val="6B43739A"/>
    <w:rsid w:val="6B697849"/>
    <w:rsid w:val="6C67778E"/>
    <w:rsid w:val="6C9C13DC"/>
    <w:rsid w:val="6CB74F6C"/>
    <w:rsid w:val="6D090170"/>
    <w:rsid w:val="6D192AA9"/>
    <w:rsid w:val="6D2F09A4"/>
    <w:rsid w:val="6D7B0AB4"/>
    <w:rsid w:val="6ED9751C"/>
    <w:rsid w:val="6F4D268D"/>
    <w:rsid w:val="6F6124E5"/>
    <w:rsid w:val="6F83705A"/>
    <w:rsid w:val="701A4C7F"/>
    <w:rsid w:val="702E0D9C"/>
    <w:rsid w:val="711041C2"/>
    <w:rsid w:val="72001B41"/>
    <w:rsid w:val="720B77EF"/>
    <w:rsid w:val="727811A8"/>
    <w:rsid w:val="727C58E9"/>
    <w:rsid w:val="72BF1FCE"/>
    <w:rsid w:val="72F93D68"/>
    <w:rsid w:val="73070F3B"/>
    <w:rsid w:val="73212BF1"/>
    <w:rsid w:val="734E2D90"/>
    <w:rsid w:val="73644352"/>
    <w:rsid w:val="757C3EC1"/>
    <w:rsid w:val="762F50EB"/>
    <w:rsid w:val="76B37348"/>
    <w:rsid w:val="772671E3"/>
    <w:rsid w:val="7730111A"/>
    <w:rsid w:val="786852CE"/>
    <w:rsid w:val="79BC5455"/>
    <w:rsid w:val="79C31852"/>
    <w:rsid w:val="7A4778AC"/>
    <w:rsid w:val="7A8772A3"/>
    <w:rsid w:val="7AF94753"/>
    <w:rsid w:val="7B606636"/>
    <w:rsid w:val="7BB74513"/>
    <w:rsid w:val="7C6437F1"/>
    <w:rsid w:val="7C6F65ED"/>
    <w:rsid w:val="7CC36849"/>
    <w:rsid w:val="7CF57F09"/>
    <w:rsid w:val="7D201859"/>
    <w:rsid w:val="7DC14660"/>
    <w:rsid w:val="7DDB16B4"/>
    <w:rsid w:val="7E1E3EDD"/>
    <w:rsid w:val="7E3E236F"/>
    <w:rsid w:val="7E540852"/>
    <w:rsid w:val="BFBFDA95"/>
    <w:rsid w:val="F8A6B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99"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99"/>
    <w:pPr>
      <w:ind w:firstLine="420" w:firstLineChars="200"/>
    </w:pPr>
  </w:style>
  <w:style w:type="paragraph" w:styleId="4">
    <w:name w:val="annotation text"/>
    <w:basedOn w:val="1"/>
    <w:semiHidden/>
    <w:unhideWhenUsed/>
    <w:qFormat/>
    <w:uiPriority w:val="0"/>
    <w:pPr>
      <w:jc w:val="left"/>
    </w:pPr>
  </w:style>
  <w:style w:type="paragraph" w:styleId="5">
    <w:name w:val="Body Text"/>
    <w:basedOn w:val="1"/>
    <w:semiHidden/>
    <w:qFormat/>
    <w:uiPriority w:val="0"/>
    <w:rPr>
      <w:rFonts w:ascii="仿宋" w:hAnsi="仿宋" w:eastAsia="仿宋" w:cs="仿宋"/>
      <w:sz w:val="31"/>
      <w:szCs w:val="31"/>
      <w:lang w:val="en-US" w:eastAsia="en-US" w:bidi="ar-SA"/>
    </w:rPr>
  </w:style>
  <w:style w:type="paragraph" w:styleId="6">
    <w:name w:val="Balloon Text"/>
    <w:basedOn w:val="1"/>
    <w:link w:val="15"/>
    <w:qFormat/>
    <w:uiPriority w:val="0"/>
    <w:rPr>
      <w:sz w:val="18"/>
      <w:szCs w:val="18"/>
    </w:rPr>
  </w:style>
  <w:style w:type="paragraph" w:styleId="7">
    <w:name w:val="footer"/>
    <w:basedOn w:val="1"/>
    <w:link w:val="14"/>
    <w:qFormat/>
    <w:uiPriority w:val="0"/>
    <w:pPr>
      <w:tabs>
        <w:tab w:val="center" w:pos="4153"/>
        <w:tab w:val="right" w:pos="8306"/>
      </w:tabs>
      <w:snapToGrid w:val="0"/>
      <w:jc w:val="left"/>
    </w:pPr>
    <w:rPr>
      <w:sz w:val="18"/>
      <w:szCs w:val="18"/>
    </w:rPr>
  </w:style>
  <w:style w:type="paragraph" w:styleId="8">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页眉 字符"/>
    <w:link w:val="8"/>
    <w:qFormat/>
    <w:uiPriority w:val="0"/>
    <w:rPr>
      <w:kern w:val="2"/>
      <w:sz w:val="18"/>
      <w:szCs w:val="18"/>
    </w:rPr>
  </w:style>
  <w:style w:type="character" w:customStyle="1" w:styleId="14">
    <w:name w:val="页脚 字符"/>
    <w:link w:val="7"/>
    <w:qFormat/>
    <w:uiPriority w:val="0"/>
    <w:rPr>
      <w:kern w:val="2"/>
      <w:sz w:val="18"/>
      <w:szCs w:val="18"/>
    </w:rPr>
  </w:style>
  <w:style w:type="character" w:customStyle="1" w:styleId="15">
    <w:name w:val="批注框文本 字符"/>
    <w:basedOn w:val="12"/>
    <w:link w:val="6"/>
    <w:qFormat/>
    <w:uiPriority w:val="0"/>
    <w:rPr>
      <w:kern w:val="2"/>
      <w:sz w:val="18"/>
      <w:szCs w:val="18"/>
    </w:rPr>
  </w:style>
  <w:style w:type="paragraph" w:customStyle="1" w:styleId="16">
    <w:name w:val="正文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3916</Words>
  <Characters>4948</Characters>
  <Lines>12</Lines>
  <Paragraphs>3</Paragraphs>
  <TotalTime>0</TotalTime>
  <ScaleCrop>false</ScaleCrop>
  <LinksUpToDate>false</LinksUpToDate>
  <CharactersWithSpaces>4974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2022-08-01T07:03:00Z</dcterms:created>
  <dc:creator>Administrator</dc:creator>
  <cp:lastModifiedBy>李健</cp:lastModifiedBy>
  <cp:lastPrinted>2022-07-07T02:42:00Z</cp:lastPrinted>
  <dcterms:modified xsi:type="dcterms:W3CDTF">2026-05-12T06:47:53Z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ribbonExt">
    <vt:lpwstr>{"WPSExtOfficeTab":{"OnGetEnabled":false,"OnGetVisible":false}}</vt:lpwstr>
  </property>
  <property fmtid="{D5CDD505-2E9C-101B-9397-08002B2CF9AE}" pid="4" name="ICV">
    <vt:lpwstr>C28E54DDF8FA41E0ACF1E1CE4C20AFF5_13</vt:lpwstr>
  </property>
  <property fmtid="{D5CDD505-2E9C-101B-9397-08002B2CF9AE}" pid="5" name="KSOTemplateDocerSaveRecord">
    <vt:lpwstr>eyJoZGlkIjoiZGZhOTZhNmI5ZjBjM2M5MTBiZGY4OGNmM2U0ZDA1YjUiLCJ1c2VySWQiOiI3MTIxMzczNzAifQ==</vt:lpwstr>
  </property>
</Properties>
</file>