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eastAsia" w:ascii="方正小标宋简体" w:eastAsia="方正小标宋简体"/>
          <w:kern w:val="44"/>
          <w:sz w:val="44"/>
          <w:szCs w:val="44"/>
        </w:rPr>
      </w:pPr>
      <w:bookmarkStart w:id="0" w:name="_Toc2632"/>
      <w:r>
        <w:rPr>
          <w:rFonts w:hint="eastAsia" w:ascii="方正小标宋简体" w:eastAsia="方正小标宋简体"/>
          <w:kern w:val="44"/>
          <w:sz w:val="44"/>
          <w:szCs w:val="44"/>
        </w:rPr>
        <w:t>关于《武江区城乡融合产业园招商引资</w:t>
      </w:r>
    </w:p>
    <w:p>
      <w:pPr>
        <w:keepNext w:val="0"/>
        <w:keepLines w:val="0"/>
        <w:pageBreakBefore w:val="0"/>
        <w:kinsoku/>
        <w:wordWrap/>
        <w:overflowPunct/>
        <w:topLinePunct w:val="0"/>
        <w:autoSpaceDE/>
        <w:autoSpaceDN/>
        <w:bidi w:val="0"/>
        <w:adjustRightInd/>
        <w:snapToGrid/>
        <w:spacing w:line="600" w:lineRule="exact"/>
        <w:jc w:val="center"/>
        <w:textAlignment w:val="auto"/>
        <w:outlineLvl w:val="0"/>
        <w:rPr>
          <w:rFonts w:hint="default" w:ascii="方正小标宋简体" w:eastAsia="方正小标宋简体"/>
          <w:kern w:val="44"/>
          <w:sz w:val="44"/>
          <w:szCs w:val="44"/>
          <w:lang w:val="en-US" w:eastAsia="zh-CN"/>
        </w:rPr>
      </w:pPr>
      <w:r>
        <w:rPr>
          <w:rFonts w:hint="eastAsia" w:ascii="方正小标宋简体" w:eastAsia="方正小标宋简体"/>
          <w:kern w:val="44"/>
          <w:sz w:val="44"/>
          <w:szCs w:val="44"/>
          <w:lang w:eastAsia="zh-CN"/>
        </w:rPr>
        <w:t>管理办法</w:t>
      </w:r>
      <w:r>
        <w:rPr>
          <w:rFonts w:hint="eastAsia" w:ascii="方正小标宋简体" w:eastAsia="方正小标宋简体"/>
          <w:kern w:val="44"/>
          <w:sz w:val="44"/>
          <w:szCs w:val="44"/>
        </w:rPr>
        <w:t>》的</w:t>
      </w:r>
      <w:bookmarkEnd w:id="0"/>
      <w:r>
        <w:rPr>
          <w:rFonts w:hint="eastAsia" w:ascii="方正小标宋简体" w:eastAsia="方正小标宋简体"/>
          <w:kern w:val="44"/>
          <w:sz w:val="44"/>
          <w:szCs w:val="44"/>
          <w:lang w:val="en-US" w:eastAsia="zh-CN"/>
        </w:rPr>
        <w:t>政策解读</w:t>
      </w: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jc w:val="center"/>
        <w:textAlignment w:val="auto"/>
        <w:rPr>
          <w:rFonts w:hint="eastAsia" w:ascii="楷体_GB2312" w:hAnsi="仿宋_GB2312" w:eastAsia="楷体_GB2312"/>
          <w:kern w:val="32"/>
          <w:szCs w:val="30"/>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_GB2312" w:hAnsi="仿宋_GB2312"/>
          <w:szCs w:val="32"/>
          <w:lang w:val="en-US" w:eastAsia="zh-CN"/>
        </w:rPr>
      </w:pPr>
      <w:r>
        <w:rPr>
          <w:rFonts w:hint="eastAsia" w:ascii="仿宋_GB2312" w:hAnsi="仿宋_GB2312"/>
          <w:szCs w:val="32"/>
          <w:lang w:val="en-US" w:eastAsia="zh-CN"/>
        </w:rPr>
        <w:t>2023年6月19日，韶关市武江区人民政府印发了《武江区城乡融合产业园招商引资管理办法》（韶武府规〔2023〕1号）（以下简称《管理办法》），现将主要内容解读如下：</w:t>
      </w:r>
    </w:p>
    <w:p>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jc w:val="both"/>
        <w:textAlignment w:val="auto"/>
        <w:outlineLvl w:val="0"/>
        <w:rPr>
          <w:rFonts w:hint="eastAsia" w:hAnsi="Arial" w:eastAsia="黑体"/>
        </w:rPr>
      </w:pPr>
      <w:bookmarkStart w:id="1" w:name="_Toc27400"/>
      <w:r>
        <w:rPr>
          <w:rFonts w:hint="eastAsia" w:hAnsi="Arial" w:eastAsia="黑体"/>
        </w:rPr>
        <w:t>《管理办法》</w:t>
      </w:r>
      <w:r>
        <w:rPr>
          <w:rFonts w:hint="eastAsia" w:hAnsi="Arial" w:eastAsia="黑体"/>
          <w:lang w:val="en-US" w:eastAsia="zh-CN"/>
        </w:rPr>
        <w:t>出台背景</w:t>
      </w:r>
      <w:bookmarkEnd w:id="1"/>
    </w:p>
    <w:p>
      <w:pPr>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jc w:val="both"/>
        <w:textAlignment w:val="auto"/>
        <w:outlineLvl w:val="0"/>
        <w:rPr>
          <w:rFonts w:hint="eastAsia" w:hAnsi="Arial" w:eastAsia="黑体"/>
        </w:rPr>
      </w:pPr>
      <w:r>
        <w:rPr>
          <w:rFonts w:hint="eastAsia" w:ascii="仿宋_GB2312" w:hAnsi="仿宋_GB2312" w:eastAsia="仿宋_GB2312" w:cs="仿宋_GB2312"/>
          <w:color w:val="000000"/>
          <w:szCs w:val="32"/>
          <w:lang w:eastAsia="zh-CN"/>
        </w:rPr>
        <w:t>为进一步推动招商引资工作，促进武江区城乡融合产业园项目落地，全力做好前期服务工作</w:t>
      </w:r>
      <w:r>
        <w:rPr>
          <w:rFonts w:hint="eastAsia" w:ascii="仿宋_GB2312" w:hAnsi="仿宋_GB2312" w:cs="仿宋_GB2312"/>
          <w:color w:val="000000"/>
          <w:szCs w:val="32"/>
          <w:lang w:eastAsia="zh-CN"/>
        </w:rPr>
        <w:t>，按照</w:t>
      </w:r>
      <w:r>
        <w:rPr>
          <w:rFonts w:hint="eastAsia" w:ascii="仿宋_GB2312" w:hAnsi="仿宋_GB2312" w:cs="仿宋_GB2312"/>
          <w:color w:val="000000"/>
          <w:szCs w:val="32"/>
          <w:lang w:val="en-US" w:eastAsia="zh-CN"/>
        </w:rPr>
        <w:t>区</w:t>
      </w:r>
      <w:r>
        <w:rPr>
          <w:rFonts w:hint="eastAsia" w:ascii="仿宋_GB2312" w:hAnsi="仿宋_GB2312" w:cs="仿宋_GB2312"/>
          <w:color w:val="000000"/>
          <w:szCs w:val="32"/>
          <w:lang w:eastAsia="zh-CN"/>
        </w:rPr>
        <w:t>政府要求，</w:t>
      </w:r>
      <w:r>
        <w:rPr>
          <w:rFonts w:hint="eastAsia" w:ascii="仿宋_GB2312" w:hAnsi="仿宋_GB2312" w:cs="仿宋_GB2312"/>
          <w:color w:val="000000"/>
          <w:szCs w:val="32"/>
          <w:lang w:val="en-US" w:eastAsia="zh-CN"/>
        </w:rPr>
        <w:t>武江区工业和信息化</w:t>
      </w:r>
      <w:r>
        <w:rPr>
          <w:rFonts w:hint="eastAsia" w:ascii="仿宋_GB2312" w:hAnsi="仿宋_GB2312" w:cs="仿宋_GB2312"/>
          <w:color w:val="000000"/>
          <w:szCs w:val="32"/>
          <w:lang w:eastAsia="zh-CN"/>
        </w:rPr>
        <w:t>局结合</w:t>
      </w:r>
      <w:r>
        <w:rPr>
          <w:rFonts w:hint="eastAsia" w:ascii="仿宋_GB2312" w:hAnsi="仿宋_GB2312" w:cs="仿宋_GB2312"/>
          <w:color w:val="000000"/>
          <w:szCs w:val="32"/>
          <w:lang w:val="en-US" w:eastAsia="zh-CN"/>
        </w:rPr>
        <w:t>武江</w:t>
      </w:r>
      <w:r>
        <w:rPr>
          <w:rFonts w:hint="eastAsia" w:ascii="仿宋_GB2312" w:hAnsi="仿宋_GB2312" w:cs="仿宋_GB2312"/>
          <w:color w:val="000000"/>
          <w:szCs w:val="32"/>
          <w:lang w:eastAsia="zh-CN"/>
        </w:rPr>
        <w:t>实际，制定了该《管理办法》。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0"/>
        <w:rPr>
          <w:rFonts w:hint="eastAsia" w:hAnsi="Arial" w:eastAsia="黑体"/>
          <w:lang w:eastAsia="zh-CN"/>
        </w:rPr>
      </w:pPr>
      <w:bookmarkStart w:id="2" w:name="_Toc21316"/>
      <w:r>
        <w:rPr>
          <w:rFonts w:hint="eastAsia" w:hAnsi="Arial" w:eastAsia="黑体"/>
          <w:lang w:val="en-US" w:eastAsia="zh-CN"/>
        </w:rPr>
        <w:t>二</w:t>
      </w:r>
      <w:r>
        <w:rPr>
          <w:rFonts w:hAnsi="Arial" w:eastAsia="黑体"/>
        </w:rPr>
        <w:t>、</w:t>
      </w:r>
      <w:r>
        <w:rPr>
          <w:rFonts w:hint="eastAsia" w:hAnsi="Arial" w:eastAsia="黑体"/>
        </w:rPr>
        <w:t>《管理办法》</w:t>
      </w:r>
      <w:r>
        <w:rPr>
          <w:rFonts w:hint="eastAsia" w:hAnsi="Arial" w:eastAsia="黑体"/>
          <w:lang w:eastAsia="zh-CN"/>
        </w:rPr>
        <w:t>主要内容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outlineLvl w:val="1"/>
        <w:rPr>
          <w:rFonts w:hint="eastAsia" w:ascii="仿宋_GB2312" w:hAnsi="仿宋_GB2312" w:eastAsia="仿宋_GB2312" w:cs="仿宋_GB2312"/>
          <w:color w:val="000000"/>
          <w:szCs w:val="32"/>
          <w:lang w:val="en-US" w:eastAsia="zh-CN"/>
        </w:rPr>
      </w:pPr>
      <w:bookmarkStart w:id="3" w:name="_Toc32415"/>
      <w:r>
        <w:rPr>
          <w:rFonts w:hint="eastAsia" w:ascii="仿宋_GB2312" w:hAnsi="仿宋_GB2312" w:eastAsia="仿宋_GB2312" w:cs="仿宋_GB2312"/>
          <w:color w:val="000000"/>
          <w:szCs w:val="32"/>
          <w:lang w:val="en-US" w:eastAsia="zh-CN"/>
        </w:rPr>
        <w:t>《</w:t>
      </w:r>
      <w:r>
        <w:rPr>
          <w:rFonts w:hint="eastAsia" w:ascii="仿宋_GB2312" w:hAnsi="仿宋_GB2312" w:cs="仿宋_GB2312"/>
          <w:color w:val="000000"/>
          <w:szCs w:val="32"/>
          <w:lang w:val="en-US" w:eastAsia="zh-CN"/>
        </w:rPr>
        <w:t>管理办法</w:t>
      </w:r>
      <w:r>
        <w:rPr>
          <w:rFonts w:hint="eastAsia" w:ascii="仿宋_GB2312" w:hAnsi="仿宋_GB2312" w:eastAsia="仿宋_GB2312" w:cs="仿宋_GB2312"/>
          <w:color w:val="000000"/>
          <w:szCs w:val="32"/>
          <w:lang w:val="en-US" w:eastAsia="zh-CN"/>
        </w:rPr>
        <w:t>》分</w:t>
      </w:r>
      <w:r>
        <w:rPr>
          <w:rFonts w:hint="eastAsia" w:ascii="仿宋_GB2312" w:hAnsi="仿宋_GB2312" w:cs="仿宋_GB2312"/>
          <w:color w:val="000000"/>
          <w:szCs w:val="32"/>
          <w:lang w:val="en-US" w:eastAsia="zh-CN"/>
        </w:rPr>
        <w:t>6</w:t>
      </w:r>
      <w:r>
        <w:rPr>
          <w:rFonts w:hint="eastAsia" w:ascii="仿宋_GB2312" w:hAnsi="仿宋_GB2312" w:eastAsia="仿宋_GB2312" w:cs="仿宋_GB2312"/>
          <w:color w:val="000000"/>
          <w:szCs w:val="32"/>
          <w:lang w:val="en-US" w:eastAsia="zh-CN"/>
        </w:rPr>
        <w:t>部分。</w:t>
      </w:r>
      <w:bookmarkEnd w:id="3"/>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第一部分</w:t>
      </w:r>
      <w:r>
        <w:rPr>
          <w:rFonts w:hint="eastAsia" w:ascii="仿宋_GB2312" w:hAnsi="仿宋_GB2312" w:cs="仿宋_GB2312"/>
          <w:b w:val="0"/>
          <w:bCs w:val="0"/>
          <w:color w:val="auto"/>
          <w:kern w:val="0"/>
          <w:sz w:val="32"/>
          <w:szCs w:val="32"/>
          <w:highlight w:val="none"/>
          <w:lang w:val="en-US" w:eastAsia="zh-CN" w:bidi="ar"/>
        </w:rPr>
        <w:t>是</w:t>
      </w:r>
      <w:r>
        <w:rPr>
          <w:rFonts w:hint="eastAsia" w:ascii="仿宋_GB2312" w:hAnsi="仿宋_GB2312" w:eastAsia="仿宋_GB2312" w:cs="仿宋_GB2312"/>
          <w:b w:val="0"/>
          <w:bCs w:val="0"/>
          <w:color w:val="auto"/>
          <w:kern w:val="0"/>
          <w:sz w:val="32"/>
          <w:szCs w:val="32"/>
          <w:highlight w:val="none"/>
          <w:lang w:val="en-US" w:eastAsia="zh-CN" w:bidi="ar"/>
        </w:rPr>
        <w:t>总则，</w:t>
      </w:r>
      <w:r>
        <w:rPr>
          <w:rFonts w:hint="eastAsia" w:ascii="仿宋_GB2312" w:hAnsi="仿宋_GB2312" w:eastAsia="仿宋_GB2312" w:cs="仿宋_GB2312"/>
          <w:b w:val="0"/>
          <w:bCs w:val="0"/>
          <w:szCs w:val="32"/>
        </w:rPr>
        <w:t>主要明确了</w:t>
      </w:r>
      <w:r>
        <w:rPr>
          <w:rFonts w:hint="eastAsia" w:ascii="仿宋_GB2312" w:hAnsi="仿宋_GB2312" w:eastAsia="仿宋_GB2312" w:cs="仿宋_GB2312"/>
          <w:b w:val="0"/>
          <w:bCs w:val="0"/>
          <w:color w:val="auto"/>
          <w:kern w:val="0"/>
          <w:sz w:val="32"/>
          <w:szCs w:val="32"/>
          <w:highlight w:val="none"/>
          <w:lang w:val="en-US" w:eastAsia="zh-CN" w:bidi="ar"/>
        </w:rPr>
        <w:t>本办法适用于武江区城乡融合产业园内新出让工业用地及政府投资标准厂房。</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第二部分是用地准入，</w:t>
      </w:r>
      <w:r>
        <w:rPr>
          <w:rFonts w:hint="eastAsia" w:ascii="仿宋_GB2312" w:hAnsi="仿宋_GB2312" w:eastAsia="仿宋_GB2312" w:cs="仿宋_GB2312"/>
          <w:b w:val="0"/>
          <w:bCs w:val="0"/>
          <w:szCs w:val="32"/>
        </w:rPr>
        <w:t>主要明确了</w:t>
      </w:r>
      <w:r>
        <w:rPr>
          <w:rFonts w:hint="eastAsia" w:ascii="仿宋_GB2312" w:hAnsi="仿宋_GB2312" w:eastAsia="仿宋_GB2312" w:cs="仿宋_GB2312"/>
          <w:b w:val="0"/>
          <w:bCs w:val="0"/>
          <w:color w:val="auto"/>
          <w:kern w:val="0"/>
          <w:sz w:val="32"/>
          <w:szCs w:val="32"/>
          <w:highlight w:val="none"/>
          <w:lang w:val="en-US" w:eastAsia="zh-CN" w:bidi="ar"/>
        </w:rPr>
        <w:t>产业发展方向、工业用地性质对应的指标要求、标准化厂房对应的指标要求、项目准入认定程序等四个方面。</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第三部分是用地供应，</w:t>
      </w:r>
      <w:r>
        <w:rPr>
          <w:rFonts w:hint="eastAsia" w:ascii="仿宋_GB2312" w:hAnsi="仿宋_GB2312" w:eastAsia="仿宋_GB2312" w:cs="仿宋_GB2312"/>
          <w:b w:val="0"/>
          <w:bCs w:val="0"/>
          <w:szCs w:val="32"/>
        </w:rPr>
        <w:t>主要明确了</w:t>
      </w:r>
      <w:r>
        <w:rPr>
          <w:rFonts w:hint="eastAsia" w:ascii="仿宋_GB2312" w:hAnsi="仿宋_GB2312" w:eastAsia="仿宋_GB2312" w:cs="仿宋_GB2312"/>
          <w:b w:val="0"/>
          <w:bCs w:val="0"/>
          <w:color w:val="auto"/>
          <w:kern w:val="0"/>
          <w:sz w:val="32"/>
          <w:szCs w:val="32"/>
          <w:highlight w:val="none"/>
          <w:lang w:val="en-US" w:eastAsia="zh-CN" w:bidi="ar"/>
        </w:rPr>
        <w:t>土地供应方式、土地供应价格。</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第四部分是规划管理，</w:t>
      </w:r>
      <w:r>
        <w:rPr>
          <w:rFonts w:hint="eastAsia" w:ascii="仿宋_GB2312" w:hAnsi="仿宋_GB2312" w:eastAsia="仿宋_GB2312" w:cs="仿宋_GB2312"/>
          <w:b w:val="0"/>
          <w:bCs w:val="0"/>
          <w:szCs w:val="32"/>
        </w:rPr>
        <w:t>主要明确了</w:t>
      </w:r>
      <w:r>
        <w:rPr>
          <w:rFonts w:hint="eastAsia" w:ascii="仿宋_GB2312" w:hAnsi="仿宋_GB2312" w:eastAsia="仿宋_GB2312" w:cs="仿宋_GB2312"/>
          <w:b w:val="0"/>
          <w:bCs w:val="0"/>
          <w:color w:val="auto"/>
          <w:kern w:val="0"/>
          <w:sz w:val="32"/>
          <w:szCs w:val="32"/>
          <w:highlight w:val="none"/>
          <w:lang w:val="en-US" w:eastAsia="zh-CN" w:bidi="ar"/>
        </w:rPr>
        <w:t>土地规划管理要求。</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第五部分是项目管理，</w:t>
      </w:r>
      <w:r>
        <w:rPr>
          <w:rFonts w:hint="eastAsia" w:ascii="仿宋_GB2312" w:hAnsi="仿宋_GB2312" w:eastAsia="仿宋_GB2312" w:cs="仿宋_GB2312"/>
          <w:b w:val="0"/>
          <w:bCs w:val="0"/>
          <w:szCs w:val="32"/>
        </w:rPr>
        <w:t>主要明确了</w:t>
      </w:r>
      <w:r>
        <w:rPr>
          <w:rFonts w:hint="eastAsia" w:ascii="仿宋_GB2312" w:hAnsi="仿宋_GB2312" w:eastAsia="仿宋_GB2312" w:cs="仿宋_GB2312"/>
          <w:b w:val="0"/>
          <w:bCs w:val="0"/>
          <w:color w:val="auto"/>
          <w:kern w:val="0"/>
          <w:sz w:val="32"/>
          <w:szCs w:val="32"/>
          <w:highlight w:val="none"/>
          <w:lang w:val="en-US" w:eastAsia="zh-CN" w:bidi="ar"/>
        </w:rPr>
        <w:t>履约管理要求</w:t>
      </w:r>
    </w:p>
    <w:p>
      <w:pPr>
        <w:keepNext w:val="0"/>
        <w:keepLines w:val="0"/>
        <w:pageBreakBefore w:val="0"/>
        <w:widowControl/>
        <w:suppressLineNumbers w:val="0"/>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b w:val="0"/>
          <w:bCs w:val="0"/>
          <w:color w:val="auto"/>
          <w:kern w:val="0"/>
          <w:sz w:val="32"/>
          <w:szCs w:val="32"/>
          <w:highlight w:val="none"/>
          <w:lang w:val="en-US" w:eastAsia="zh-CN" w:bidi="ar"/>
        </w:rPr>
      </w:pPr>
      <w:r>
        <w:rPr>
          <w:rFonts w:hint="eastAsia" w:ascii="仿宋_GB2312" w:hAnsi="仿宋_GB2312" w:eastAsia="仿宋_GB2312" w:cs="仿宋_GB2312"/>
          <w:b w:val="0"/>
          <w:bCs w:val="0"/>
          <w:color w:val="auto"/>
          <w:kern w:val="0"/>
          <w:sz w:val="32"/>
          <w:szCs w:val="32"/>
          <w:highlight w:val="none"/>
          <w:lang w:val="en-US" w:eastAsia="zh-CN" w:bidi="ar"/>
        </w:rPr>
        <w:t>第六部分是附则，</w:t>
      </w:r>
      <w:r>
        <w:rPr>
          <w:rFonts w:hint="eastAsia" w:ascii="仿宋_GB2312" w:hAnsi="仿宋_GB2312" w:eastAsia="仿宋_GB2312" w:cs="仿宋_GB2312"/>
          <w:b w:val="0"/>
          <w:bCs w:val="0"/>
          <w:szCs w:val="32"/>
        </w:rPr>
        <w:t>主要</w:t>
      </w:r>
      <w:r>
        <w:rPr>
          <w:rFonts w:hint="eastAsia" w:ascii="仿宋_GB2312" w:hAnsi="仿宋_GB2312" w:eastAsia="仿宋_GB2312" w:cs="仿宋_GB2312"/>
          <w:b w:val="0"/>
          <w:bCs w:val="0"/>
          <w:color w:val="auto"/>
          <w:kern w:val="0"/>
          <w:sz w:val="32"/>
          <w:szCs w:val="32"/>
          <w:highlight w:val="none"/>
          <w:lang w:val="en-US" w:eastAsia="zh-CN" w:bidi="ar"/>
        </w:rPr>
        <w:t>对工业用地、单位面积投资强度、单位面积年税收入库额等含义作出解释，本管理暂行办法有效期3年。</w:t>
      </w:r>
      <w:bookmarkStart w:id="4" w:name="_GoBack"/>
      <w:bookmarkEnd w:id="4"/>
    </w:p>
    <w:bookmarkEnd w:id="2"/>
    <w:p>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both"/>
        <w:textAlignment w:val="auto"/>
        <w:rPr>
          <w:b/>
          <w:bCs/>
        </w:rPr>
      </w:pPr>
    </w:p>
    <w:p/>
    <w:sectPr>
      <w:footerReference r:id="rId3" w:type="default"/>
      <w:pgSz w:w="11906" w:h="16838"/>
      <w:pgMar w:top="2098" w:right="1701" w:bottom="1984" w:left="1701" w:header="851" w:footer="1474" w:gutter="0"/>
      <w:pgNumType w:fmt="decimal"/>
      <w:cols w:space="0" w:num="1"/>
      <w:rtlGutter w:val="0"/>
      <w:docGrid w:type="lines"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14CCE9"/>
    <w:multiLevelType w:val="singleLevel"/>
    <w:tmpl w:val="C914CCE9"/>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yNWU1YzY0OTc4NDk2MjczYjY0YmRmNzdhN2YyYWIifQ=="/>
  </w:docVars>
  <w:rsids>
    <w:rsidRoot w:val="00000000"/>
    <w:rsid w:val="192B4DBB"/>
    <w:rsid w:val="21097194"/>
    <w:rsid w:val="31E261AF"/>
    <w:rsid w:val="3855344B"/>
    <w:rsid w:val="3C4609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419</Words>
  <Characters>426</Characters>
  <Lines>0</Lines>
  <Paragraphs>0</Paragraphs>
  <TotalTime>2</TotalTime>
  <ScaleCrop>false</ScaleCrop>
  <LinksUpToDate>false</LinksUpToDate>
  <CharactersWithSpaces>426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2022-03-01T08:13:00Z</dcterms:created>
  <dc:creator>Administrator</dc:creator>
  <cp:lastModifiedBy>funnybaby</cp:lastModifiedBy>
  <dcterms:modified xsi:type="dcterms:W3CDTF">2023-06-20T08:52:09Z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713CE47E244A4B88AC6A1EA0C10D6416</vt:lpwstr>
  </property>
</Properties>
</file>