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0D3C21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p>
    <w:p w14:paraId="3CD2956E">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《韶关市武江区关于重点楼宇和特色楼宇培育与扶持办法》政策解读</w:t>
      </w:r>
    </w:p>
    <w:p w14:paraId="68B1D02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p>
    <w:p w14:paraId="3415AD2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sz w:val="32"/>
          <w:szCs w:val="32"/>
        </w:rPr>
      </w:pPr>
      <w:r>
        <w:rPr>
          <w:rFonts w:hint="eastAsia" w:ascii="黑体" w:hAnsi="黑体" w:eastAsia="黑体" w:cs="黑体"/>
          <w:sz w:val="32"/>
          <w:szCs w:val="32"/>
        </w:rPr>
        <w:t>一、制定背景</w:t>
      </w:r>
    </w:p>
    <w:p w14:paraId="7B257DD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楼宇经济是城市经济发展的重要形态，对于集约利用土地资源、拓展产业发展空间、培植涵养税源具有重要作用。为提升武江区楼宇经济发展水平，引导楼宇经济规模化、特色化、专业化发展，增强商业楼宇吸引力，促进武江区服务业转型升级，推动城市经济高质量发展，结合武江区楼宇经济实际情况，制定本办法。</w:t>
      </w:r>
      <w:bookmarkStart w:id="0" w:name="_GoBack"/>
      <w:bookmarkEnd w:id="0"/>
    </w:p>
    <w:p w14:paraId="633C0CF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sz w:val="32"/>
          <w:szCs w:val="32"/>
        </w:rPr>
      </w:pPr>
      <w:r>
        <w:rPr>
          <w:rFonts w:hint="eastAsia" w:ascii="黑体" w:hAnsi="黑体" w:eastAsia="黑体" w:cs="黑体"/>
          <w:sz w:val="32"/>
          <w:szCs w:val="32"/>
        </w:rPr>
        <w:t>二、政策依据</w:t>
      </w:r>
    </w:p>
    <w:p w14:paraId="075EEE3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本办法依据武江区楼宇经济发展实际需要，经2019年10月25日韶关市武江区人民政府第九届42次常务会议审议通过。</w:t>
      </w:r>
    </w:p>
    <w:p w14:paraId="4EBB81F3">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sz w:val="32"/>
          <w:szCs w:val="32"/>
        </w:rPr>
      </w:pPr>
      <w:r>
        <w:rPr>
          <w:rFonts w:hint="eastAsia" w:ascii="黑体" w:hAnsi="黑体" w:eastAsia="黑体" w:cs="黑体"/>
          <w:sz w:val="32"/>
          <w:szCs w:val="32"/>
        </w:rPr>
        <w:t>三、适用范围和对象</w:t>
      </w:r>
    </w:p>
    <w:p w14:paraId="120A64C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（一）适用范围</w:t>
      </w:r>
    </w:p>
    <w:p w14:paraId="3AA414F3">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办法适用于武江区行政辖区范围内的两类楼宇：一是总建筑面积在1万平方米（含）以上，且商务办公面积在6000平方米以上的商务楼宇；二是办公面积在5000平方米以上，配套专门用于电子商务、金融服务、法律服务、会计服务、中介服务、信息咨询、研发设计、文化创意、科技服务、现代物流、信息传输、计算机服务和软件业、租赁业等企业进行商务活动的纯商务楼宇（不包括行政事业单位自用房、酒店、医院和学校等用房）。</w:t>
      </w:r>
    </w:p>
    <w:p w14:paraId="744E092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（二）适用对象</w:t>
      </w:r>
    </w:p>
    <w:p w14:paraId="0025DEA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本办法适用对象为在武江区行政辖区范围内具有独立法人资质的楼宇管理运营机构，以及2018年1月1日以后正式运营的商务楼宇。</w:t>
      </w:r>
    </w:p>
    <w:p w14:paraId="2B77EEF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sz w:val="32"/>
          <w:szCs w:val="32"/>
        </w:rPr>
      </w:pPr>
      <w:r>
        <w:rPr>
          <w:rFonts w:hint="eastAsia" w:ascii="黑体" w:hAnsi="黑体" w:eastAsia="黑体" w:cs="黑体"/>
          <w:sz w:val="32"/>
          <w:szCs w:val="32"/>
        </w:rPr>
        <w:t>四、楼宇类型认定标准</w:t>
      </w:r>
    </w:p>
    <w:p w14:paraId="52F4CC03">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参与认定的楼宇必须具有统一明确有效的楼宇经营管理主体</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rPr>
        <w:t>。</w:t>
      </w:r>
    </w:p>
    <w:p w14:paraId="6B3B0DF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（一）重点楼宇认定标准</w:t>
      </w:r>
    </w:p>
    <w:p w14:paraId="6C35E0A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入驻年销售（营业）收入1000万元以上的现代服务业企业或者限额以上商贸业企业达到6家以上，且出租率超过70%；</w:t>
      </w:r>
    </w:p>
    <w:p w14:paraId="1DE418A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税收属地率达到60%以上，且年度属地税收达到2000万元以上；</w:t>
      </w:r>
    </w:p>
    <w:p w14:paraId="7C52732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运营管理机构有明确的管理团队和规范的运营机制，能有效开展楼宇的管理、运营、服务等各项工作。</w:t>
      </w:r>
    </w:p>
    <w:p w14:paraId="6272CB3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（二）特色楼宇认定标准</w:t>
      </w:r>
    </w:p>
    <w:p w14:paraId="03109AF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产业集聚度高，具备鲜明的产业导向及定位，符合武江区产业发展导向且出租率超过70%，同类或相关企业总数不低于60%，实际使用楼宇面积占总经营面积的比例不少于50%；</w:t>
      </w:r>
    </w:p>
    <w:p w14:paraId="5DCCD91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产业集聚情况稳定，上一年度楼宇内同类或同行业现代服务业相关企业的主营业务收入均在1000万元以上，属地税收均在100万元以上；</w:t>
      </w:r>
    </w:p>
    <w:p w14:paraId="565873A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税收属地率达到60%以上，且年度属地税收达到1000万元以上；</w:t>
      </w:r>
    </w:p>
    <w:p w14:paraId="1B64FEA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运营管理机构有明确的管理团队和规范的运营机制，能有效开展楼宇的管理、运营、服务等各项工作。</w:t>
      </w:r>
    </w:p>
    <w:p w14:paraId="6E3E595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sz w:val="32"/>
          <w:szCs w:val="32"/>
        </w:rPr>
      </w:pPr>
      <w:r>
        <w:rPr>
          <w:rFonts w:hint="eastAsia" w:ascii="黑体" w:hAnsi="黑体" w:eastAsia="黑体" w:cs="黑体"/>
          <w:sz w:val="32"/>
          <w:szCs w:val="32"/>
        </w:rPr>
        <w:t>五、政策激励措施</w:t>
      </w:r>
    </w:p>
    <w:p w14:paraId="4D7223E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（一）认定奖励</w:t>
      </w:r>
    </w:p>
    <w:p w14:paraId="3B3837E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经区楼宇办认定为重点楼宇的，由区政府授予“重点楼宇”牌匾，给予运营机构一次性30万元奖励；认定为特色楼宇的，授予“特色楼宇”牌匾，给予运营机构一次性20万元奖励。已认定的楼宇在有效期中如达到其他类型标准，可在第二年申报其他类型奖励。</w:t>
      </w:r>
    </w:p>
    <w:p w14:paraId="75F765C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（二）运营激励</w:t>
      </w:r>
    </w:p>
    <w:p w14:paraId="505AB66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对单幢楼宇内入驻企业年度属地税收首次超1000万元的商务楼宇，给予楼宇运营机构按当年区级税收留成部分10%的额度一次性奖励，最高不超过50万元。</w:t>
      </w:r>
    </w:p>
    <w:p w14:paraId="6F124E4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（三）招商激励</w:t>
      </w:r>
    </w:p>
    <w:p w14:paraId="55AD36A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新引入规上现代服务业企业、商贸企业，当年缴纳税收区级所得在50万元以上的，按当年区级所得50%给予楼宇运营主体奖励，以后二年内分别按当年缴纳税收区级所得30%、20%给予奖励。新引入单个注册资金内资（市外）在5000万元以上或外资在500万美元以上且现汇进资达50%的现代服务业企业或商贸企业，给予楼宇运营主体2万元一次性奖励。</w:t>
      </w:r>
    </w:p>
    <w:p w14:paraId="1DE2D3D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（四）其他扶持</w:t>
      </w:r>
    </w:p>
    <w:p w14:paraId="45BF073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亮化工程扶持</w:t>
      </w:r>
      <w:r>
        <w:rPr>
          <w:rFonts w:hint="eastAsia" w:ascii="仿宋_GB2312" w:hAnsi="仿宋_GB2312" w:eastAsia="仿宋_GB2312" w:cs="仿宋_GB2312"/>
          <w:sz w:val="32"/>
          <w:szCs w:val="32"/>
        </w:rPr>
        <w:t>：楼宇运营主体对楼宇外立面进行亮化工程的，经事先备案，可给予实际投资额10%、最高30万元一次性资助；</w:t>
      </w:r>
    </w:p>
    <w:p w14:paraId="69F40E3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品牌引入扶持</w:t>
      </w:r>
      <w:r>
        <w:rPr>
          <w:rFonts w:hint="eastAsia" w:ascii="仿宋_GB2312" w:hAnsi="仿宋_GB2312" w:eastAsia="仿宋_GB2312" w:cs="仿宋_GB2312"/>
          <w:sz w:val="32"/>
          <w:szCs w:val="32"/>
        </w:rPr>
        <w:t>：每引入一个国际或国内连锁服务业著名品牌，分别给予楼宇运营主体10万元或5万元奖励；</w:t>
      </w:r>
    </w:p>
    <w:p w14:paraId="3B7F30A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社会资本扶持</w:t>
      </w:r>
      <w:r>
        <w:rPr>
          <w:rFonts w:hint="eastAsia" w:ascii="仿宋_GB2312" w:hAnsi="仿宋_GB2312" w:eastAsia="仿宋_GB2312" w:cs="仿宋_GB2312"/>
          <w:sz w:val="32"/>
          <w:szCs w:val="32"/>
        </w:rPr>
        <w:t>：对社会资本投资新建楼宇、改造闲置楼宇、购买整幢楼宇且整体运营，达到重点或特色楼宇认定条件的，给予投资经营主体300元/平方米一次性奖补，封顶300万元；</w:t>
      </w:r>
    </w:p>
    <w:p w14:paraId="4F2B429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表彰奖励</w:t>
      </w:r>
      <w:r>
        <w:rPr>
          <w:rFonts w:hint="eastAsia" w:ascii="仿宋_GB2312" w:hAnsi="仿宋_GB2312" w:eastAsia="仿宋_GB2312" w:cs="仿宋_GB2312"/>
          <w:sz w:val="32"/>
          <w:szCs w:val="32"/>
        </w:rPr>
        <w:t>：对楼宇税收贡献突出、管理服务优秀的镇、街道，授予“武江区年度发展楼宇经济优秀单位”称号，给予通报表彰。</w:t>
      </w:r>
    </w:p>
    <w:p w14:paraId="071C3F0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sz w:val="32"/>
          <w:szCs w:val="32"/>
        </w:rPr>
      </w:pPr>
      <w:r>
        <w:rPr>
          <w:rFonts w:hint="eastAsia" w:ascii="黑体" w:hAnsi="黑体" w:eastAsia="黑体" w:cs="黑体"/>
          <w:sz w:val="32"/>
          <w:szCs w:val="32"/>
        </w:rPr>
        <w:t>六、申报与认定程序</w:t>
      </w:r>
    </w:p>
    <w:p w14:paraId="49D5BD9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（一）申报材料</w:t>
      </w:r>
    </w:p>
    <w:p w14:paraId="4121739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申报单位需提交书面申报表、运营机构营业执照及产权证复印件、入驻企业登记证书及租房协议、企业纳税证明材料、会计报表复印件等。</w:t>
      </w:r>
    </w:p>
    <w:p w14:paraId="0DE8E9E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（二）认定流程</w:t>
      </w:r>
    </w:p>
    <w:p w14:paraId="715767A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申报</w:t>
      </w:r>
      <w:r>
        <w:rPr>
          <w:rFonts w:hint="eastAsia" w:ascii="仿宋_GB2312" w:hAnsi="仿宋_GB2312" w:eastAsia="仿宋_GB2312" w:cs="仿宋_GB2312"/>
          <w:sz w:val="32"/>
          <w:szCs w:val="32"/>
        </w:rPr>
        <w:t>：申报单位填写申请表及《申报报告》，报送区楼宇办；</w:t>
      </w:r>
    </w:p>
    <w:p w14:paraId="72042D3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会审</w:t>
      </w:r>
      <w:r>
        <w:rPr>
          <w:rFonts w:hint="eastAsia" w:ascii="仿宋_GB2312" w:hAnsi="仿宋_GB2312" w:eastAsia="仿宋_GB2312" w:cs="仿宋_GB2312"/>
          <w:sz w:val="32"/>
          <w:szCs w:val="32"/>
        </w:rPr>
        <w:t>：区楼宇办组织会审，区财政局、税务部门、市场监督管理局、住建局、统计局、金融办等相关部门依照职能出具审核意见，报区人民政府同意；</w:t>
      </w:r>
    </w:p>
    <w:p w14:paraId="27E67E5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公示</w:t>
      </w:r>
      <w:r>
        <w:rPr>
          <w:rFonts w:hint="eastAsia" w:ascii="仿宋_GB2312" w:hAnsi="仿宋_GB2312" w:eastAsia="仿宋_GB2312" w:cs="仿宋_GB2312"/>
          <w:sz w:val="32"/>
          <w:szCs w:val="32"/>
        </w:rPr>
        <w:t>：经区人民政府同意后，在武江区政府网站公示10个工作日；</w:t>
      </w:r>
    </w:p>
    <w:p w14:paraId="2A9E2F3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认定</w:t>
      </w:r>
      <w:r>
        <w:rPr>
          <w:rFonts w:hint="eastAsia" w:ascii="仿宋_GB2312" w:hAnsi="仿宋_GB2312" w:eastAsia="仿宋_GB2312" w:cs="仿宋_GB2312"/>
          <w:sz w:val="32"/>
          <w:szCs w:val="32"/>
        </w:rPr>
        <w:t>：对公示无异议的单位，由区人民政府正式命名并授予证书和牌匾。</w:t>
      </w:r>
    </w:p>
    <w:p w14:paraId="7D6E0E1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（三）申报时间</w:t>
      </w:r>
    </w:p>
    <w:p w14:paraId="2666BBD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以年度为单位，每年1月开始申报，3月31日截止，认定及兑现工作6月30日前完成</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rPr>
        <w:t>。</w:t>
      </w:r>
    </w:p>
    <w:p w14:paraId="6E61E28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sz w:val="32"/>
          <w:szCs w:val="32"/>
        </w:rPr>
      </w:pPr>
      <w:r>
        <w:rPr>
          <w:rFonts w:hint="eastAsia" w:ascii="黑体" w:hAnsi="黑体" w:eastAsia="黑体" w:cs="黑体"/>
          <w:sz w:val="32"/>
          <w:szCs w:val="32"/>
        </w:rPr>
        <w:t>七、动态管理机制</w:t>
      </w:r>
    </w:p>
    <w:p w14:paraId="669CB3F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重点楼宇及特色楼宇实施动态管理，每3年组织一次复核，复核工作与当年申报同时进行，符合条件的予以认定，不符合条件的取消称号资格。</w:t>
      </w:r>
    </w:p>
    <w:p w14:paraId="7C77DB7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sz w:val="32"/>
          <w:szCs w:val="32"/>
        </w:rPr>
      </w:pPr>
      <w:r>
        <w:rPr>
          <w:rFonts w:hint="eastAsia" w:ascii="黑体" w:hAnsi="黑体" w:eastAsia="黑体" w:cs="黑体"/>
          <w:sz w:val="32"/>
          <w:szCs w:val="32"/>
        </w:rPr>
        <w:t>八、其他事项</w:t>
      </w:r>
    </w:p>
    <w:p w14:paraId="7F5FDF8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享受扶持政策的商务楼宇产权持有方、经营主体及入驻企业应遵守国家、省、市相关法律法规，诚实守信，依法规范经营，无重大安全事故及其他不良社会影响事件</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rPr>
        <w:t>；</w:t>
      </w:r>
    </w:p>
    <w:p w14:paraId="449C354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奖励条款与区内其他奖励补助办法重复的，按照“不重复享受、就高不就低”原则执行，获得奖励的涉税支出由企业或个人承担；</w:t>
      </w:r>
    </w:p>
    <w:p w14:paraId="45DD514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未考虑的个别特殊事宜，可按实际采取“一事一议”方式由区楼宇办报区政府常务会讨论；</w:t>
      </w:r>
    </w:p>
    <w:p w14:paraId="615D4D8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本办法由武江区楼宇经济发展办公室负责解释，自颁布之日起有效期为三年。</w:t>
      </w:r>
    </w:p>
    <w:p w14:paraId="6F4CC25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sz w:val="32"/>
          <w:szCs w:val="32"/>
        </w:rPr>
      </w:pPr>
      <w:r>
        <w:rPr>
          <w:rFonts w:hint="eastAsia" w:ascii="黑体" w:hAnsi="黑体" w:eastAsia="黑体" w:cs="黑体"/>
          <w:sz w:val="32"/>
          <w:szCs w:val="32"/>
        </w:rPr>
        <w:t>九、附注</w:t>
      </w:r>
    </w:p>
    <w:p w14:paraId="0BFD0CB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FF0000"/>
          <w:sz w:val="32"/>
          <w:szCs w:val="32"/>
        </w:rPr>
      </w:pPr>
      <w:r>
        <w:rPr>
          <w:rFonts w:hint="eastAsia" w:ascii="仿宋_GB2312" w:hAnsi="仿宋_GB2312" w:eastAsia="仿宋_GB2312" w:cs="仿宋_GB2312"/>
          <w:color w:val="FF0000"/>
          <w:sz w:val="32"/>
          <w:szCs w:val="32"/>
        </w:rPr>
        <w:t>特别说明：经武江区人民政府清理，并经区九届政府第68次常务会议同意，《韶关市武江区关于重点楼宇和特色楼宇培育与扶持办法》（韶武府规〔2019〕3号）已于202</w:t>
      </w:r>
      <w:r>
        <w:rPr>
          <w:rFonts w:hint="eastAsia" w:ascii="仿宋_GB2312" w:hAnsi="仿宋_GB2312" w:eastAsia="仿宋_GB2312" w:cs="仿宋_GB2312"/>
          <w:color w:val="FF0000"/>
          <w:sz w:val="32"/>
          <w:szCs w:val="32"/>
          <w:lang w:val="en-US" w:eastAsia="zh-CN"/>
        </w:rPr>
        <w:t>0</w:t>
      </w:r>
      <w:r>
        <w:rPr>
          <w:rFonts w:hint="eastAsia" w:ascii="仿宋_GB2312" w:hAnsi="仿宋_GB2312" w:eastAsia="仿宋_GB2312" w:cs="仿宋_GB2312"/>
          <w:color w:val="FF0000"/>
          <w:sz w:val="32"/>
          <w:szCs w:val="32"/>
        </w:rPr>
        <w:t>年1</w:t>
      </w:r>
      <w:r>
        <w:rPr>
          <w:rFonts w:hint="eastAsia" w:ascii="仿宋_GB2312" w:hAnsi="仿宋_GB2312" w:eastAsia="仿宋_GB2312" w:cs="仿宋_GB2312"/>
          <w:color w:val="FF0000"/>
          <w:sz w:val="32"/>
          <w:szCs w:val="32"/>
          <w:lang w:val="en-US" w:eastAsia="zh-CN"/>
        </w:rPr>
        <w:t>2</w:t>
      </w:r>
      <w:r>
        <w:rPr>
          <w:rFonts w:hint="eastAsia" w:ascii="仿宋_GB2312" w:hAnsi="仿宋_GB2312" w:eastAsia="仿宋_GB2312" w:cs="仿宋_GB2312"/>
          <w:color w:val="FF0000"/>
          <w:sz w:val="32"/>
          <w:szCs w:val="32"/>
        </w:rPr>
        <w:t>月1日废止。相关主体如需了解当前有效的楼宇经济扶持政策，请以武江区人民政府最新发布的规范性文件为准。</w:t>
      </w:r>
    </w:p>
    <w:p w14:paraId="30FAA6C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auto"/>
    <w:pitch w:val="default"/>
    <w:sig w:usb0="00000001" w:usb1="080E0000" w:usb2="00000000" w:usb3="00000000" w:csb0="00040000" w:csb1="00000000"/>
  </w:font>
  <w:font w:name="Segoe UI">
    <w:panose1 w:val="020B0502040204020203"/>
    <w:charset w:val="00"/>
    <w:family w:val="auto"/>
    <w:pitch w:val="default"/>
    <w:sig w:usb0="E10022FF" w:usb1="C000E47F" w:usb2="00000029" w:usb3="00000000" w:csb0="200001DF" w:csb1="20000000"/>
  </w:font>
  <w:font w:name="var(--dsw-font-xxxs-strong-11)">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方正小标宋简体">
    <w:panose1 w:val="03000509000000000000"/>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17240DE"/>
    <w:rsid w:val="101822F4"/>
    <w:rsid w:val="189F35B2"/>
    <w:rsid w:val="1D412E8A"/>
    <w:rsid w:val="26A526DC"/>
    <w:rsid w:val="28DC20A5"/>
    <w:rsid w:val="2D2500D2"/>
    <w:rsid w:val="37934309"/>
    <w:rsid w:val="3E8F5324"/>
    <w:rsid w:val="4C7402D7"/>
    <w:rsid w:val="662621EA"/>
    <w:rsid w:val="698E25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paragraph" w:styleId="3">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character" w:default="1" w:styleId="6">
    <w:name w:val="Default Paragraph Font"/>
    <w:semiHidden/>
    <w:uiPriority w:val="0"/>
  </w:style>
  <w:style w:type="table" w:default="1" w:styleId="5">
    <w:name w:val="Normal Table"/>
    <w:semiHidden/>
    <w:uiPriority w:val="0"/>
    <w:tblPr>
      <w:tblCellMar>
        <w:top w:w="0" w:type="dxa"/>
        <w:left w:w="108" w:type="dxa"/>
        <w:bottom w:w="0" w:type="dxa"/>
        <w:right w:w="108" w:type="dxa"/>
      </w:tblCellMar>
    </w:tblPr>
  </w:style>
  <w:style w:type="paragraph" w:styleId="4">
    <w:name w:val="Normal (Web)"/>
    <w:basedOn w:val="1"/>
    <w:uiPriority w:val="0"/>
    <w:rPr>
      <w:sz w:val="24"/>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0</Words>
  <Characters>0</Characters>
  <Lines>0</Lines>
  <Paragraphs>0</Paragraphs>
  <TotalTime>11</TotalTime>
  <ScaleCrop>false</ScaleCrop>
  <LinksUpToDate>false</LinksUpToDate>
  <CharactersWithSpaces>0</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2026-06-22T03:24:13Z</dcterms:created>
  <dc:creator>Administrator.USER-20250814ZX</dc:creator>
  <cp:lastModifiedBy>JD</cp:lastModifiedBy>
  <dcterms:modified xsi:type="dcterms:W3CDTF">2026-06-22T03:37:15Z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KSOTemplateDocerSaveRecord">
    <vt:lpwstr>eyJoZGlkIjoiYWM0YTdiZDY2OGY5MTI5NzI0YTIwM2U1MWE0ZTU2NDgiLCJ1c2VySWQiOiIzNDg0MDA2ODYifQ==</vt:lpwstr>
  </property>
  <property fmtid="{D5CDD505-2E9C-101B-9397-08002B2CF9AE}" pid="4" name="ICV">
    <vt:lpwstr>09C4C2DCF902483CABE9544F066ACC57_12</vt:lpwstr>
  </property>
</Properties>
</file>