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1A5D0">
      <w:pPr>
        <w:keepNext w:val="0"/>
        <w:keepLines w:val="0"/>
        <w:pageBreakBefore w:val="0"/>
        <w:kinsoku/>
        <w:wordWrap/>
        <w:overflowPunct/>
        <w:topLinePunct/>
        <w:autoSpaceDN/>
        <w:bidi w:val="0"/>
        <w:adjustRightInd/>
        <w:snapToGrid/>
        <w:spacing w:line="560" w:lineRule="exact"/>
        <w:jc w:val="center"/>
        <w:rPr>
          <w:rFonts w:hint="eastAsia" w:ascii="方正小标宋简体" w:hAnsi="方正小标宋简体" w:eastAsia="方正小标宋简体" w:cs="方正小标宋简体"/>
          <w:sz w:val="44"/>
          <w:szCs w:val="44"/>
          <w:lang w:eastAsia="zh-CN"/>
        </w:rPr>
      </w:pPr>
    </w:p>
    <w:p w14:paraId="7B1C637B">
      <w:pPr>
        <w:keepNext w:val="0"/>
        <w:keepLines w:val="0"/>
        <w:pageBreakBefore w:val="0"/>
        <w:kinsoku/>
        <w:wordWrap/>
        <w:overflowPunct/>
        <w:topLinePunct/>
        <w:autoSpaceDN/>
        <w:bidi w:val="0"/>
        <w:adjustRightInd/>
        <w:snapToGrid/>
        <w:spacing w:line="560" w:lineRule="exact"/>
        <w:jc w:val="center"/>
        <w:rPr>
          <w:rFonts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韶关市武江区人民政府关于韶关市武江区</w:t>
      </w:r>
    </w:p>
    <w:p w14:paraId="766A4D2C">
      <w:pPr>
        <w:keepNext w:val="0"/>
        <w:keepLines w:val="0"/>
        <w:pageBreakBefore w:val="0"/>
        <w:widowControl/>
        <w:kinsoku/>
        <w:wordWrap/>
        <w:overflowPunct/>
        <w:topLinePunct/>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2026年度第十四批次城镇建设用地</w:t>
      </w:r>
    </w:p>
    <w:p w14:paraId="2834D881">
      <w:pPr>
        <w:keepNext w:val="0"/>
        <w:keepLines w:val="0"/>
        <w:pageBreakBefore w:val="0"/>
        <w:widowControl/>
        <w:kinsoku/>
        <w:wordWrap/>
        <w:overflowPunct/>
        <w:topLinePunct/>
        <w:autoSpaceDE/>
        <w:autoSpaceDN/>
        <w:bidi w:val="0"/>
        <w:adjustRightInd/>
        <w:snapToGrid/>
        <w:spacing w:line="560" w:lineRule="exact"/>
        <w:jc w:val="center"/>
        <w:textAlignment w:val="auto"/>
        <w:rPr>
          <w:rFonts w:hint="eastAsia" w:ascii="方正小标宋简体" w:hAnsi="宋体" w:eastAsia="方正小标宋简体" w:cs="宋体"/>
          <w:bCs/>
          <w:sz w:val="44"/>
          <w:szCs w:val="44"/>
          <w:lang w:eastAsia="zh-CN"/>
        </w:rPr>
      </w:pPr>
      <w:r>
        <w:rPr>
          <w:rFonts w:hint="eastAsia" w:ascii="方正小标宋简体" w:hAnsi="方正小标宋简体" w:eastAsia="方正小标宋简体" w:cs="方正小标宋简体"/>
          <w:sz w:val="44"/>
          <w:szCs w:val="44"/>
          <w:lang w:eastAsia="zh-CN"/>
        </w:rPr>
        <w:t>项目征地补偿安置方案公告</w:t>
      </w:r>
    </w:p>
    <w:p w14:paraId="673FBAA4">
      <w:pPr>
        <w:keepNext w:val="0"/>
        <w:keepLines w:val="0"/>
        <w:pageBreakBefore w:val="0"/>
        <w:kinsoku/>
        <w:wordWrap/>
        <w:overflowPunct/>
        <w:topLinePunct w:val="0"/>
        <w:autoSpaceDE w:val="0"/>
        <w:autoSpaceDN/>
        <w:bidi w:val="0"/>
        <w:adjustRightInd/>
        <w:snapToGrid/>
        <w:spacing w:line="560" w:lineRule="exact"/>
        <w:jc w:val="center"/>
        <w:rPr>
          <w:rFonts w:hint="eastAsia" w:ascii="仿宋_GB2312" w:hAnsi="仿宋_GB2312" w:eastAsia="仿宋_GB2312" w:cs="仿宋_GB2312"/>
          <w:bCs/>
          <w:sz w:val="32"/>
          <w:szCs w:val="32"/>
        </w:rPr>
      </w:pPr>
    </w:p>
    <w:p w14:paraId="3A74D003">
      <w:pPr>
        <w:keepNext w:val="0"/>
        <w:keepLines w:val="0"/>
        <w:pageBreakBefore w:val="0"/>
        <w:kinsoku/>
        <w:wordWrap/>
        <w:overflowPunct/>
        <w:topLinePunct w:val="0"/>
        <w:autoSpaceDE w:val="0"/>
        <w:autoSpaceDN/>
        <w:bidi w:val="0"/>
        <w:adjustRightInd/>
        <w:snapToGrid/>
        <w:spacing w:line="560" w:lineRule="exact"/>
        <w:jc w:val="center"/>
        <w:rPr>
          <w:rFonts w:hint="eastAsia" w:ascii="仿宋_GB2312" w:eastAsia="仿宋_GB2312"/>
          <w:bCs/>
          <w:kern w:val="0"/>
          <w:sz w:val="32"/>
          <w:szCs w:val="32"/>
        </w:rPr>
      </w:pPr>
      <w:r>
        <w:rPr>
          <w:rFonts w:hint="eastAsia" w:ascii="仿宋_GB2312" w:hAnsi="仿宋_GB2312" w:eastAsia="仿宋_GB2312" w:cs="仿宋_GB2312"/>
          <w:bCs/>
          <w:sz w:val="32"/>
          <w:szCs w:val="32"/>
        </w:rPr>
        <w:t>韶武府征补告〔2026</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val="en-US" w:eastAsia="zh-CN"/>
        </w:rPr>
        <w:t>9</w:t>
      </w:r>
      <w:r>
        <w:rPr>
          <w:rFonts w:hint="eastAsia" w:ascii="仿宋_GB2312" w:hAnsi="仿宋_GB2312" w:eastAsia="仿宋_GB2312" w:cs="仿宋_GB2312"/>
          <w:bCs/>
          <w:sz w:val="32"/>
          <w:szCs w:val="32"/>
        </w:rPr>
        <w:t>号</w:t>
      </w:r>
    </w:p>
    <w:p w14:paraId="167F5617">
      <w:pPr>
        <w:keepNext w:val="0"/>
        <w:keepLines w:val="0"/>
        <w:pageBreakBefore w:val="0"/>
        <w:kinsoku/>
        <w:wordWrap/>
        <w:overflowPunct/>
        <w:autoSpaceDN/>
        <w:bidi w:val="0"/>
        <w:adjustRightInd/>
        <w:snapToGrid/>
        <w:spacing w:line="560" w:lineRule="exact"/>
        <w:ind w:firstLine="640" w:firstLineChars="200"/>
        <w:rPr>
          <w:rFonts w:hint="eastAsia" w:ascii="仿宋_GB2312" w:hAnsi="宋体" w:eastAsia="仿宋_GB2312" w:cs="宋体"/>
          <w:bCs/>
          <w:kern w:val="2"/>
          <w:sz w:val="32"/>
          <w:szCs w:val="32"/>
          <w:lang w:val="en-US" w:eastAsia="zh-CN" w:bidi="ar-SA"/>
        </w:rPr>
      </w:pPr>
    </w:p>
    <w:p w14:paraId="5D31630B">
      <w:pPr>
        <w:keepNext w:val="0"/>
        <w:keepLines w:val="0"/>
        <w:pageBreakBefore w:val="0"/>
        <w:kinsoku/>
        <w:wordWrap/>
        <w:overflowPunct/>
        <w:autoSpaceDN/>
        <w:bidi w:val="0"/>
        <w:adjustRightInd/>
        <w:snapToGrid/>
        <w:spacing w:line="560" w:lineRule="exact"/>
        <w:ind w:firstLine="640" w:firstLineChars="200"/>
        <w:rPr>
          <w:rFonts w:hint="eastAsia" w:ascii="仿宋_GB2312" w:hAnsi="宋体" w:eastAsia="仿宋_GB2312" w:cs="宋体"/>
          <w:bCs/>
          <w:kern w:val="2"/>
          <w:sz w:val="32"/>
          <w:szCs w:val="32"/>
          <w:lang w:val="en-US" w:eastAsia="zh-CN" w:bidi="ar-SA"/>
        </w:rPr>
      </w:pPr>
      <w:r>
        <w:rPr>
          <w:rFonts w:hint="eastAsia" w:ascii="仿宋_GB2312" w:hAnsi="宋体" w:eastAsia="仿宋_GB2312" w:cs="宋体"/>
          <w:bCs/>
          <w:kern w:val="2"/>
          <w:sz w:val="32"/>
          <w:szCs w:val="32"/>
          <w:lang w:val="en-US" w:eastAsia="zh-CN" w:bidi="ar-SA"/>
        </w:rPr>
        <w:t>根据《中华人民共和国土地管理法》第四十七条、第四十八条，《中华人民共和国土地管理法实施条例》第二十七条、第二十八条，《广东省土地管理条例》第三十条的规定，我府组织编制了韶关市武江区2026年度第十四批次城镇建设用地项目征收土地补偿安置方案，现将征收土地补偿安置有关事项公告如下：</w:t>
      </w:r>
    </w:p>
    <w:p w14:paraId="6F0D46F8">
      <w:pPr>
        <w:keepNext w:val="0"/>
        <w:keepLines w:val="0"/>
        <w:pageBreakBefore w:val="0"/>
        <w:widowControl w:val="0"/>
        <w:kinsoku/>
        <w:wordWrap/>
        <w:overflowPunct/>
        <w:topLinePunct w:val="0"/>
        <w:autoSpaceDE/>
        <w:autoSpaceDN/>
        <w:bidi w:val="0"/>
        <w:adjustRightInd/>
        <w:snapToGrid/>
        <w:spacing w:before="80" w:line="560" w:lineRule="exact"/>
        <w:ind w:firstLine="640" w:firstLineChars="200"/>
        <w:jc w:val="left"/>
        <w:textAlignment w:val="auto"/>
        <w:rPr>
          <w:rFonts w:hint="eastAsia" w:ascii="黑体" w:hAnsi="黑体" w:eastAsia="黑体" w:cs="宋体"/>
          <w:sz w:val="32"/>
          <w:szCs w:val="32"/>
        </w:rPr>
      </w:pPr>
      <w:r>
        <w:rPr>
          <w:rFonts w:hint="eastAsia" w:ascii="黑体" w:hAnsi="黑体" w:eastAsia="黑体" w:cs="宋体"/>
          <w:sz w:val="32"/>
          <w:szCs w:val="32"/>
        </w:rPr>
        <w:t>一</w:t>
      </w:r>
      <w:r>
        <w:rPr>
          <w:rFonts w:hint="eastAsia" w:ascii="黑体" w:hAnsi="黑体" w:eastAsia="黑体" w:cs="宋体"/>
          <w:sz w:val="32"/>
          <w:szCs w:val="32"/>
          <w:lang w:eastAsia="zh-CN"/>
        </w:rPr>
        <w:t>、</w:t>
      </w:r>
      <w:r>
        <w:rPr>
          <w:rFonts w:hint="eastAsia" w:ascii="黑体" w:hAnsi="黑体" w:eastAsia="黑体" w:cs="宋体"/>
          <w:sz w:val="32"/>
          <w:szCs w:val="32"/>
        </w:rPr>
        <w:t>征收范围</w:t>
      </w:r>
    </w:p>
    <w:p w14:paraId="0E714AD1">
      <w:pPr>
        <w:pStyle w:val="5"/>
        <w:keepNext w:val="0"/>
        <w:keepLines w:val="0"/>
        <w:pageBreakBefore w:val="0"/>
        <w:widowControl w:val="0"/>
        <w:kinsoku/>
        <w:wordWrap/>
        <w:overflowPunct/>
        <w:topLinePunct w:val="0"/>
        <w:autoSpaceDE/>
        <w:autoSpaceDN/>
        <w:bidi w:val="0"/>
        <w:adjustRightInd/>
        <w:snapToGrid/>
        <w:spacing w:line="560" w:lineRule="exact"/>
        <w:ind w:right="0" w:firstLine="640" w:firstLineChars="200"/>
        <w:textAlignment w:val="auto"/>
        <w:rPr>
          <w:rFonts w:hint="eastAsia" w:ascii="仿宋_GB2312" w:hAnsi="宋体" w:eastAsia="仿宋_GB2312" w:cs="宋体"/>
          <w:bCs/>
          <w:sz w:val="32"/>
          <w:szCs w:val="32"/>
          <w:lang w:eastAsia="zh-CN"/>
        </w:rPr>
      </w:pPr>
      <w:r>
        <w:rPr>
          <w:rFonts w:hint="eastAsia" w:ascii="仿宋_GB2312" w:hAnsi="宋体" w:eastAsia="仿宋_GB2312" w:cs="宋体"/>
          <w:bCs/>
          <w:sz w:val="32"/>
          <w:szCs w:val="32"/>
          <w:lang w:val="en-US" w:eastAsia="zh-CN"/>
        </w:rPr>
        <w:t>拟征收土地位于韶关市武江区西河镇村头股份经济联合社，具体位置详见附图。</w:t>
      </w:r>
      <w:r>
        <w:rPr>
          <w:rFonts w:hint="eastAsia" w:ascii="仿宋_GB2312" w:hAnsi="宋体" w:eastAsia="仿宋_GB2312" w:cs="宋体"/>
          <w:bCs/>
          <w:sz w:val="32"/>
          <w:szCs w:val="32"/>
          <w:lang w:eastAsia="zh-CN"/>
        </w:rPr>
        <w:t>实际征收土地范围以最终批准文件为准。</w:t>
      </w:r>
    </w:p>
    <w:p w14:paraId="06D508F3">
      <w:pPr>
        <w:keepNext w:val="0"/>
        <w:keepLines w:val="0"/>
        <w:pageBreakBefore w:val="0"/>
        <w:widowControl w:val="0"/>
        <w:kinsoku/>
        <w:wordWrap/>
        <w:overflowPunct/>
        <w:topLinePunct w:val="0"/>
        <w:autoSpaceDE/>
        <w:autoSpaceDN/>
        <w:bidi w:val="0"/>
        <w:adjustRightInd/>
        <w:snapToGrid/>
        <w:spacing w:before="80" w:line="560" w:lineRule="exact"/>
        <w:ind w:firstLine="640" w:firstLineChars="200"/>
        <w:jc w:val="left"/>
        <w:textAlignment w:val="auto"/>
        <w:rPr>
          <w:rFonts w:hint="eastAsia" w:ascii="黑体" w:hAnsi="黑体" w:eastAsia="黑体" w:cs="宋体"/>
          <w:sz w:val="32"/>
          <w:szCs w:val="32"/>
        </w:rPr>
      </w:pPr>
      <w:r>
        <w:rPr>
          <w:rFonts w:hint="eastAsia" w:ascii="黑体" w:hAnsi="黑体" w:eastAsia="黑体" w:cs="宋体"/>
          <w:sz w:val="32"/>
          <w:szCs w:val="32"/>
        </w:rPr>
        <w:t>二、征收目的</w:t>
      </w:r>
    </w:p>
    <w:p w14:paraId="48DD4C63">
      <w:pPr>
        <w:keepNext w:val="0"/>
        <w:keepLines w:val="0"/>
        <w:pageBreakBefore w:val="0"/>
        <w:kinsoku/>
        <w:wordWrap/>
        <w:overflowPunct/>
        <w:autoSpaceDN/>
        <w:bidi w:val="0"/>
        <w:adjustRightInd/>
        <w:snapToGrid/>
        <w:spacing w:line="560" w:lineRule="exact"/>
        <w:ind w:firstLine="640" w:firstLineChars="200"/>
        <w:jc w:val="both"/>
        <w:rPr>
          <w:rFonts w:hint="eastAsia" w:ascii="仿宋_GB2312" w:hAnsi="宋体" w:eastAsia="仿宋_GB2312" w:cs="宋体"/>
          <w:bCs/>
          <w:sz w:val="32"/>
          <w:szCs w:val="32"/>
        </w:rPr>
      </w:pPr>
      <w:r>
        <w:rPr>
          <w:rFonts w:hint="eastAsia" w:ascii="仿宋_GB2312" w:hAnsi="宋体" w:eastAsia="仿宋_GB2312" w:cs="宋体"/>
          <w:bCs/>
          <w:sz w:val="32"/>
          <w:szCs w:val="32"/>
          <w:lang w:val="en-US" w:eastAsia="zh-CN"/>
        </w:rPr>
        <w:t>根据《中华人民共和国土地管理法》第四十五条的规定，本次征收土地目的为芙蓉消防站及新消防站指挥中心出入口及门岗补缺地块项目建设的需要，符合</w:t>
      </w:r>
      <w:r>
        <w:rPr>
          <w:rFonts w:hint="eastAsia" w:ascii="仿宋_GB2312" w:hAnsi="宋体" w:eastAsia="仿宋_GB2312" w:cs="宋体"/>
          <w:bCs/>
          <w:color w:val="auto"/>
          <w:sz w:val="32"/>
          <w:szCs w:val="32"/>
          <w:lang w:eastAsia="zh-CN"/>
        </w:rPr>
        <w:t>《中华人民共和国土地管理法》第四十五条</w:t>
      </w:r>
      <w:r>
        <w:rPr>
          <w:rFonts w:hint="eastAsia" w:ascii="仿宋_GB2312" w:hAnsi="宋体" w:eastAsia="仿宋_GB2312" w:cs="宋体"/>
          <w:bCs/>
          <w:sz w:val="32"/>
          <w:szCs w:val="32"/>
          <w:lang w:val="en-US" w:eastAsia="zh-CN"/>
        </w:rPr>
        <w:t>第（三）项规定，属于</w:t>
      </w:r>
      <w:r>
        <w:rPr>
          <w:rFonts w:hint="eastAsia" w:ascii="仿宋_GB2312" w:hAnsi="宋体" w:eastAsia="仿宋_GB2312" w:cs="宋体"/>
          <w:bCs/>
          <w:sz w:val="32"/>
          <w:szCs w:val="32"/>
        </w:rPr>
        <w:t>“由政府组织实施的科技、教育、文化、卫生、体育、生态环境和资源保护、防灾减灾、文物保护、社区综合服务、社会福利、市政公用、优抚安置、英烈保护等公共事业需要用地的”</w:t>
      </w:r>
      <w:r>
        <w:rPr>
          <w:rFonts w:hint="eastAsia" w:ascii="仿宋_GB2312" w:hAnsi="宋体" w:eastAsia="仿宋_GB2312" w:cs="宋体"/>
          <w:bCs/>
          <w:color w:val="auto"/>
          <w:sz w:val="32"/>
          <w:szCs w:val="32"/>
          <w:lang w:val="en-US" w:eastAsia="zh-CN"/>
        </w:rPr>
        <w:t>情形</w:t>
      </w:r>
      <w:r>
        <w:rPr>
          <w:rFonts w:hint="eastAsia" w:ascii="仿宋_GB2312" w:hAnsi="宋体" w:eastAsia="仿宋_GB2312" w:cs="宋体"/>
          <w:bCs/>
          <w:sz w:val="32"/>
          <w:szCs w:val="32"/>
          <w:lang w:val="en-US" w:eastAsia="zh-CN"/>
        </w:rPr>
        <w:t>。</w:t>
      </w:r>
    </w:p>
    <w:p w14:paraId="3CC658A4">
      <w:pPr>
        <w:keepNext w:val="0"/>
        <w:keepLines w:val="0"/>
        <w:pageBreakBefore w:val="0"/>
        <w:widowControl w:val="0"/>
        <w:kinsoku/>
        <w:wordWrap/>
        <w:overflowPunct/>
        <w:topLinePunct w:val="0"/>
        <w:autoSpaceDE/>
        <w:autoSpaceDN/>
        <w:bidi w:val="0"/>
        <w:adjustRightInd/>
        <w:snapToGrid/>
        <w:spacing w:before="80" w:line="560" w:lineRule="exact"/>
        <w:ind w:firstLine="640" w:firstLineChars="200"/>
        <w:jc w:val="left"/>
        <w:textAlignment w:val="auto"/>
        <w:rPr>
          <w:rFonts w:hint="eastAsia" w:ascii="黑体" w:hAnsi="黑体" w:eastAsia="黑体" w:cs="宋体"/>
          <w:sz w:val="32"/>
          <w:szCs w:val="32"/>
        </w:rPr>
      </w:pPr>
      <w:r>
        <w:rPr>
          <w:rFonts w:hint="eastAsia" w:ascii="黑体" w:hAnsi="黑体" w:eastAsia="黑体" w:cs="宋体"/>
          <w:sz w:val="32"/>
          <w:szCs w:val="32"/>
        </w:rPr>
        <w:t>三</w:t>
      </w:r>
      <w:r>
        <w:rPr>
          <w:rFonts w:hint="eastAsia" w:ascii="黑体" w:hAnsi="黑体" w:eastAsia="黑体" w:cs="宋体"/>
          <w:sz w:val="32"/>
          <w:szCs w:val="32"/>
          <w:lang w:eastAsia="zh-CN"/>
        </w:rPr>
        <w:t>、</w:t>
      </w:r>
      <w:r>
        <w:rPr>
          <w:rFonts w:hint="eastAsia" w:ascii="黑体" w:hAnsi="黑体" w:eastAsia="黑体" w:cs="宋体"/>
          <w:sz w:val="32"/>
          <w:szCs w:val="32"/>
          <w:lang w:val="en-US" w:eastAsia="zh-CN"/>
        </w:rPr>
        <w:t>土</w:t>
      </w:r>
      <w:r>
        <w:rPr>
          <w:rFonts w:hint="eastAsia" w:ascii="黑体" w:hAnsi="黑体" w:eastAsia="黑体" w:cs="宋体"/>
          <w:sz w:val="32"/>
          <w:szCs w:val="32"/>
        </w:rPr>
        <w:t>地现状</w:t>
      </w:r>
    </w:p>
    <w:p w14:paraId="2E201CA0">
      <w:pPr>
        <w:pStyle w:val="5"/>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pPr>
      <w:r>
        <w:rPr>
          <w:rFonts w:hint="eastAsia" w:ascii="楷体_GB2312" w:hAnsi="楷体_GB2312" w:eastAsia="楷体_GB2312" w:cs="楷体_GB2312"/>
          <w:bCs/>
          <w:sz w:val="32"/>
          <w:szCs w:val="32"/>
          <w:lang w:eastAsia="zh-CN"/>
        </w:rPr>
        <w:t>（</w:t>
      </w:r>
      <w:r>
        <w:rPr>
          <w:rFonts w:hint="eastAsia" w:ascii="楷体_GB2312" w:hAnsi="楷体_GB2312" w:eastAsia="楷体_GB2312" w:cs="楷体_GB2312"/>
          <w:bCs/>
          <w:sz w:val="32"/>
          <w:szCs w:val="32"/>
          <w:lang w:val="en-US" w:eastAsia="zh-CN"/>
        </w:rPr>
        <w:t>一</w:t>
      </w:r>
      <w:r>
        <w:rPr>
          <w:rFonts w:hint="eastAsia" w:ascii="楷体_GB2312" w:hAnsi="楷体_GB2312" w:eastAsia="楷体_GB2312" w:cs="楷体_GB2312"/>
          <w:bCs/>
          <w:sz w:val="32"/>
          <w:szCs w:val="32"/>
          <w:lang w:eastAsia="zh-CN"/>
        </w:rPr>
        <w:t>）根据拟征收土地现状调查结果，拟征收土地现状为：</w:t>
      </w:r>
    </w:p>
    <w:p w14:paraId="6B40222C">
      <w:pPr>
        <w:pStyle w:val="5"/>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right="0" w:firstLine="640" w:firstLineChars="200"/>
        <w:textAlignment w:val="auto"/>
        <w:rPr>
          <w:rFonts w:hint="eastAsia" w:ascii="仿宋_GB2312" w:hAnsi="宋体" w:eastAsia="仿宋_GB2312" w:cs="宋体"/>
          <w:bCs/>
          <w:sz w:val="32"/>
          <w:szCs w:val="32"/>
          <w:lang w:val="en-US" w:eastAsia="zh-CN"/>
        </w:rPr>
      </w:pPr>
      <w:r>
        <w:rPr>
          <w:rFonts w:hint="eastAsia" w:ascii="仿宋_GB2312" w:hAnsi="宋体" w:eastAsia="仿宋_GB2312" w:cs="宋体"/>
          <w:bCs/>
          <w:sz w:val="32"/>
          <w:szCs w:val="32"/>
          <w:lang w:eastAsia="zh-CN"/>
        </w:rPr>
        <w:t>拟征收</w:t>
      </w:r>
      <w:r>
        <w:rPr>
          <w:rFonts w:hint="eastAsia" w:ascii="仿宋_GB2312" w:hAnsi="宋体" w:eastAsia="仿宋_GB2312" w:cs="宋体"/>
          <w:bCs/>
          <w:sz w:val="32"/>
          <w:szCs w:val="32"/>
          <w:lang w:val="en-US" w:eastAsia="zh-CN"/>
        </w:rPr>
        <w:t>韶关市武江区西河镇村头股份经济联合社集体所有土地0.7286</w:t>
      </w:r>
      <w:r>
        <w:rPr>
          <w:rFonts w:hint="eastAsia" w:ascii="仿宋_GB2312" w:hAnsi="宋体" w:eastAsia="仿宋_GB2312" w:cs="宋体"/>
          <w:bCs/>
          <w:sz w:val="32"/>
          <w:szCs w:val="32"/>
          <w:lang w:eastAsia="zh-CN"/>
        </w:rPr>
        <w:t>公顷(10.929</w:t>
      </w:r>
      <w:r>
        <w:rPr>
          <w:rFonts w:hint="eastAsia" w:ascii="仿宋_GB2312" w:hAnsi="宋体" w:eastAsia="仿宋_GB2312" w:cs="宋体"/>
          <w:bCs/>
          <w:sz w:val="32"/>
          <w:szCs w:val="32"/>
          <w:lang w:val="en-US" w:eastAsia="zh-CN"/>
        </w:rPr>
        <w:t>0</w:t>
      </w:r>
      <w:r>
        <w:rPr>
          <w:rFonts w:hint="eastAsia" w:ascii="仿宋_GB2312" w:hAnsi="宋体" w:eastAsia="仿宋_GB2312" w:cs="宋体"/>
          <w:bCs/>
          <w:sz w:val="32"/>
          <w:szCs w:val="32"/>
          <w:lang w:eastAsia="zh-CN"/>
        </w:rPr>
        <w:t>亩），</w:t>
      </w:r>
      <w:r>
        <w:rPr>
          <w:rFonts w:hint="eastAsia" w:ascii="仿宋_GB2312" w:hAnsi="宋体" w:eastAsia="仿宋_GB2312" w:cs="宋体"/>
          <w:bCs/>
          <w:sz w:val="32"/>
          <w:szCs w:val="32"/>
          <w:lang w:val="en-US" w:eastAsia="zh-CN"/>
        </w:rPr>
        <w:t>其中农用地0.0414公顷（0.6210亩）[含耕地0.0400公顷（0.6000亩）、其他农用地（不含养殖水面）0.0014公顷（0.0210亩）]、</w:t>
      </w:r>
      <w:r>
        <w:rPr>
          <w:rFonts w:hint="eastAsia" w:ascii="仿宋_GB2312" w:hAnsi="宋体" w:eastAsia="仿宋_GB2312" w:cs="宋体"/>
          <w:bCs/>
          <w:sz w:val="32"/>
          <w:szCs w:val="32"/>
          <w:lang w:eastAsia="zh-CN"/>
        </w:rPr>
        <w:t>建设用地</w:t>
      </w:r>
      <w:r>
        <w:rPr>
          <w:rFonts w:hint="eastAsia" w:ascii="仿宋_GB2312" w:hAnsi="宋体" w:eastAsia="仿宋_GB2312" w:cs="宋体"/>
          <w:bCs/>
          <w:sz w:val="32"/>
          <w:szCs w:val="32"/>
          <w:lang w:val="en-US" w:eastAsia="zh-CN"/>
        </w:rPr>
        <w:t>0.6872</w:t>
      </w:r>
      <w:r>
        <w:rPr>
          <w:rFonts w:hint="eastAsia" w:ascii="仿宋_GB2312" w:hAnsi="宋体" w:eastAsia="仿宋_GB2312" w:cs="宋体"/>
          <w:bCs/>
          <w:sz w:val="32"/>
          <w:szCs w:val="32"/>
          <w:lang w:eastAsia="zh-CN"/>
        </w:rPr>
        <w:t>公顷（</w:t>
      </w:r>
      <w:r>
        <w:rPr>
          <w:rFonts w:hint="eastAsia" w:ascii="仿宋_GB2312" w:hAnsi="宋体" w:eastAsia="仿宋_GB2312" w:cs="宋体"/>
          <w:bCs/>
          <w:sz w:val="32"/>
          <w:szCs w:val="32"/>
          <w:lang w:val="en-US" w:eastAsia="zh-CN"/>
        </w:rPr>
        <w:t>10.3080亩</w:t>
      </w:r>
      <w:r>
        <w:rPr>
          <w:rFonts w:hint="eastAsia" w:ascii="仿宋_GB2312" w:hAnsi="宋体" w:eastAsia="仿宋_GB2312" w:cs="宋体"/>
          <w:bCs/>
          <w:sz w:val="32"/>
          <w:szCs w:val="32"/>
          <w:lang w:eastAsia="zh-CN"/>
        </w:rPr>
        <w:t>）</w:t>
      </w:r>
      <w:r>
        <w:rPr>
          <w:rFonts w:hint="eastAsia" w:ascii="仿宋_GB2312" w:hAnsi="宋体" w:eastAsia="仿宋_GB2312" w:cs="宋体"/>
          <w:bCs/>
          <w:sz w:val="32"/>
          <w:szCs w:val="32"/>
          <w:lang w:val="en-US" w:eastAsia="zh-CN"/>
        </w:rPr>
        <w:t>。</w:t>
      </w:r>
    </w:p>
    <w:p w14:paraId="4133F2A1">
      <w:pPr>
        <w:pStyle w:val="5"/>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right="0" w:firstLine="640" w:firstLineChars="200"/>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bCs/>
          <w:sz w:val="32"/>
          <w:szCs w:val="32"/>
          <w:lang w:val="en-US" w:eastAsia="zh-CN"/>
        </w:rPr>
        <w:t>（二）</w:t>
      </w:r>
      <w:r>
        <w:rPr>
          <w:rFonts w:hint="eastAsia" w:ascii="楷体_GB2312" w:hAnsi="楷体_GB2312" w:eastAsia="楷体_GB2312" w:cs="楷体_GB2312"/>
          <w:bCs/>
          <w:sz w:val="32"/>
          <w:szCs w:val="32"/>
          <w:highlight w:val="none"/>
          <w:lang w:val="en-US" w:eastAsia="zh-CN"/>
        </w:rPr>
        <w:t>根据用地报批要求，上述拟征收土地报批地类为</w:t>
      </w:r>
      <w:r>
        <w:rPr>
          <w:rFonts w:hint="eastAsia" w:ascii="楷体_GB2312" w:hAnsi="楷体_GB2312" w:eastAsia="楷体_GB2312" w:cs="楷体_GB2312"/>
          <w:bCs/>
          <w:sz w:val="32"/>
          <w:szCs w:val="32"/>
          <w:lang w:val="en-US" w:eastAsia="zh-CN"/>
        </w:rPr>
        <w:t>：</w:t>
      </w:r>
    </w:p>
    <w:p w14:paraId="0B6F3FB1">
      <w:pPr>
        <w:pStyle w:val="5"/>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right="0" w:firstLine="640" w:firstLineChars="200"/>
        <w:textAlignment w:val="auto"/>
        <w:rPr>
          <w:rFonts w:hint="eastAsia" w:ascii="仿宋_GB2312" w:hAnsi="宋体" w:eastAsia="仿宋_GB2312" w:cs="宋体"/>
          <w:bCs/>
          <w:sz w:val="32"/>
          <w:szCs w:val="32"/>
          <w:lang w:val="en-US" w:eastAsia="zh-CN"/>
        </w:rPr>
      </w:pPr>
      <w:r>
        <w:rPr>
          <w:rFonts w:hint="eastAsia" w:ascii="仿宋_GB2312" w:hAnsi="仿宋_GB2312" w:eastAsia="仿宋_GB2312" w:cs="仿宋_GB2312"/>
          <w:sz w:val="32"/>
          <w:szCs w:val="32"/>
          <w:highlight w:val="none"/>
          <w:lang w:eastAsia="zh-CN"/>
        </w:rPr>
        <w:t>拟征收</w:t>
      </w:r>
      <w:r>
        <w:rPr>
          <w:rFonts w:hint="eastAsia" w:ascii="仿宋_GB2312" w:hAnsi="宋体" w:eastAsia="仿宋_GB2312" w:cs="宋体"/>
          <w:bCs/>
          <w:sz w:val="32"/>
          <w:szCs w:val="32"/>
          <w:lang w:val="en-US" w:eastAsia="zh-CN"/>
        </w:rPr>
        <w:t>韶关市武江区西河镇村头股份经济联合社</w:t>
      </w:r>
      <w:r>
        <w:rPr>
          <w:rFonts w:hint="eastAsia" w:ascii="仿宋_GB2312" w:hAnsi="仿宋_GB2312" w:eastAsia="仿宋_GB2312" w:cs="仿宋_GB2312"/>
          <w:sz w:val="32"/>
          <w:szCs w:val="32"/>
          <w:highlight w:val="none"/>
          <w:lang w:eastAsia="zh-CN"/>
        </w:rPr>
        <w:t>集体所有土地</w:t>
      </w:r>
      <w:r>
        <w:rPr>
          <w:rFonts w:hint="eastAsia" w:ascii="仿宋_GB2312" w:hAnsi="宋体" w:eastAsia="仿宋_GB2312" w:cs="宋体"/>
          <w:bCs/>
          <w:sz w:val="32"/>
          <w:szCs w:val="32"/>
          <w:lang w:val="en-US" w:eastAsia="zh-CN"/>
        </w:rPr>
        <w:t>0.7286</w:t>
      </w:r>
      <w:r>
        <w:rPr>
          <w:rFonts w:hint="eastAsia" w:ascii="仿宋_GB2312" w:hAnsi="宋体" w:eastAsia="仿宋_GB2312" w:cs="宋体"/>
          <w:bCs/>
          <w:sz w:val="32"/>
          <w:szCs w:val="32"/>
          <w:lang w:eastAsia="zh-CN"/>
        </w:rPr>
        <w:t>公顷(10.929</w:t>
      </w:r>
      <w:r>
        <w:rPr>
          <w:rFonts w:hint="eastAsia" w:ascii="仿宋_GB2312" w:hAnsi="宋体" w:eastAsia="仿宋_GB2312" w:cs="宋体"/>
          <w:bCs/>
          <w:sz w:val="32"/>
          <w:szCs w:val="32"/>
          <w:lang w:val="en-US" w:eastAsia="zh-CN"/>
        </w:rPr>
        <w:t>0</w:t>
      </w:r>
      <w:r>
        <w:rPr>
          <w:rFonts w:hint="eastAsia" w:ascii="仿宋_GB2312" w:hAnsi="宋体" w:eastAsia="仿宋_GB2312" w:cs="宋体"/>
          <w:bCs/>
          <w:sz w:val="32"/>
          <w:szCs w:val="32"/>
          <w:lang w:eastAsia="zh-CN"/>
        </w:rPr>
        <w:t>亩）</w:t>
      </w:r>
      <w:r>
        <w:rPr>
          <w:rFonts w:hint="eastAsia" w:ascii="仿宋_GB2312" w:hAnsi="仿宋_GB2312" w:eastAsia="仿宋_GB2312" w:cs="仿宋_GB2312"/>
          <w:sz w:val="32"/>
          <w:szCs w:val="32"/>
          <w:highlight w:val="none"/>
          <w:lang w:eastAsia="zh-CN"/>
        </w:rPr>
        <w:t>。其中，</w:t>
      </w:r>
      <w:r>
        <w:rPr>
          <w:rFonts w:ascii="仿宋_GB2312" w:hAnsi="宋体" w:eastAsia="仿宋_GB2312" w:cs="宋体"/>
          <w:bCs/>
          <w:sz w:val="32"/>
          <w:szCs w:val="32"/>
        </w:rPr>
        <w:t>农用地</w:t>
      </w:r>
      <w:r>
        <w:rPr>
          <w:rFonts w:hint="eastAsia" w:ascii="仿宋_GB2312" w:hAnsi="宋体" w:eastAsia="仿宋_GB2312" w:cs="宋体"/>
          <w:bCs/>
          <w:sz w:val="32"/>
          <w:szCs w:val="32"/>
          <w:lang w:val="en-US" w:eastAsia="zh-CN"/>
        </w:rPr>
        <w:t>0.7286</w:t>
      </w:r>
      <w:r>
        <w:rPr>
          <w:rFonts w:ascii="仿宋_GB2312" w:hAnsi="宋体" w:eastAsia="仿宋_GB2312" w:cs="宋体"/>
          <w:bCs/>
          <w:sz w:val="32"/>
          <w:szCs w:val="32"/>
        </w:rPr>
        <w:t>公顷</w:t>
      </w:r>
      <w:r>
        <w:rPr>
          <w:rFonts w:hint="eastAsia" w:ascii="仿宋_GB2312" w:hAnsi="宋体" w:eastAsia="仿宋_GB2312" w:cs="宋体"/>
          <w:bCs/>
          <w:sz w:val="32"/>
          <w:szCs w:val="32"/>
          <w:lang w:val="en-US" w:eastAsia="zh-CN"/>
        </w:rPr>
        <w:t>（</w:t>
      </w:r>
      <w:r>
        <w:rPr>
          <w:rFonts w:hint="eastAsia" w:ascii="仿宋_GB2312" w:hAnsi="宋体" w:eastAsia="仿宋_GB2312" w:cs="宋体"/>
          <w:bCs/>
          <w:sz w:val="32"/>
          <w:szCs w:val="32"/>
          <w:lang w:eastAsia="zh-CN"/>
        </w:rPr>
        <w:t>10.929</w:t>
      </w:r>
      <w:r>
        <w:rPr>
          <w:rFonts w:hint="eastAsia" w:ascii="仿宋_GB2312" w:hAnsi="宋体" w:eastAsia="仿宋_GB2312" w:cs="宋体"/>
          <w:bCs/>
          <w:sz w:val="32"/>
          <w:szCs w:val="32"/>
          <w:lang w:val="en-US" w:eastAsia="zh-CN"/>
        </w:rPr>
        <w:t>0</w:t>
      </w:r>
      <w:r>
        <w:rPr>
          <w:rFonts w:hint="eastAsia" w:ascii="仿宋_GB2312" w:hAnsi="宋体" w:eastAsia="仿宋_GB2312" w:cs="宋体"/>
          <w:bCs/>
          <w:sz w:val="32"/>
          <w:szCs w:val="32"/>
          <w:lang w:eastAsia="zh-CN"/>
        </w:rPr>
        <w:t>亩</w:t>
      </w:r>
      <w:r>
        <w:rPr>
          <w:rFonts w:hint="eastAsia" w:ascii="仿宋_GB2312" w:hAnsi="宋体" w:eastAsia="仿宋_GB2312" w:cs="宋体"/>
          <w:bCs/>
          <w:sz w:val="32"/>
          <w:szCs w:val="32"/>
          <w:lang w:val="en-US" w:eastAsia="zh-CN"/>
        </w:rPr>
        <w:t>），含耕地0.7212公顷（10.8180亩）、养殖水面0.0002公顷（0.0030亩）、其他农用地（不含养殖水面）0.0072公顷（0.1080亩）</w:t>
      </w:r>
      <w:r>
        <w:rPr>
          <w:rFonts w:hint="eastAsia" w:ascii="仿宋_GB2312" w:hAnsi="仿宋_GB2312" w:eastAsia="仿宋_GB2312" w:cs="仿宋_GB2312"/>
          <w:sz w:val="32"/>
          <w:szCs w:val="32"/>
          <w:highlight w:val="none"/>
          <w:lang w:val="en-US" w:eastAsia="zh-CN"/>
        </w:rPr>
        <w:t>。</w:t>
      </w:r>
    </w:p>
    <w:p w14:paraId="612846D0">
      <w:pPr>
        <w:keepNext w:val="0"/>
        <w:keepLines w:val="0"/>
        <w:pageBreakBefore w:val="0"/>
        <w:widowControl w:val="0"/>
        <w:kinsoku/>
        <w:wordWrap/>
        <w:overflowPunct/>
        <w:topLinePunct w:val="0"/>
        <w:autoSpaceDE/>
        <w:autoSpaceDN/>
        <w:bidi w:val="0"/>
        <w:adjustRightInd/>
        <w:snapToGrid/>
        <w:spacing w:before="80" w:line="560" w:lineRule="exact"/>
        <w:ind w:firstLine="640" w:firstLineChars="200"/>
        <w:jc w:val="left"/>
        <w:textAlignment w:val="auto"/>
        <w:rPr>
          <w:rFonts w:hint="eastAsia" w:ascii="黑体" w:hAnsi="黑体" w:eastAsia="黑体" w:cs="宋体"/>
          <w:sz w:val="32"/>
          <w:szCs w:val="32"/>
        </w:rPr>
      </w:pPr>
      <w:r>
        <w:rPr>
          <w:rFonts w:hint="eastAsia" w:ascii="黑体" w:hAnsi="黑体" w:eastAsia="黑体" w:cs="宋体"/>
          <w:sz w:val="32"/>
          <w:szCs w:val="32"/>
        </w:rPr>
        <w:t>四、补偿方式和标准</w:t>
      </w:r>
    </w:p>
    <w:p w14:paraId="3ABA6A47">
      <w:pPr>
        <w:pStyle w:val="5"/>
        <w:keepNext w:val="0"/>
        <w:keepLines w:val="0"/>
        <w:pageBreakBefore w:val="0"/>
        <w:widowControl w:val="0"/>
        <w:kinsoku/>
        <w:wordWrap/>
        <w:overflowPunct/>
        <w:topLinePunct w:val="0"/>
        <w:autoSpaceDE/>
        <w:autoSpaceDN/>
        <w:bidi w:val="0"/>
        <w:adjustRightInd/>
        <w:snapToGrid/>
        <w:spacing w:line="560" w:lineRule="exact"/>
        <w:ind w:right="0" w:firstLine="640" w:firstLineChars="200"/>
        <w:textAlignment w:val="auto"/>
        <w:rPr>
          <w:rFonts w:hint="eastAsia" w:ascii="楷体_GB2312" w:hAnsi="楷体_GB2312" w:eastAsia="楷体_GB2312" w:cs="楷体_GB2312"/>
          <w:bCs/>
          <w:sz w:val="32"/>
          <w:szCs w:val="32"/>
          <w:lang w:val="en-US" w:eastAsia="zh-CN"/>
        </w:rPr>
      </w:pPr>
      <w:r>
        <w:rPr>
          <w:rFonts w:hint="eastAsia" w:ascii="楷体_GB2312" w:hAnsi="楷体_GB2312" w:eastAsia="楷体_GB2312" w:cs="楷体_GB2312"/>
          <w:bCs/>
          <w:sz w:val="32"/>
          <w:szCs w:val="32"/>
          <w:lang w:eastAsia="zh-CN"/>
        </w:rPr>
        <w:t>（</w:t>
      </w:r>
      <w:r>
        <w:rPr>
          <w:rFonts w:hint="eastAsia" w:ascii="楷体_GB2312" w:hAnsi="楷体_GB2312" w:eastAsia="楷体_GB2312" w:cs="楷体_GB2312"/>
          <w:bCs/>
          <w:sz w:val="32"/>
          <w:szCs w:val="32"/>
          <w:lang w:val="en-US" w:eastAsia="zh-CN"/>
        </w:rPr>
        <w:t>一</w:t>
      </w:r>
      <w:r>
        <w:rPr>
          <w:rFonts w:hint="eastAsia" w:ascii="楷体_GB2312" w:hAnsi="楷体_GB2312" w:eastAsia="楷体_GB2312" w:cs="楷体_GB2312"/>
          <w:bCs/>
          <w:sz w:val="32"/>
          <w:szCs w:val="32"/>
          <w:lang w:eastAsia="zh-CN"/>
        </w:rPr>
        <w:t>）</w:t>
      </w:r>
      <w:r>
        <w:rPr>
          <w:rFonts w:hint="eastAsia" w:ascii="楷体_GB2312" w:hAnsi="楷体_GB2312" w:eastAsia="楷体_GB2312" w:cs="楷体_GB2312"/>
          <w:bCs/>
          <w:sz w:val="32"/>
          <w:szCs w:val="32"/>
          <w:lang w:val="en-US" w:eastAsia="zh-CN"/>
        </w:rPr>
        <w:t>土地补偿费和安置补助费标准</w:t>
      </w:r>
    </w:p>
    <w:p w14:paraId="42257F78">
      <w:pPr>
        <w:pStyle w:val="5"/>
        <w:keepNext w:val="0"/>
        <w:keepLines w:val="0"/>
        <w:pageBreakBefore w:val="0"/>
        <w:widowControl w:val="0"/>
        <w:kinsoku/>
        <w:wordWrap/>
        <w:overflowPunct/>
        <w:topLinePunct w:val="0"/>
        <w:autoSpaceDE/>
        <w:autoSpaceDN/>
        <w:bidi w:val="0"/>
        <w:adjustRightInd/>
        <w:snapToGrid/>
        <w:spacing w:line="560" w:lineRule="exact"/>
        <w:ind w:right="0" w:firstLine="640" w:firstLineChars="200"/>
        <w:textAlignment w:val="auto"/>
        <w:rPr>
          <w:rFonts w:hint="eastAsia" w:ascii="仿宋_GB2312" w:eastAsia="仿宋_GB2312"/>
          <w:sz w:val="32"/>
          <w:szCs w:val="32"/>
          <w:lang w:val="en-US" w:eastAsia="zh-CN"/>
        </w:rPr>
      </w:pPr>
      <w:r>
        <w:rPr>
          <w:rFonts w:hint="eastAsia" w:ascii="仿宋_GB2312" w:hAnsi="仿宋" w:eastAsia="仿宋_GB2312"/>
          <w:sz w:val="32"/>
          <w:szCs w:val="32"/>
          <w:lang w:val="en-US" w:eastAsia="zh-CN"/>
        </w:rPr>
        <w:t>根据</w:t>
      </w:r>
      <w:r>
        <w:rPr>
          <w:rFonts w:hint="eastAsia" w:ascii="仿宋_GB2312" w:hAnsi="仿宋" w:eastAsia="仿宋_GB2312"/>
          <w:sz w:val="32"/>
          <w:szCs w:val="32"/>
          <w:lang w:val="zh-CN" w:eastAsia="en-US"/>
        </w:rPr>
        <w:t>《广东省自然资源厅关于韶关市征收农用地区片综合地价成果的批复》</w:t>
      </w:r>
      <w:r>
        <w:rPr>
          <w:rFonts w:hint="eastAsia" w:ascii="仿宋_GB2312" w:hAnsi="仿宋" w:eastAsia="仿宋_GB2312"/>
          <w:sz w:val="32"/>
          <w:szCs w:val="32"/>
          <w:lang w:val="zh-CN" w:eastAsia="zh-CN"/>
        </w:rPr>
        <w:t>（粤自然资函</w:t>
      </w:r>
      <w:r>
        <w:rPr>
          <w:rFonts w:hint="eastAsia" w:ascii="仿宋_GB2312" w:hAnsi="仿宋_GB2312" w:eastAsia="仿宋_GB2312" w:cs="仿宋_GB2312"/>
          <w:sz w:val="32"/>
          <w:szCs w:val="32"/>
          <w:lang w:eastAsia="zh-CN"/>
        </w:rPr>
        <w:t>〔</w:t>
      </w:r>
      <w:r>
        <w:rPr>
          <w:rFonts w:hint="eastAsia" w:ascii="仿宋_GB2312" w:hAnsi="仿宋" w:eastAsia="仿宋_GB2312"/>
          <w:sz w:val="32"/>
          <w:szCs w:val="32"/>
          <w:lang w:val="zh-CN" w:eastAsia="zh-CN"/>
        </w:rPr>
        <w:t>2024</w:t>
      </w:r>
      <w:r>
        <w:rPr>
          <w:rFonts w:hint="eastAsia" w:ascii="仿宋_GB2312" w:hAnsi="仿宋_GB2312" w:eastAsia="仿宋_GB2312" w:cs="仿宋_GB2312"/>
          <w:sz w:val="32"/>
          <w:szCs w:val="32"/>
          <w:lang w:eastAsia="zh-CN"/>
        </w:rPr>
        <w:t>〕</w:t>
      </w:r>
      <w:r>
        <w:rPr>
          <w:rFonts w:hint="eastAsia" w:ascii="仿宋_GB2312" w:hAnsi="仿宋" w:eastAsia="仿宋_GB2312"/>
          <w:sz w:val="32"/>
          <w:szCs w:val="32"/>
          <w:lang w:val="zh-CN" w:eastAsia="zh-CN"/>
        </w:rPr>
        <w:t>109号）</w:t>
      </w:r>
      <w:r>
        <w:rPr>
          <w:rFonts w:hint="eastAsia" w:ascii="仿宋_GB2312" w:eastAsia="仿宋_GB2312"/>
          <w:sz w:val="32"/>
          <w:szCs w:val="32"/>
          <w:lang w:val="en-US" w:eastAsia="zh-CN"/>
        </w:rPr>
        <w:t>的规定，</w:t>
      </w:r>
      <w:r>
        <w:rPr>
          <w:rFonts w:hint="eastAsia" w:ascii="仿宋_GB2312" w:hAnsi="仿宋" w:eastAsia="仿宋_GB2312"/>
          <w:sz w:val="32"/>
          <w:szCs w:val="32"/>
          <w:lang w:val="en-US" w:eastAsia="zh-CN"/>
        </w:rPr>
        <w:t>土地补偿费</w:t>
      </w:r>
      <w:r>
        <w:rPr>
          <w:rFonts w:hint="eastAsia" w:ascii="仿宋_GB2312" w:eastAsia="仿宋_GB2312"/>
          <w:sz w:val="32"/>
          <w:szCs w:val="32"/>
          <w:lang w:val="en-US" w:eastAsia="zh-CN"/>
        </w:rPr>
        <w:t>及</w:t>
      </w:r>
      <w:r>
        <w:rPr>
          <w:rFonts w:hint="eastAsia" w:ascii="仿宋_GB2312" w:hAnsi="仿宋" w:eastAsia="仿宋_GB2312"/>
          <w:sz w:val="32"/>
          <w:szCs w:val="32"/>
          <w:lang w:val="en-US" w:eastAsia="zh-CN"/>
        </w:rPr>
        <w:t>安置补助费标准</w:t>
      </w:r>
      <w:r>
        <w:rPr>
          <w:rFonts w:hint="eastAsia" w:ascii="仿宋_GB2312" w:eastAsia="仿宋_GB2312"/>
          <w:sz w:val="32"/>
          <w:szCs w:val="32"/>
          <w:lang w:val="en-US" w:eastAsia="zh-CN"/>
        </w:rPr>
        <w:t>如下：</w:t>
      </w:r>
    </w:p>
    <w:tbl>
      <w:tblPr>
        <w:tblStyle w:val="10"/>
        <w:tblW w:w="8540" w:type="dxa"/>
        <w:jc w:val="center"/>
        <w:shd w:val="clear" w:color="auto" w:fill="auto"/>
        <w:tblLayout w:type="fixed"/>
        <w:tblCellMar>
          <w:top w:w="0" w:type="dxa"/>
          <w:left w:w="0" w:type="dxa"/>
          <w:bottom w:w="0" w:type="dxa"/>
          <w:right w:w="0" w:type="dxa"/>
        </w:tblCellMar>
      </w:tblPr>
      <w:tblGrid>
        <w:gridCol w:w="2445"/>
        <w:gridCol w:w="1855"/>
        <w:gridCol w:w="2001"/>
        <w:gridCol w:w="2239"/>
      </w:tblGrid>
      <w:tr w14:paraId="6E6A5417">
        <w:tblPrEx>
          <w:tblCellMar>
            <w:top w:w="0" w:type="dxa"/>
            <w:left w:w="0" w:type="dxa"/>
            <w:bottom w:w="0" w:type="dxa"/>
            <w:right w:w="0" w:type="dxa"/>
          </w:tblCellMar>
        </w:tblPrEx>
        <w:trPr>
          <w:trHeight w:val="442" w:hRule="atLeast"/>
          <w:jc w:val="center"/>
        </w:trPr>
        <w:tc>
          <w:tcPr>
            <w:tcW w:w="8540" w:type="dxa"/>
            <w:gridSpan w:val="4"/>
            <w:tcBorders>
              <w:top w:val="nil"/>
              <w:left w:val="nil"/>
              <w:bottom w:val="single" w:color="auto" w:sz="4" w:space="0"/>
              <w:right w:val="nil"/>
            </w:tcBorders>
            <w:shd w:val="clear" w:color="auto" w:fill="auto"/>
            <w:noWrap/>
            <w:tcMar>
              <w:top w:w="12" w:type="dxa"/>
              <w:left w:w="12" w:type="dxa"/>
              <w:right w:w="12" w:type="dxa"/>
            </w:tcMar>
            <w:vAlign w:val="center"/>
          </w:tcPr>
          <w:p w14:paraId="26A35CEB">
            <w:pPr>
              <w:keepNext w:val="0"/>
              <w:keepLines w:val="0"/>
              <w:pageBreakBefore w:val="0"/>
              <w:widowControl/>
              <w:suppressLineNumbers w:val="0"/>
              <w:kinsoku/>
              <w:wordWrap/>
              <w:overflowPunct/>
              <w:autoSpaceDN/>
              <w:bidi w:val="0"/>
              <w:adjustRightInd/>
              <w:snapToGrid/>
              <w:spacing w:line="240" w:lineRule="auto"/>
              <w:jc w:val="right"/>
              <w:textAlignment w:val="bottom"/>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单位：万元/公顷</w:t>
            </w:r>
          </w:p>
        </w:tc>
      </w:tr>
      <w:tr w14:paraId="71FC144A">
        <w:tblPrEx>
          <w:tblCellMar>
            <w:top w:w="0" w:type="dxa"/>
            <w:left w:w="0" w:type="dxa"/>
            <w:bottom w:w="0" w:type="dxa"/>
            <w:right w:w="0" w:type="dxa"/>
          </w:tblCellMar>
        </w:tblPrEx>
        <w:trPr>
          <w:trHeight w:val="349" w:hRule="atLeast"/>
          <w:jc w:val="center"/>
        </w:trPr>
        <w:tc>
          <w:tcPr>
            <w:tcW w:w="2445"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FA9ECBD">
            <w:pPr>
              <w:keepNext w:val="0"/>
              <w:keepLines w:val="0"/>
              <w:pageBreakBefore w:val="0"/>
              <w:widowControl/>
              <w:suppressLineNumbers w:val="0"/>
              <w:kinsoku/>
              <w:wordWrap/>
              <w:overflowPunct/>
              <w:autoSpaceDN/>
              <w:bidi w:val="0"/>
              <w:adjustRightInd/>
              <w:snapToGrid/>
              <w:spacing w:line="240" w:lineRule="auto"/>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土地类别</w:t>
            </w:r>
          </w:p>
        </w:tc>
        <w:tc>
          <w:tcPr>
            <w:tcW w:w="1855"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3DDAB620">
            <w:pPr>
              <w:keepNext w:val="0"/>
              <w:keepLines w:val="0"/>
              <w:pageBreakBefore w:val="0"/>
              <w:widowControl/>
              <w:suppressLineNumbers w:val="0"/>
              <w:kinsoku/>
              <w:wordWrap/>
              <w:overflowPunct/>
              <w:autoSpaceDN/>
              <w:bidi w:val="0"/>
              <w:adjustRightInd/>
              <w:snapToGrid/>
              <w:spacing w:line="240" w:lineRule="auto"/>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土地补偿费标准</w:t>
            </w:r>
          </w:p>
        </w:tc>
        <w:tc>
          <w:tcPr>
            <w:tcW w:w="2001" w:type="dxa"/>
            <w:vMerge w:val="restart"/>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2593B9DC">
            <w:pPr>
              <w:keepNext w:val="0"/>
              <w:keepLines w:val="0"/>
              <w:pageBreakBefore w:val="0"/>
              <w:widowControl/>
              <w:suppressLineNumbers w:val="0"/>
              <w:kinsoku/>
              <w:wordWrap/>
              <w:overflowPunct/>
              <w:autoSpaceDN/>
              <w:bidi w:val="0"/>
              <w:adjustRightInd/>
              <w:snapToGrid/>
              <w:spacing w:line="240" w:lineRule="auto"/>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安置补助费标准</w:t>
            </w:r>
          </w:p>
        </w:tc>
        <w:tc>
          <w:tcPr>
            <w:tcW w:w="2239" w:type="dxa"/>
            <w:vMerge w:val="restart"/>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D2E476F">
            <w:pPr>
              <w:keepNext w:val="0"/>
              <w:keepLines w:val="0"/>
              <w:pageBreakBefore w:val="0"/>
              <w:widowControl/>
              <w:suppressLineNumbers w:val="0"/>
              <w:kinsoku/>
              <w:wordWrap/>
              <w:overflowPunct/>
              <w:autoSpaceDN/>
              <w:bidi w:val="0"/>
              <w:adjustRightInd/>
              <w:snapToGrid/>
              <w:spacing w:line="240" w:lineRule="auto"/>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合计</w:t>
            </w:r>
          </w:p>
        </w:tc>
      </w:tr>
      <w:tr w14:paraId="6CA1DB77">
        <w:tblPrEx>
          <w:tblCellMar>
            <w:top w:w="0" w:type="dxa"/>
            <w:left w:w="0" w:type="dxa"/>
            <w:bottom w:w="0" w:type="dxa"/>
            <w:right w:w="0" w:type="dxa"/>
          </w:tblCellMar>
        </w:tblPrEx>
        <w:trPr>
          <w:trHeight w:val="312" w:hRule="atLeast"/>
          <w:jc w:val="center"/>
        </w:trPr>
        <w:tc>
          <w:tcPr>
            <w:tcW w:w="2445"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2AA4DA6B">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i w:val="0"/>
                <w:color w:val="000000"/>
                <w:sz w:val="24"/>
                <w:szCs w:val="24"/>
                <w:u w:val="none"/>
              </w:rPr>
            </w:pPr>
          </w:p>
        </w:tc>
        <w:tc>
          <w:tcPr>
            <w:tcW w:w="1855"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28B0973B">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i w:val="0"/>
                <w:color w:val="000000"/>
                <w:sz w:val="24"/>
                <w:szCs w:val="24"/>
                <w:u w:val="none"/>
              </w:rPr>
            </w:pPr>
          </w:p>
        </w:tc>
        <w:tc>
          <w:tcPr>
            <w:tcW w:w="2001" w:type="dxa"/>
            <w:vMerge w:val="continue"/>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333D13C6">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i w:val="0"/>
                <w:color w:val="000000"/>
                <w:sz w:val="24"/>
                <w:szCs w:val="24"/>
                <w:u w:val="none"/>
              </w:rPr>
            </w:pPr>
          </w:p>
        </w:tc>
        <w:tc>
          <w:tcPr>
            <w:tcW w:w="2239" w:type="dxa"/>
            <w:vMerge w:val="continue"/>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A9C65D6">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i w:val="0"/>
                <w:color w:val="000000"/>
                <w:sz w:val="24"/>
                <w:szCs w:val="24"/>
                <w:u w:val="none"/>
              </w:rPr>
            </w:pPr>
          </w:p>
        </w:tc>
      </w:tr>
      <w:tr w14:paraId="41E66013">
        <w:tblPrEx>
          <w:shd w:val="clear" w:color="auto" w:fill="auto"/>
          <w:tblCellMar>
            <w:top w:w="0" w:type="dxa"/>
            <w:left w:w="0" w:type="dxa"/>
            <w:bottom w:w="0" w:type="dxa"/>
            <w:right w:w="0" w:type="dxa"/>
          </w:tblCellMar>
        </w:tblPrEx>
        <w:trPr>
          <w:trHeight w:val="382" w:hRule="atLeast"/>
          <w:jc w:val="center"/>
        </w:trPr>
        <w:tc>
          <w:tcPr>
            <w:tcW w:w="2445"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216CF0F7">
            <w:pPr>
              <w:keepNext w:val="0"/>
              <w:keepLines w:val="0"/>
              <w:pageBreakBefore w:val="0"/>
              <w:widowControl/>
              <w:suppressLineNumbers w:val="0"/>
              <w:kinsoku/>
              <w:wordWrap/>
              <w:overflowPunct/>
              <w:autoSpaceDN/>
              <w:bidi w:val="0"/>
              <w:adjustRightInd/>
              <w:snapToGrid/>
              <w:spacing w:line="240" w:lineRule="auto"/>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耕地</w:t>
            </w:r>
          </w:p>
        </w:tc>
        <w:tc>
          <w:tcPr>
            <w:tcW w:w="185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29D9803">
            <w:pPr>
              <w:keepNext w:val="0"/>
              <w:keepLines w:val="0"/>
              <w:pageBreakBefore w:val="0"/>
              <w:widowControl/>
              <w:suppressLineNumbers w:val="0"/>
              <w:kinsoku/>
              <w:wordWrap/>
              <w:overflowPunct/>
              <w:autoSpaceDN/>
              <w:bidi w:val="0"/>
              <w:adjustRightInd/>
              <w:snapToGrid/>
              <w:spacing w:line="240" w:lineRule="auto"/>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color w:val="000000"/>
                <w:kern w:val="0"/>
                <w:sz w:val="24"/>
                <w:szCs w:val="24"/>
                <w:u w:val="none"/>
                <w:lang w:bidi="ar"/>
              </w:rPr>
              <w:t>48.45</w:t>
            </w:r>
            <w:r>
              <w:rPr>
                <w:rFonts w:hint="eastAsia" w:ascii="仿宋_GB2312" w:hAnsi="仿宋_GB2312" w:eastAsia="仿宋_GB2312" w:cs="仿宋_GB2312"/>
                <w:color w:val="000000"/>
                <w:kern w:val="0"/>
                <w:sz w:val="24"/>
                <w:szCs w:val="24"/>
                <w:u w:val="none"/>
                <w:lang w:val="en-US" w:eastAsia="zh-CN" w:bidi="ar"/>
              </w:rPr>
              <w:t>00</w:t>
            </w:r>
          </w:p>
        </w:tc>
        <w:tc>
          <w:tcPr>
            <w:tcW w:w="200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FD625EE">
            <w:pPr>
              <w:keepNext w:val="0"/>
              <w:keepLines w:val="0"/>
              <w:pageBreakBefore w:val="0"/>
              <w:widowControl/>
              <w:suppressLineNumbers w:val="0"/>
              <w:kinsoku/>
              <w:wordWrap/>
              <w:overflowPunct/>
              <w:autoSpaceDN/>
              <w:bidi w:val="0"/>
              <w:adjustRightInd/>
              <w:snapToGrid/>
              <w:spacing w:line="240" w:lineRule="auto"/>
              <w:jc w:val="center"/>
              <w:textAlignment w:val="center"/>
              <w:rPr>
                <w:rFonts w:hint="default" w:ascii="仿宋_GB2312" w:hAnsi="仿宋_GB2312" w:eastAsia="仿宋_GB2312" w:cs="仿宋_GB2312"/>
                <w:i w:val="0"/>
                <w:color w:val="000000"/>
                <w:sz w:val="24"/>
                <w:szCs w:val="24"/>
                <w:u w:val="none"/>
                <w:lang w:val="en-US"/>
              </w:rPr>
            </w:pPr>
            <w:r>
              <w:rPr>
                <w:rFonts w:hint="eastAsia" w:ascii="仿宋_GB2312" w:hAnsi="仿宋_GB2312" w:eastAsia="仿宋_GB2312" w:cs="仿宋_GB2312"/>
                <w:color w:val="000000"/>
                <w:kern w:val="0"/>
                <w:sz w:val="24"/>
                <w:szCs w:val="24"/>
                <w:u w:val="none"/>
                <w:lang w:bidi="ar"/>
              </w:rPr>
              <w:t>48.6</w:t>
            </w:r>
            <w:r>
              <w:rPr>
                <w:rFonts w:hint="eastAsia" w:ascii="仿宋_GB2312" w:hAnsi="仿宋_GB2312" w:eastAsia="仿宋_GB2312" w:cs="仿宋_GB2312"/>
                <w:i w:val="0"/>
                <w:color w:val="000000"/>
                <w:kern w:val="0"/>
                <w:sz w:val="24"/>
                <w:szCs w:val="24"/>
                <w:u w:val="none"/>
                <w:lang w:val="en-US" w:eastAsia="zh-CN" w:bidi="ar"/>
              </w:rPr>
              <w:t>000</w:t>
            </w:r>
          </w:p>
        </w:tc>
        <w:tc>
          <w:tcPr>
            <w:tcW w:w="22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C04B61B">
            <w:pPr>
              <w:keepNext w:val="0"/>
              <w:keepLines w:val="0"/>
              <w:pageBreakBefore w:val="0"/>
              <w:widowControl/>
              <w:suppressLineNumbers w:val="0"/>
              <w:kinsoku/>
              <w:wordWrap/>
              <w:overflowPunct/>
              <w:autoSpaceDN/>
              <w:bidi w:val="0"/>
              <w:adjustRightInd/>
              <w:snapToGrid/>
              <w:spacing w:line="240" w:lineRule="auto"/>
              <w:jc w:val="center"/>
              <w:textAlignment w:val="center"/>
              <w:rPr>
                <w:rFonts w:hint="default" w:ascii="仿宋_GB2312" w:hAnsi="仿宋_GB2312" w:eastAsia="仿宋_GB2312" w:cs="仿宋_GB2312"/>
                <w:i w:val="0"/>
                <w:color w:val="000000"/>
                <w:sz w:val="24"/>
                <w:szCs w:val="24"/>
                <w:u w:val="none"/>
                <w:lang w:val="en-US" w:eastAsia="zh-CN"/>
              </w:rPr>
            </w:pPr>
            <w:r>
              <w:rPr>
                <w:rFonts w:hint="eastAsia" w:ascii="仿宋_GB2312" w:hAnsi="仿宋_GB2312" w:eastAsia="仿宋_GB2312" w:cs="仿宋_GB2312"/>
                <w:color w:val="000000"/>
                <w:kern w:val="0"/>
                <w:sz w:val="24"/>
                <w:szCs w:val="24"/>
                <w:u w:val="none"/>
                <w:lang w:bidi="ar"/>
              </w:rPr>
              <w:t>97.05</w:t>
            </w:r>
            <w:r>
              <w:rPr>
                <w:rFonts w:hint="eastAsia" w:ascii="仿宋_GB2312" w:hAnsi="仿宋_GB2312" w:eastAsia="仿宋_GB2312" w:cs="仿宋_GB2312"/>
                <w:color w:val="000000"/>
                <w:kern w:val="0"/>
                <w:sz w:val="24"/>
                <w:szCs w:val="24"/>
                <w:u w:val="none"/>
                <w:lang w:val="en-US" w:eastAsia="zh-CN" w:bidi="ar"/>
              </w:rPr>
              <w:t>00</w:t>
            </w:r>
          </w:p>
        </w:tc>
      </w:tr>
      <w:tr w14:paraId="34701C35">
        <w:tblPrEx>
          <w:tblCellMar>
            <w:top w:w="0" w:type="dxa"/>
            <w:left w:w="0" w:type="dxa"/>
            <w:bottom w:w="0" w:type="dxa"/>
            <w:right w:w="0" w:type="dxa"/>
          </w:tblCellMar>
        </w:tblPrEx>
        <w:trPr>
          <w:trHeight w:val="382" w:hRule="atLeast"/>
          <w:jc w:val="center"/>
        </w:trPr>
        <w:tc>
          <w:tcPr>
            <w:tcW w:w="2445"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31487747">
            <w:pPr>
              <w:keepNext w:val="0"/>
              <w:keepLines w:val="0"/>
              <w:pageBreakBefore w:val="0"/>
              <w:widowControl/>
              <w:suppressLineNumbers w:val="0"/>
              <w:kinsoku/>
              <w:wordWrap/>
              <w:overflowPunct/>
              <w:autoSpaceDN/>
              <w:bidi w:val="0"/>
              <w:adjustRightInd/>
              <w:snapToGrid/>
              <w:spacing w:line="240" w:lineRule="auto"/>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养殖水面</w:t>
            </w:r>
          </w:p>
        </w:tc>
        <w:tc>
          <w:tcPr>
            <w:tcW w:w="185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9613CC8">
            <w:pPr>
              <w:keepNext w:val="0"/>
              <w:keepLines w:val="0"/>
              <w:pageBreakBefore w:val="0"/>
              <w:widowControl/>
              <w:suppressLineNumbers w:val="0"/>
              <w:kinsoku/>
              <w:wordWrap/>
              <w:overflowPunct/>
              <w:autoSpaceDN/>
              <w:bidi w:val="0"/>
              <w:adjustRightInd/>
              <w:snapToGrid/>
              <w:spacing w:line="240" w:lineRule="auto"/>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color w:val="000000"/>
                <w:kern w:val="0"/>
                <w:sz w:val="24"/>
                <w:szCs w:val="24"/>
                <w:u w:val="none"/>
                <w:lang w:bidi="ar"/>
              </w:rPr>
              <w:t>48.45</w:t>
            </w:r>
            <w:r>
              <w:rPr>
                <w:rFonts w:hint="eastAsia" w:ascii="仿宋_GB2312" w:hAnsi="仿宋_GB2312" w:eastAsia="仿宋_GB2312" w:cs="仿宋_GB2312"/>
                <w:color w:val="000000"/>
                <w:kern w:val="0"/>
                <w:sz w:val="24"/>
                <w:szCs w:val="24"/>
                <w:u w:val="none"/>
                <w:lang w:val="en-US" w:eastAsia="zh-CN" w:bidi="ar"/>
              </w:rPr>
              <w:t>00</w:t>
            </w:r>
          </w:p>
        </w:tc>
        <w:tc>
          <w:tcPr>
            <w:tcW w:w="200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7FC3FF5">
            <w:pPr>
              <w:keepNext w:val="0"/>
              <w:keepLines w:val="0"/>
              <w:pageBreakBefore w:val="0"/>
              <w:widowControl/>
              <w:suppressLineNumbers w:val="0"/>
              <w:kinsoku/>
              <w:wordWrap/>
              <w:overflowPunct/>
              <w:autoSpaceDN/>
              <w:bidi w:val="0"/>
              <w:adjustRightInd/>
              <w:snapToGrid/>
              <w:spacing w:line="240" w:lineRule="auto"/>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color w:val="000000"/>
                <w:kern w:val="0"/>
                <w:sz w:val="24"/>
                <w:szCs w:val="24"/>
                <w:u w:val="none"/>
                <w:lang w:bidi="ar"/>
              </w:rPr>
              <w:t>48.6</w:t>
            </w:r>
            <w:r>
              <w:rPr>
                <w:rFonts w:hint="eastAsia" w:ascii="仿宋_GB2312" w:hAnsi="仿宋_GB2312" w:eastAsia="仿宋_GB2312" w:cs="仿宋_GB2312"/>
                <w:i w:val="0"/>
                <w:color w:val="000000"/>
                <w:kern w:val="0"/>
                <w:sz w:val="24"/>
                <w:szCs w:val="24"/>
                <w:u w:val="none"/>
                <w:lang w:val="en-US" w:eastAsia="zh-CN" w:bidi="ar"/>
              </w:rPr>
              <w:t>000</w:t>
            </w:r>
          </w:p>
        </w:tc>
        <w:tc>
          <w:tcPr>
            <w:tcW w:w="22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4EC7076">
            <w:pPr>
              <w:keepNext w:val="0"/>
              <w:keepLines w:val="0"/>
              <w:pageBreakBefore w:val="0"/>
              <w:widowControl/>
              <w:suppressLineNumbers w:val="0"/>
              <w:kinsoku/>
              <w:wordWrap/>
              <w:overflowPunct/>
              <w:autoSpaceDN/>
              <w:bidi w:val="0"/>
              <w:adjustRightInd/>
              <w:snapToGrid/>
              <w:spacing w:line="240" w:lineRule="auto"/>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color w:val="000000"/>
                <w:kern w:val="0"/>
                <w:sz w:val="24"/>
                <w:szCs w:val="24"/>
                <w:u w:val="none"/>
                <w:lang w:bidi="ar"/>
              </w:rPr>
              <w:t>97.05</w:t>
            </w:r>
            <w:r>
              <w:rPr>
                <w:rFonts w:hint="eastAsia" w:ascii="仿宋_GB2312" w:hAnsi="仿宋_GB2312" w:eastAsia="仿宋_GB2312" w:cs="仿宋_GB2312"/>
                <w:color w:val="000000"/>
                <w:kern w:val="0"/>
                <w:sz w:val="24"/>
                <w:szCs w:val="24"/>
                <w:u w:val="none"/>
                <w:lang w:val="en-US" w:eastAsia="zh-CN" w:bidi="ar"/>
              </w:rPr>
              <w:t>00</w:t>
            </w:r>
          </w:p>
        </w:tc>
      </w:tr>
      <w:tr w14:paraId="3AEC14FE">
        <w:tblPrEx>
          <w:tblCellMar>
            <w:top w:w="0" w:type="dxa"/>
            <w:left w:w="0" w:type="dxa"/>
            <w:bottom w:w="0" w:type="dxa"/>
            <w:right w:w="0" w:type="dxa"/>
          </w:tblCellMar>
        </w:tblPrEx>
        <w:trPr>
          <w:trHeight w:val="382" w:hRule="atLeast"/>
          <w:jc w:val="center"/>
        </w:trPr>
        <w:tc>
          <w:tcPr>
            <w:tcW w:w="2445" w:type="dxa"/>
            <w:tcBorders>
              <w:top w:val="single" w:color="auto" w:sz="4" w:space="0"/>
              <w:left w:val="single" w:color="auto" w:sz="4" w:space="0"/>
              <w:bottom w:val="single" w:color="auto" w:sz="4" w:space="0"/>
              <w:right w:val="single" w:color="auto" w:sz="4" w:space="0"/>
            </w:tcBorders>
            <w:shd w:val="clear" w:color="auto" w:fill="auto"/>
            <w:tcMar>
              <w:top w:w="12" w:type="dxa"/>
              <w:left w:w="12" w:type="dxa"/>
              <w:right w:w="12" w:type="dxa"/>
            </w:tcMar>
            <w:vAlign w:val="center"/>
          </w:tcPr>
          <w:p w14:paraId="1595BA89">
            <w:pPr>
              <w:keepNext w:val="0"/>
              <w:keepLines w:val="0"/>
              <w:pageBreakBefore w:val="0"/>
              <w:widowControl/>
              <w:suppressLineNumbers w:val="0"/>
              <w:kinsoku/>
              <w:wordWrap/>
              <w:overflowPunct/>
              <w:autoSpaceDN/>
              <w:bidi w:val="0"/>
              <w:adjustRightInd/>
              <w:snapToGrid/>
              <w:spacing w:line="240" w:lineRule="auto"/>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其他农用地（不含养殖水面）</w:t>
            </w:r>
          </w:p>
        </w:tc>
        <w:tc>
          <w:tcPr>
            <w:tcW w:w="1855"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7350322">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_GB2312" w:hAnsi="仿宋_GB2312" w:eastAsia="仿宋_GB2312" w:cs="仿宋_GB2312"/>
                <w:color w:val="000000"/>
                <w:kern w:val="0"/>
                <w:sz w:val="24"/>
                <w:szCs w:val="24"/>
                <w:u w:val="none"/>
                <w:lang w:bidi="ar"/>
              </w:rPr>
            </w:pPr>
            <w:r>
              <w:rPr>
                <w:rFonts w:hint="eastAsia" w:ascii="仿宋_GB2312" w:hAnsi="仿宋_GB2312" w:eastAsia="仿宋_GB2312" w:cs="仿宋_GB2312"/>
                <w:i w:val="0"/>
                <w:color w:val="000000"/>
                <w:kern w:val="0"/>
                <w:sz w:val="24"/>
                <w:szCs w:val="24"/>
                <w:u w:val="none"/>
                <w:lang w:val="en-US" w:eastAsia="zh-CN" w:bidi="ar"/>
              </w:rPr>
              <w:t>21.8025</w:t>
            </w:r>
          </w:p>
        </w:tc>
        <w:tc>
          <w:tcPr>
            <w:tcW w:w="2001"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28CA296">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21.8700</w:t>
            </w:r>
          </w:p>
        </w:tc>
        <w:tc>
          <w:tcPr>
            <w:tcW w:w="2239"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11684C2B">
            <w:pPr>
              <w:keepNext w:val="0"/>
              <w:keepLines w:val="0"/>
              <w:pageBreakBefore w:val="0"/>
              <w:widowControl/>
              <w:suppressLineNumbers w:val="0"/>
              <w:kinsoku/>
              <w:wordWrap/>
              <w:overflowPunct/>
              <w:topLinePunct w:val="0"/>
              <w:autoSpaceDN/>
              <w:bidi w:val="0"/>
              <w:adjustRightInd/>
              <w:snapToGrid/>
              <w:spacing w:line="240" w:lineRule="auto"/>
              <w:jc w:val="center"/>
              <w:textAlignment w:val="center"/>
              <w:rPr>
                <w:rFonts w:hint="eastAsia" w:ascii="仿宋_GB2312" w:hAnsi="仿宋_GB2312" w:eastAsia="仿宋_GB2312" w:cs="仿宋_GB2312"/>
                <w:i w:val="0"/>
                <w:iCs w:val="0"/>
                <w:color w:val="000000"/>
                <w:kern w:val="0"/>
                <w:sz w:val="24"/>
                <w:szCs w:val="24"/>
                <w:u w:val="none"/>
                <w:lang w:bidi="ar"/>
              </w:rPr>
            </w:pPr>
            <w:r>
              <w:rPr>
                <w:rFonts w:hint="eastAsia" w:ascii="仿宋_GB2312" w:hAnsi="仿宋_GB2312" w:eastAsia="仿宋_GB2312" w:cs="仿宋_GB2312"/>
                <w:i w:val="0"/>
                <w:color w:val="000000"/>
                <w:kern w:val="0"/>
                <w:sz w:val="24"/>
                <w:szCs w:val="24"/>
                <w:u w:val="none"/>
                <w:lang w:val="en-US" w:eastAsia="zh-CN" w:bidi="ar"/>
              </w:rPr>
              <w:t>43.6725</w:t>
            </w:r>
          </w:p>
        </w:tc>
      </w:tr>
    </w:tbl>
    <w:p w14:paraId="3C6F8F1D">
      <w:pPr>
        <w:pStyle w:val="5"/>
        <w:keepNext w:val="0"/>
        <w:keepLines w:val="0"/>
        <w:pageBreakBefore w:val="0"/>
        <w:kinsoku/>
        <w:wordWrap/>
        <w:overflowPunct/>
        <w:autoSpaceDN/>
        <w:bidi w:val="0"/>
        <w:adjustRightInd/>
        <w:snapToGrid/>
        <w:spacing w:line="560" w:lineRule="exact"/>
        <w:ind w:firstLine="640" w:firstLineChars="200"/>
        <w:rPr>
          <w:rFonts w:hint="eastAsia" w:ascii="楷体_GB2312" w:hAnsi="楷体_GB2312" w:eastAsia="楷体_GB2312" w:cs="楷体_GB2312"/>
          <w:bCs/>
          <w:sz w:val="32"/>
          <w:szCs w:val="32"/>
          <w:lang w:val="en-US" w:eastAsia="zh-CN"/>
        </w:rPr>
      </w:pPr>
      <w:r>
        <w:rPr>
          <w:rFonts w:hint="eastAsia" w:ascii="楷体_GB2312" w:hAnsi="楷体_GB2312" w:eastAsia="楷体_GB2312" w:cs="楷体_GB2312"/>
          <w:bCs/>
          <w:sz w:val="32"/>
          <w:szCs w:val="32"/>
          <w:lang w:val="en-US" w:eastAsia="zh-CN"/>
        </w:rPr>
        <w:t>（二）其他地上附着物和青苗补偿</w:t>
      </w:r>
    </w:p>
    <w:p w14:paraId="2A34A201">
      <w:pPr>
        <w:keepNext w:val="0"/>
        <w:keepLines w:val="0"/>
        <w:pageBreakBefore w:val="0"/>
        <w:numPr>
          <w:ilvl w:val="0"/>
          <w:numId w:val="0"/>
        </w:numPr>
        <w:kinsoku/>
        <w:wordWrap/>
        <w:overflowPunct/>
        <w:autoSpaceDN/>
        <w:bidi w:val="0"/>
        <w:adjustRightInd/>
        <w:snapToGrid/>
        <w:spacing w:line="560" w:lineRule="exact"/>
        <w:ind w:firstLine="640" w:firstLineChars="200"/>
        <w:jc w:val="both"/>
        <w:rPr>
          <w:rFonts w:hint="default"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其他地上附着物和青苗补偿按</w:t>
      </w:r>
      <w:r>
        <w:rPr>
          <w:rFonts w:hint="default" w:ascii="仿宋_GB2312" w:hAnsi="仿宋" w:eastAsia="仿宋_GB2312" w:cs="仿宋"/>
          <w:kern w:val="2"/>
          <w:sz w:val="32"/>
          <w:szCs w:val="32"/>
          <w:lang w:val="en-US" w:eastAsia="zh-CN" w:bidi="ar-SA"/>
        </w:rPr>
        <w:t>《韶关市浈江区、武江区征收集体土地地上附着物和青苗补偿标准》（韶府规审〔2024〕3号）</w:t>
      </w:r>
      <w:r>
        <w:rPr>
          <w:rFonts w:hint="eastAsia" w:ascii="仿宋_GB2312" w:hAnsi="仿宋" w:eastAsia="仿宋_GB2312" w:cs="仿宋"/>
          <w:kern w:val="2"/>
          <w:sz w:val="32"/>
          <w:szCs w:val="32"/>
          <w:lang w:val="en-US" w:eastAsia="zh-CN" w:bidi="ar-SA"/>
        </w:rPr>
        <w:t>的规定执行。</w:t>
      </w:r>
    </w:p>
    <w:p w14:paraId="69DF9005">
      <w:pPr>
        <w:keepNext w:val="0"/>
        <w:keepLines w:val="0"/>
        <w:pageBreakBefore w:val="0"/>
        <w:widowControl w:val="0"/>
        <w:kinsoku/>
        <w:wordWrap/>
        <w:overflowPunct/>
        <w:topLinePunct w:val="0"/>
        <w:autoSpaceDE/>
        <w:autoSpaceDN/>
        <w:bidi w:val="0"/>
        <w:adjustRightInd/>
        <w:snapToGrid/>
        <w:spacing w:before="80" w:line="560" w:lineRule="exact"/>
        <w:ind w:firstLine="640" w:firstLineChars="200"/>
        <w:jc w:val="left"/>
        <w:textAlignment w:val="auto"/>
        <w:rPr>
          <w:rFonts w:hint="eastAsia" w:ascii="黑体" w:hAnsi="黑体" w:eastAsia="黑体" w:cs="宋体"/>
          <w:sz w:val="32"/>
          <w:szCs w:val="32"/>
        </w:rPr>
      </w:pPr>
      <w:r>
        <w:rPr>
          <w:rFonts w:hint="eastAsia" w:ascii="黑体" w:hAnsi="黑体" w:eastAsia="黑体" w:cs="宋体"/>
          <w:sz w:val="32"/>
          <w:szCs w:val="32"/>
        </w:rPr>
        <w:t>五、安置方式和社会保障</w:t>
      </w:r>
    </w:p>
    <w:p w14:paraId="3742D33C">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eastAsia="仿宋"/>
          <w:sz w:val="32"/>
          <w:szCs w:val="32"/>
          <w:lang w:val="en-US" w:eastAsia="zh-CN"/>
        </w:rPr>
      </w:pPr>
      <w:r>
        <w:rPr>
          <w:rFonts w:hint="eastAsia" w:ascii="楷体_GB2312" w:hAnsi="楷体_GB2312" w:eastAsia="楷体_GB2312" w:cs="楷体_GB2312"/>
          <w:bCs/>
          <w:sz w:val="32"/>
          <w:szCs w:val="32"/>
          <w:lang w:val="en-US" w:eastAsia="zh-CN"/>
        </w:rPr>
        <w:t>（一）货币安置。</w:t>
      </w:r>
      <w:r>
        <w:rPr>
          <w:rFonts w:hint="eastAsia" w:ascii="仿宋_GB2312" w:hAnsi="宋体" w:eastAsia="仿宋_GB2312" w:cs="宋体"/>
          <w:bCs/>
          <w:sz w:val="32"/>
          <w:szCs w:val="32"/>
          <w:lang w:val="en-US" w:eastAsia="zh-CN"/>
        </w:rPr>
        <w:t>有关费用已包含在土地补偿费与安置补助费中。</w:t>
      </w:r>
    </w:p>
    <w:p w14:paraId="2B847167">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仿宋_GB2312" w:hAnsi="宋体" w:eastAsia="仿宋_GB2312" w:cs="宋体"/>
          <w:bCs/>
          <w:sz w:val="32"/>
          <w:szCs w:val="32"/>
          <w:lang w:val="zh-CN" w:eastAsia="zh-CN"/>
        </w:rPr>
      </w:pPr>
      <w:r>
        <w:rPr>
          <w:rFonts w:hint="eastAsia" w:ascii="楷体_GB2312" w:hAnsi="楷体_GB2312" w:eastAsia="楷体_GB2312" w:cs="楷体_GB2312"/>
          <w:bCs/>
          <w:sz w:val="32"/>
          <w:szCs w:val="32"/>
          <w:lang w:val="en-US" w:eastAsia="zh-CN"/>
        </w:rPr>
        <w:t>（二）留用地安置。</w:t>
      </w:r>
      <w:r>
        <w:rPr>
          <w:rFonts w:hint="eastAsia" w:ascii="仿宋_GB2312" w:hAnsi="宋体" w:eastAsia="仿宋_GB2312" w:cs="宋体"/>
          <w:bCs/>
          <w:sz w:val="32"/>
          <w:szCs w:val="32"/>
          <w:lang w:val="zh-CN" w:eastAsia="zh-CN"/>
        </w:rPr>
        <w:t>根据《广东省人民政府办公厅关于加强征收农村集体土地留用地安置管理工作的意见》（粤府办〔2016〕30号）</w:t>
      </w:r>
      <w:r>
        <w:rPr>
          <w:rFonts w:hint="eastAsia" w:ascii="仿宋_GB2312" w:hAnsi="宋体" w:eastAsia="仿宋_GB2312" w:cs="宋体"/>
          <w:bCs/>
          <w:sz w:val="32"/>
          <w:szCs w:val="32"/>
          <w:lang w:val="en-US" w:eastAsia="zh-CN"/>
        </w:rPr>
        <w:t>和《韶关市人民政府办公室关于加强韶关市浈江区、武江区征收农村集体土地留用地安置管理工作的意见》(韶</w:t>
      </w:r>
      <w:r>
        <w:rPr>
          <w:rFonts w:hint="eastAsia" w:ascii="仿宋_GB2312" w:hAnsi="宋体" w:eastAsia="仿宋_GB2312" w:cs="宋体"/>
          <w:bCs/>
          <w:sz w:val="32"/>
          <w:szCs w:val="32"/>
          <w:lang w:val="zh-CN" w:eastAsia="zh-CN"/>
        </w:rPr>
        <w:t>府办〔2016〕</w:t>
      </w:r>
      <w:r>
        <w:rPr>
          <w:rFonts w:hint="eastAsia" w:ascii="仿宋_GB2312" w:hAnsi="宋体" w:eastAsia="仿宋_GB2312" w:cs="宋体"/>
          <w:bCs/>
          <w:sz w:val="32"/>
          <w:szCs w:val="32"/>
          <w:lang w:val="en-US" w:eastAsia="zh-CN"/>
        </w:rPr>
        <w:t>82</w:t>
      </w:r>
      <w:r>
        <w:rPr>
          <w:rFonts w:hint="eastAsia" w:ascii="仿宋_GB2312" w:hAnsi="宋体" w:eastAsia="仿宋_GB2312" w:cs="宋体"/>
          <w:bCs/>
          <w:sz w:val="32"/>
          <w:szCs w:val="32"/>
          <w:lang w:val="zh-CN" w:eastAsia="zh-CN"/>
        </w:rPr>
        <w:t>号</w:t>
      </w:r>
      <w:r>
        <w:rPr>
          <w:rFonts w:hint="eastAsia" w:ascii="仿宋_GB2312" w:hAnsi="宋体" w:eastAsia="仿宋_GB2312" w:cs="宋体"/>
          <w:bCs/>
          <w:sz w:val="32"/>
          <w:szCs w:val="32"/>
          <w:lang w:val="en-US" w:eastAsia="zh-CN"/>
        </w:rPr>
        <w:t>)</w:t>
      </w:r>
      <w:r>
        <w:rPr>
          <w:rFonts w:hint="eastAsia" w:ascii="仿宋_GB2312" w:hAnsi="宋体" w:eastAsia="仿宋_GB2312" w:cs="宋体"/>
          <w:bCs/>
          <w:sz w:val="32"/>
          <w:szCs w:val="32"/>
          <w:lang w:val="zh-CN" w:eastAsia="zh-CN"/>
        </w:rPr>
        <w:t>的规定，按实际征收土地面积的</w:t>
      </w:r>
      <w:r>
        <w:rPr>
          <w:rFonts w:hint="eastAsia" w:ascii="仿宋_GB2312" w:hAnsi="宋体" w:eastAsia="仿宋_GB2312" w:cs="宋体"/>
          <w:bCs/>
          <w:sz w:val="32"/>
          <w:szCs w:val="32"/>
          <w:lang w:val="en-US" w:eastAsia="zh-CN"/>
        </w:rPr>
        <w:t>15</w:t>
      </w:r>
      <w:r>
        <w:rPr>
          <w:rFonts w:hint="eastAsia" w:ascii="仿宋_GB2312" w:hAnsi="宋体" w:eastAsia="仿宋_GB2312" w:cs="宋体"/>
          <w:bCs/>
          <w:sz w:val="32"/>
          <w:szCs w:val="32"/>
          <w:lang w:val="zh-CN" w:eastAsia="zh-CN"/>
        </w:rPr>
        <w:t>%，按照</w:t>
      </w:r>
      <w:r>
        <w:rPr>
          <w:rFonts w:hint="eastAsia" w:ascii="仿宋_GB2312" w:hAnsi="宋体" w:eastAsia="仿宋_GB2312" w:cs="宋体"/>
          <w:bCs/>
          <w:sz w:val="32"/>
          <w:szCs w:val="32"/>
          <w:highlight w:val="none"/>
          <w:lang w:val="en-US" w:eastAsia="zh-CN"/>
        </w:rPr>
        <w:t>30</w:t>
      </w:r>
      <w:r>
        <w:rPr>
          <w:rFonts w:hint="eastAsia" w:ascii="仿宋_GB2312" w:hAnsi="宋体" w:eastAsia="仿宋_GB2312" w:cs="宋体"/>
          <w:bCs/>
          <w:sz w:val="32"/>
          <w:szCs w:val="32"/>
          <w:highlight w:val="none"/>
          <w:lang w:val="zh-CN" w:eastAsia="zh-CN"/>
        </w:rPr>
        <w:t>万元/亩</w:t>
      </w:r>
      <w:r>
        <w:rPr>
          <w:rFonts w:hint="eastAsia" w:ascii="仿宋_GB2312" w:hAnsi="宋体" w:eastAsia="仿宋_GB2312" w:cs="宋体"/>
          <w:bCs/>
          <w:sz w:val="32"/>
          <w:szCs w:val="32"/>
          <w:lang w:val="zh-CN" w:eastAsia="zh-CN"/>
        </w:rPr>
        <w:t>，折算货币补偿安排留用地。</w:t>
      </w:r>
    </w:p>
    <w:p w14:paraId="5ACC0374">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eastAsia="仿宋_GB2312" w:cs="Times New Roman"/>
          <w:color w:val="auto"/>
          <w:sz w:val="32"/>
          <w:szCs w:val="32"/>
          <w:highlight w:val="yellow"/>
          <w:lang w:eastAsia="zh-CN"/>
        </w:rPr>
      </w:pPr>
      <w:r>
        <w:rPr>
          <w:rFonts w:hint="eastAsia" w:ascii="楷体_GB2312" w:hAnsi="楷体_GB2312" w:eastAsia="楷体_GB2312" w:cs="楷体_GB2312"/>
          <w:bCs/>
          <w:sz w:val="32"/>
          <w:szCs w:val="32"/>
          <w:lang w:val="en-US" w:eastAsia="zh-CN"/>
        </w:rPr>
        <w:t>（三）社会保障。</w:t>
      </w:r>
      <w:r>
        <w:rPr>
          <w:rFonts w:hint="eastAsia" w:ascii="仿宋_GB2312" w:hAnsi="宋体" w:eastAsia="仿宋_GB2312" w:cs="宋体"/>
          <w:bCs/>
          <w:sz w:val="32"/>
          <w:szCs w:val="32"/>
          <w:highlight w:val="none"/>
          <w:lang w:val="en-US" w:eastAsia="zh-CN"/>
        </w:rPr>
        <w:t>根据《广东省人民政府办公厅转发省人力资源社会保障厅关于进一步完善我省被征地农民养老保障政策意见的通知》（粤府办〔2021〕22号）、《韶关市人民政府办公室关于进一步明确韶关市被征地农民养老保障工作的通知》（韶府办发函〔2021〕179号）等有关规定，对韶关市武江区2026年度第十四批次城镇建设用地项目涉及的被征地农民实施养老保障。涉及应参加养老保障的被征地农民人数为2人，其中韶关市武江区西河镇村头股份经济联合社2人，被征地农民个人最低缴费标准为每人每月110元，缴费年限为15年，按个人最低缴费标准缴纳15年的被征地农民养老保障资金为1.98万元。预存入“收缴被征地农民养老保障资金过渡户”，费用合计3.96万元，专款用于被征地农民的基本养老保险补贴</w:t>
      </w:r>
      <w:r>
        <w:rPr>
          <w:rFonts w:hint="eastAsia" w:ascii="仿宋_GB2312" w:eastAsia="仿宋_GB2312" w:cs="Times New Roman"/>
          <w:color w:val="auto"/>
          <w:sz w:val="32"/>
          <w:szCs w:val="32"/>
          <w:highlight w:val="none"/>
          <w:lang w:eastAsia="zh-CN"/>
        </w:rPr>
        <w:t>。</w:t>
      </w:r>
    </w:p>
    <w:p w14:paraId="3C159267">
      <w:pPr>
        <w:keepNext w:val="0"/>
        <w:keepLines w:val="0"/>
        <w:pageBreakBefore w:val="0"/>
        <w:widowControl w:val="0"/>
        <w:kinsoku/>
        <w:wordWrap/>
        <w:overflowPunct/>
        <w:topLinePunct w:val="0"/>
        <w:autoSpaceDE/>
        <w:autoSpaceDN/>
        <w:bidi w:val="0"/>
        <w:adjustRightInd/>
        <w:snapToGrid/>
        <w:spacing w:before="80" w:line="560" w:lineRule="exact"/>
        <w:ind w:firstLine="640" w:firstLineChars="200"/>
        <w:jc w:val="left"/>
        <w:textAlignment w:val="auto"/>
        <w:rPr>
          <w:rFonts w:hint="eastAsia" w:ascii="黑体" w:hAnsi="黑体" w:eastAsia="黑体" w:cs="宋体"/>
          <w:sz w:val="32"/>
          <w:szCs w:val="32"/>
        </w:rPr>
      </w:pPr>
      <w:r>
        <w:rPr>
          <w:rFonts w:hint="eastAsia" w:ascii="黑体" w:hAnsi="黑体" w:eastAsia="黑体" w:cs="宋体"/>
          <w:sz w:val="32"/>
          <w:szCs w:val="32"/>
        </w:rPr>
        <w:t>六、其他事项</w:t>
      </w:r>
    </w:p>
    <w:p w14:paraId="636E491A">
      <w:pPr>
        <w:pStyle w:val="5"/>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sz w:val="32"/>
          <w:szCs w:val="32"/>
          <w:highlight w:val="none"/>
        </w:rPr>
      </w:pPr>
      <w:r>
        <w:rPr>
          <w:rFonts w:hint="eastAsia" w:ascii="楷体_GB2312" w:hAnsi="楷体_GB2312" w:eastAsia="楷体_GB2312" w:cs="楷体_GB2312"/>
          <w:bCs/>
          <w:sz w:val="32"/>
          <w:szCs w:val="32"/>
          <w:lang w:val="en-US" w:eastAsia="zh-CN"/>
        </w:rPr>
        <w:t>（一）公告时间</w:t>
      </w:r>
      <w:r>
        <w:rPr>
          <w:rFonts w:hint="eastAsia" w:ascii="仿宋_GB2312" w:hAnsi="宋体" w:eastAsia="仿宋_GB2312" w:cs="宋体"/>
          <w:bCs/>
          <w:sz w:val="32"/>
          <w:szCs w:val="32"/>
          <w:highlight w:val="none"/>
          <w:lang w:val="en-US" w:eastAsia="zh-CN"/>
        </w:rPr>
        <w:t>：2026年9月4日至2026年10月4日（不少于30日）。</w:t>
      </w:r>
    </w:p>
    <w:p w14:paraId="61D761C2">
      <w:pPr>
        <w:pStyle w:val="5"/>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sz w:val="32"/>
          <w:szCs w:val="32"/>
          <w:highlight w:val="none"/>
        </w:rPr>
      </w:pPr>
      <w:r>
        <w:rPr>
          <w:rFonts w:hint="eastAsia" w:ascii="楷体_GB2312" w:hAnsi="楷体_GB2312" w:eastAsia="楷体_GB2312" w:cs="楷体_GB2312"/>
          <w:bCs/>
          <w:sz w:val="32"/>
          <w:szCs w:val="32"/>
          <w:highlight w:val="none"/>
          <w:lang w:val="en-US" w:eastAsia="zh-CN"/>
        </w:rPr>
        <w:t>（二）补</w:t>
      </w:r>
      <w:bookmarkStart w:id="1" w:name="_GoBack"/>
      <w:bookmarkEnd w:id="1"/>
      <w:r>
        <w:rPr>
          <w:rFonts w:hint="eastAsia" w:ascii="楷体_GB2312" w:hAnsi="楷体_GB2312" w:eastAsia="楷体_GB2312" w:cs="楷体_GB2312"/>
          <w:bCs/>
          <w:sz w:val="32"/>
          <w:szCs w:val="32"/>
          <w:highlight w:val="none"/>
          <w:lang w:val="en-US" w:eastAsia="zh-CN"/>
        </w:rPr>
        <w:t>偿登记期限和方式。</w:t>
      </w:r>
      <w:r>
        <w:rPr>
          <w:rFonts w:hint="eastAsia" w:ascii="仿宋_GB2312" w:hAnsi="宋体" w:eastAsia="仿宋_GB2312" w:cs="宋体"/>
          <w:bCs/>
          <w:sz w:val="32"/>
          <w:szCs w:val="32"/>
          <w:highlight w:val="none"/>
          <w:lang w:val="en-US" w:eastAsia="zh-CN"/>
        </w:rPr>
        <w:t>被征收土地所有权人及相关权利人应当在2026年9月4日至2026年9月19日内，持集体土地所有权证、集体土地使用权证、集体土地承包合同及身份证等证明材料至韶关市</w:t>
      </w:r>
      <w:r>
        <w:rPr>
          <w:rFonts w:hint="eastAsia" w:ascii="仿宋_GB2312" w:hAnsi="仿宋_GB2312" w:eastAsia="仿宋_GB2312" w:cs="仿宋_GB2312"/>
          <w:sz w:val="32"/>
          <w:szCs w:val="32"/>
          <w:highlight w:val="none"/>
          <w:lang w:eastAsia="zh-CN"/>
        </w:rPr>
        <w:t>武江区</w:t>
      </w:r>
      <w:r>
        <w:rPr>
          <w:rFonts w:hint="eastAsia" w:ascii="仿宋_GB2312" w:hAnsi="仿宋_GB2312" w:eastAsia="仿宋_GB2312" w:cs="仿宋_GB2312"/>
          <w:color w:val="auto"/>
          <w:sz w:val="32"/>
          <w:szCs w:val="32"/>
          <w:highlight w:val="none"/>
          <w:lang w:val="en-US" w:eastAsia="zh-CN"/>
        </w:rPr>
        <w:t>土地和房屋征收事务中心</w:t>
      </w:r>
      <w:r>
        <w:rPr>
          <w:rFonts w:hint="default" w:ascii="仿宋_GB2312" w:hAnsi="宋体" w:eastAsia="仿宋_GB2312" w:cs="宋体"/>
          <w:bCs/>
          <w:snapToGrid/>
          <w:color w:val="auto"/>
          <w:kern w:val="2"/>
          <w:sz w:val="32"/>
          <w:szCs w:val="32"/>
          <w:highlight w:val="none"/>
          <w:lang w:val="en-US" w:eastAsia="zh-CN" w:bidi="ar-SA"/>
        </w:rPr>
        <w:t>（地址：</w:t>
      </w:r>
      <w:r>
        <w:rPr>
          <w:rFonts w:hint="eastAsia" w:ascii="仿宋_GB2312" w:hAnsi="仿宋_GB2312" w:eastAsia="仿宋_GB2312" w:cs="仿宋_GB2312"/>
          <w:color w:val="auto"/>
          <w:sz w:val="32"/>
          <w:szCs w:val="32"/>
          <w:highlight w:val="none"/>
          <w:lang w:eastAsia="zh-CN"/>
        </w:rPr>
        <w:t>韶关市武江区</w:t>
      </w:r>
      <w:r>
        <w:rPr>
          <w:rFonts w:hint="eastAsia" w:ascii="仿宋_GB2312" w:hAnsi="仿宋_GB2312" w:eastAsia="仿宋_GB2312" w:cs="仿宋_GB2312"/>
          <w:color w:val="auto"/>
          <w:sz w:val="32"/>
          <w:szCs w:val="32"/>
          <w:highlight w:val="none"/>
          <w:lang w:val="en-US" w:eastAsia="zh-CN"/>
        </w:rPr>
        <w:t>建设路49号</w:t>
      </w:r>
      <w:r>
        <w:rPr>
          <w:rFonts w:hint="eastAsia" w:ascii="仿宋_GB2312" w:hAnsi="宋体" w:eastAsia="仿宋_GB2312" w:cs="宋体"/>
          <w:bCs/>
          <w:color w:val="auto"/>
          <w:sz w:val="32"/>
          <w:szCs w:val="32"/>
          <w:highlight w:val="none"/>
          <w:lang w:val="en-US" w:eastAsia="zh-CN"/>
        </w:rPr>
        <w:t>；联系人：</w:t>
      </w:r>
      <w:r>
        <w:rPr>
          <w:rFonts w:hint="eastAsia" w:ascii="仿宋_GB2312" w:hAnsi="仿宋_GB2312" w:eastAsia="仿宋_GB2312" w:cs="仿宋_GB2312"/>
          <w:sz w:val="32"/>
          <w:szCs w:val="32"/>
          <w:highlight w:val="none"/>
          <w:lang w:val="en-US" w:eastAsia="zh-CN"/>
        </w:rPr>
        <w:t>丘石明</w:t>
      </w:r>
      <w:r>
        <w:rPr>
          <w:rFonts w:hint="eastAsia" w:ascii="仿宋_GB2312" w:hAnsi="宋体" w:eastAsia="仿宋_GB2312" w:cs="宋体"/>
          <w:bCs/>
          <w:color w:val="auto"/>
          <w:sz w:val="32"/>
          <w:szCs w:val="32"/>
          <w:highlight w:val="none"/>
          <w:lang w:val="en-US" w:eastAsia="zh-CN"/>
        </w:rPr>
        <w:t>；电话：</w:t>
      </w:r>
      <w:r>
        <w:rPr>
          <w:rFonts w:hint="eastAsia" w:ascii="仿宋_GB2312" w:hAnsi="仿宋_GB2312" w:eastAsia="仿宋_GB2312" w:cs="仿宋_GB2312"/>
          <w:sz w:val="32"/>
          <w:szCs w:val="32"/>
          <w:highlight w:val="none"/>
          <w:lang w:eastAsia="zh-CN"/>
        </w:rPr>
        <w:t>0751-86</w:t>
      </w:r>
      <w:r>
        <w:rPr>
          <w:rFonts w:hint="eastAsia" w:ascii="仿宋_GB2312" w:hAnsi="仿宋_GB2312" w:eastAsia="仿宋_GB2312" w:cs="仿宋_GB2312"/>
          <w:sz w:val="32"/>
          <w:szCs w:val="32"/>
          <w:highlight w:val="none"/>
          <w:lang w:val="en-US" w:eastAsia="zh-CN"/>
        </w:rPr>
        <w:t>39901</w:t>
      </w:r>
      <w:r>
        <w:rPr>
          <w:rFonts w:hint="default" w:ascii="仿宋_GB2312" w:hAnsi="宋体" w:eastAsia="仿宋_GB2312" w:cs="宋体"/>
          <w:bCs/>
          <w:snapToGrid/>
          <w:color w:val="auto"/>
          <w:kern w:val="2"/>
          <w:sz w:val="32"/>
          <w:szCs w:val="32"/>
          <w:highlight w:val="none"/>
          <w:lang w:val="en-US" w:eastAsia="zh-CN" w:bidi="ar-SA"/>
        </w:rPr>
        <w:t>）</w:t>
      </w:r>
      <w:r>
        <w:rPr>
          <w:rFonts w:hint="eastAsia" w:ascii="仿宋_GB2312" w:hAnsi="宋体" w:eastAsia="仿宋_GB2312" w:cs="宋体"/>
          <w:bCs/>
          <w:sz w:val="32"/>
          <w:szCs w:val="32"/>
          <w:highlight w:val="none"/>
          <w:lang w:val="en-US" w:eastAsia="zh-CN"/>
        </w:rPr>
        <w:t>办理征地补偿登记手续，请相互转告。未按期办理补偿登记的，其补偿内容以经确认或者公示的土地现状调查结果为准。</w:t>
      </w:r>
    </w:p>
    <w:p w14:paraId="3ABF7366">
      <w:pPr>
        <w:pStyle w:val="5"/>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宋体" w:eastAsia="仿宋_GB2312" w:cs="宋体"/>
          <w:bCs/>
          <w:sz w:val="32"/>
          <w:szCs w:val="32"/>
          <w:highlight w:val="none"/>
          <w:lang w:val="en-US" w:eastAsia="zh-CN"/>
        </w:rPr>
      </w:pPr>
      <w:r>
        <w:rPr>
          <w:rFonts w:hint="eastAsia" w:ascii="楷体_GB2312" w:hAnsi="楷体_GB2312" w:eastAsia="楷体_GB2312" w:cs="楷体_GB2312"/>
          <w:bCs/>
          <w:sz w:val="32"/>
          <w:szCs w:val="32"/>
          <w:highlight w:val="none"/>
          <w:lang w:val="en-US" w:eastAsia="zh-CN"/>
        </w:rPr>
        <w:t>（三）异议反馈渠道。</w:t>
      </w:r>
      <w:r>
        <w:rPr>
          <w:rFonts w:hint="eastAsia" w:ascii="仿宋_GB2312" w:hAnsi="宋体" w:eastAsia="仿宋_GB2312" w:cs="宋体"/>
          <w:bCs/>
          <w:sz w:val="32"/>
          <w:szCs w:val="32"/>
          <w:highlight w:val="none"/>
          <w:lang w:val="en-US" w:eastAsia="zh-CN"/>
        </w:rPr>
        <w:t>对本征地补偿安置方案有异议的，请于2026年9月19日至2026年10月4日内持土地权属证明材料等向韶关市武江区</w:t>
      </w:r>
      <w:r>
        <w:rPr>
          <w:rFonts w:hint="eastAsia" w:ascii="仿宋_GB2312" w:hAnsi="仿宋_GB2312" w:eastAsia="仿宋_GB2312" w:cs="仿宋_GB2312"/>
          <w:kern w:val="2"/>
          <w:sz w:val="32"/>
          <w:szCs w:val="30"/>
          <w:highlight w:val="none"/>
          <w:lang w:val="en-US" w:eastAsia="zh-CN" w:bidi="ar-SA"/>
        </w:rPr>
        <w:t>自然资源局</w:t>
      </w:r>
      <w:r>
        <w:rPr>
          <w:rFonts w:hint="eastAsia" w:ascii="仿宋_GB2312" w:hAnsi="宋体" w:eastAsia="仿宋_GB2312" w:cs="宋体"/>
          <w:bCs/>
          <w:sz w:val="32"/>
          <w:szCs w:val="32"/>
          <w:highlight w:val="none"/>
          <w:lang w:val="en-US" w:eastAsia="zh-CN"/>
        </w:rPr>
        <w:t>提交书面意见。异议提交地址为：</w:t>
      </w:r>
      <w:r>
        <w:rPr>
          <w:rFonts w:hint="eastAsia" w:ascii="仿宋_GB2312" w:hAnsi="仿宋_GB2312" w:eastAsia="仿宋_GB2312" w:cs="仿宋_GB2312"/>
          <w:kern w:val="2"/>
          <w:sz w:val="32"/>
          <w:szCs w:val="30"/>
          <w:highlight w:val="none"/>
          <w:lang w:val="en-US" w:eastAsia="zh-CN" w:bidi="ar-SA"/>
        </w:rPr>
        <w:t>韶关市武江区惠民南路42幢（联系人：李健，电话：0751-8776597；</w:t>
      </w:r>
      <w:r>
        <w:rPr>
          <w:rFonts w:hint="eastAsia" w:ascii="仿宋_GB2312" w:hAnsi="仿宋_GB2312" w:eastAsia="仿宋_GB2312" w:cs="仿宋_GB2312"/>
          <w:kern w:val="2"/>
          <w:sz w:val="32"/>
          <w:szCs w:val="30"/>
          <w:highlight w:val="none"/>
          <w:lang w:val="en-US" w:eastAsia="zh-CN" w:bidi="ar-SA"/>
        </w:rPr>
        <w:t>邮编：</w:t>
      </w:r>
      <w:r>
        <w:rPr>
          <w:rFonts w:hint="eastAsia" w:ascii="仿宋_GB2312" w:hAnsi="宋体" w:eastAsia="仿宋_GB2312" w:cs="宋体"/>
          <w:bCs/>
          <w:sz w:val="32"/>
          <w:szCs w:val="32"/>
          <w:highlight w:val="none"/>
          <w:lang w:val="en-US" w:eastAsia="zh-CN"/>
        </w:rPr>
        <w:t>512000</w:t>
      </w:r>
      <w:r>
        <w:rPr>
          <w:rFonts w:hint="eastAsia" w:ascii="仿宋_GB2312" w:hAnsi="仿宋_GB2312" w:eastAsia="仿宋_GB2312" w:cs="仿宋_GB2312"/>
          <w:kern w:val="2"/>
          <w:sz w:val="32"/>
          <w:szCs w:val="30"/>
          <w:highlight w:val="none"/>
          <w:lang w:val="en-US" w:eastAsia="zh-CN" w:bidi="ar-SA"/>
        </w:rPr>
        <w:t>）</w:t>
      </w:r>
      <w:r>
        <w:rPr>
          <w:rFonts w:hint="eastAsia" w:ascii="仿宋_GB2312" w:hAnsi="宋体" w:eastAsia="仿宋_GB2312" w:cs="宋体"/>
          <w:bCs/>
          <w:sz w:val="32"/>
          <w:szCs w:val="32"/>
          <w:highlight w:val="none"/>
          <w:lang w:val="en-US" w:eastAsia="zh-CN"/>
        </w:rPr>
        <w:t>。在规定时间内未提交书面意见的，视为无异议。我区将在收取意见后，对符合《土地管理法》《土地管理法实施条例》《广东省土地管理条例》规定条件的，依法依规组织听证。</w:t>
      </w:r>
    </w:p>
    <w:p w14:paraId="34A6E2B9">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spacing w:val="-3"/>
          <w:highlight w:val="none"/>
        </w:rPr>
      </w:pPr>
      <w:r>
        <w:rPr>
          <w:rFonts w:hint="eastAsia" w:ascii="仿宋_GB2312" w:hAnsi="宋体" w:eastAsia="仿宋_GB2312" w:cs="宋体"/>
          <w:bCs/>
          <w:sz w:val="32"/>
          <w:szCs w:val="32"/>
          <w:highlight w:val="none"/>
          <w:lang w:val="en-US" w:eastAsia="zh-CN"/>
        </w:rPr>
        <w:t>特此公告</w:t>
      </w:r>
      <w:r>
        <w:rPr>
          <w:spacing w:val="-3"/>
          <w:highlight w:val="none"/>
        </w:rPr>
        <w:t>。</w:t>
      </w:r>
    </w:p>
    <w:p w14:paraId="32A6FEA9">
      <w:pPr>
        <w:pStyle w:val="5"/>
        <w:keepNext w:val="0"/>
        <w:keepLines w:val="0"/>
        <w:pageBreakBefore w:val="0"/>
        <w:widowControl w:val="0"/>
        <w:kinsoku/>
        <w:wordWrap/>
        <w:overflowPunct/>
        <w:topLinePunct w:val="0"/>
        <w:autoSpaceDE/>
        <w:autoSpaceDN/>
        <w:bidi w:val="0"/>
        <w:adjustRightInd/>
        <w:snapToGrid/>
        <w:spacing w:before="60" w:line="560" w:lineRule="exact"/>
        <w:jc w:val="both"/>
        <w:textAlignment w:val="auto"/>
        <w:rPr>
          <w:spacing w:val="-3"/>
          <w:highlight w:val="none"/>
        </w:rPr>
      </w:pPr>
    </w:p>
    <w:p w14:paraId="0CB4B59A">
      <w:pPr>
        <w:pStyle w:val="5"/>
        <w:keepNext w:val="0"/>
        <w:keepLines w:val="0"/>
        <w:pageBreakBefore w:val="0"/>
        <w:widowControl w:val="0"/>
        <w:kinsoku/>
        <w:wordWrap/>
        <w:overflowPunct/>
        <w:topLinePunct w:val="0"/>
        <w:autoSpaceDE/>
        <w:autoSpaceDN/>
        <w:bidi w:val="0"/>
        <w:adjustRightInd/>
        <w:snapToGrid/>
        <w:spacing w:before="60" w:line="560" w:lineRule="exact"/>
        <w:ind w:left="1612" w:leftChars="303" w:hanging="976" w:hangingChars="305"/>
        <w:jc w:val="both"/>
        <w:textAlignment w:val="auto"/>
        <w:rPr>
          <w:rFonts w:hint="eastAsia" w:ascii="仿宋_GB2312" w:hAnsi="仿宋_GB2312" w:eastAsia="仿宋_GB2312" w:cs="仿宋_GB2312"/>
          <w:kern w:val="2"/>
          <w:sz w:val="32"/>
          <w:szCs w:val="30"/>
          <w:highlight w:val="none"/>
          <w:lang w:val="en-US" w:eastAsia="zh-CN" w:bidi="ar-SA"/>
        </w:rPr>
      </w:pPr>
      <w:r>
        <w:rPr>
          <w:rFonts w:hint="eastAsia" w:ascii="仿宋_GB2312" w:hAnsi="仿宋_GB2312" w:eastAsia="仿宋_GB2312" w:cs="仿宋_GB2312"/>
          <w:kern w:val="2"/>
          <w:sz w:val="32"/>
          <w:szCs w:val="30"/>
          <w:highlight w:val="none"/>
          <w:lang w:val="en-US" w:eastAsia="zh-CN" w:bidi="ar-SA"/>
        </w:rPr>
        <w:t>附件：1.韶关市武江区2026年度第十四批次城镇建设用地项目征收土地补偿安置方案</w:t>
      </w:r>
    </w:p>
    <w:p w14:paraId="2A51BE19">
      <w:pPr>
        <w:pStyle w:val="5"/>
        <w:keepNext w:val="0"/>
        <w:keepLines w:val="0"/>
        <w:pageBreakBefore w:val="0"/>
        <w:widowControl w:val="0"/>
        <w:kinsoku/>
        <w:wordWrap/>
        <w:overflowPunct/>
        <w:topLinePunct w:val="0"/>
        <w:autoSpaceDE/>
        <w:autoSpaceDN/>
        <w:bidi w:val="0"/>
        <w:adjustRightInd/>
        <w:snapToGrid/>
        <w:spacing w:before="60" w:line="560" w:lineRule="exact"/>
        <w:ind w:left="1609" w:leftChars="766" w:firstLine="11" w:firstLineChars="0"/>
        <w:jc w:val="both"/>
        <w:textAlignment w:val="auto"/>
        <w:rPr>
          <w:rFonts w:hint="eastAsia" w:ascii="仿宋_GB2312" w:hAnsi="仿宋_GB2312" w:eastAsia="仿宋_GB2312" w:cs="仿宋_GB2312"/>
          <w:kern w:val="2"/>
          <w:sz w:val="32"/>
          <w:szCs w:val="30"/>
          <w:highlight w:val="none"/>
          <w:lang w:val="en-US" w:eastAsia="zh-CN" w:bidi="ar-SA"/>
        </w:rPr>
      </w:pPr>
      <w:r>
        <w:rPr>
          <w:rFonts w:hint="eastAsia" w:ascii="仿宋_GB2312" w:hAnsi="仿宋_GB2312" w:eastAsia="仿宋_GB2312" w:cs="仿宋_GB2312"/>
          <w:kern w:val="2"/>
          <w:sz w:val="32"/>
          <w:szCs w:val="30"/>
          <w:highlight w:val="none"/>
          <w:lang w:val="en-US" w:eastAsia="zh-CN" w:bidi="ar-SA"/>
        </w:rPr>
        <w:t>2.关于韶关市武江区2026年度第十四批次城镇建设用地项目被征地农民养老保障方案</w:t>
      </w:r>
    </w:p>
    <w:p w14:paraId="1729C8CA">
      <w:pPr>
        <w:pStyle w:val="5"/>
        <w:keepNext w:val="0"/>
        <w:keepLines w:val="0"/>
        <w:pageBreakBefore w:val="0"/>
        <w:widowControl w:val="0"/>
        <w:kinsoku/>
        <w:wordWrap/>
        <w:overflowPunct/>
        <w:topLinePunct w:val="0"/>
        <w:autoSpaceDE/>
        <w:autoSpaceDN/>
        <w:bidi w:val="0"/>
        <w:adjustRightInd/>
        <w:snapToGrid/>
        <w:spacing w:before="60" w:line="560" w:lineRule="exact"/>
        <w:ind w:left="1609" w:leftChars="766" w:firstLine="11" w:firstLineChars="0"/>
        <w:jc w:val="both"/>
        <w:textAlignment w:val="auto"/>
        <w:rPr>
          <w:rFonts w:hint="default" w:ascii="仿宋_GB2312" w:hAnsi="仿宋_GB2312" w:eastAsia="仿宋_GB2312" w:cs="仿宋_GB2312"/>
          <w:kern w:val="2"/>
          <w:sz w:val="32"/>
          <w:szCs w:val="30"/>
          <w:highlight w:val="none"/>
          <w:lang w:val="en-US" w:eastAsia="zh-CN" w:bidi="ar-SA"/>
        </w:rPr>
      </w:pPr>
      <w:r>
        <w:rPr>
          <w:rFonts w:hint="eastAsia" w:ascii="仿宋_GB2312" w:hAnsi="仿宋_GB2312" w:eastAsia="仿宋_GB2312" w:cs="仿宋_GB2312"/>
          <w:kern w:val="2"/>
          <w:sz w:val="32"/>
          <w:szCs w:val="30"/>
          <w:highlight w:val="none"/>
          <w:lang w:val="en-US" w:eastAsia="zh-CN" w:bidi="ar-SA"/>
        </w:rPr>
        <w:t>3.韶关市武江区2026年度第十四批次城镇建设用地项目征收集体土地示意图</w:t>
      </w:r>
    </w:p>
    <w:p w14:paraId="31752E60">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640" w:firstLineChars="200"/>
        <w:jc w:val="both"/>
        <w:textAlignment w:val="auto"/>
        <w:rPr>
          <w:rFonts w:hint="eastAsia" w:ascii="仿宋_GB2312" w:hAnsi="仿宋_GB2312" w:eastAsia="仿宋_GB2312" w:cs="仿宋_GB2312"/>
          <w:kern w:val="2"/>
          <w:sz w:val="32"/>
          <w:szCs w:val="30"/>
          <w:highlight w:val="none"/>
          <w:lang w:val="en-US" w:eastAsia="zh-CN" w:bidi="ar-SA"/>
        </w:rPr>
      </w:pPr>
    </w:p>
    <w:p w14:paraId="4CA8F049">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440" w:firstLineChars="1700"/>
        <w:jc w:val="left"/>
        <w:textAlignment w:val="auto"/>
        <w:rPr>
          <w:rFonts w:hint="eastAsia" w:ascii="仿宋_GB2312" w:hAnsi="仿宋_GB2312" w:eastAsia="仿宋_GB2312" w:cs="仿宋_GB2312"/>
          <w:kern w:val="2"/>
          <w:sz w:val="32"/>
          <w:szCs w:val="30"/>
          <w:highlight w:val="none"/>
          <w:lang w:val="en-US" w:eastAsia="zh-CN" w:bidi="ar-SA"/>
        </w:rPr>
      </w:pPr>
      <w:r>
        <w:rPr>
          <w:rFonts w:hint="eastAsia" w:ascii="仿宋_GB2312" w:hAnsi="仿宋_GB2312" w:eastAsia="仿宋_GB2312" w:cs="仿宋_GB2312"/>
          <w:kern w:val="2"/>
          <w:sz w:val="32"/>
          <w:szCs w:val="30"/>
          <w:highlight w:val="none"/>
          <w:lang w:val="en-US" w:eastAsia="zh-CN" w:bidi="ar-SA"/>
        </w:rPr>
        <w:t>韶关市武江区人民政府</w:t>
      </w:r>
    </w:p>
    <w:p w14:paraId="3B3F1B88">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920" w:firstLineChars="1850"/>
        <w:jc w:val="left"/>
        <w:textAlignment w:val="auto"/>
        <w:rPr>
          <w:rFonts w:hint="eastAsia" w:ascii="仿宋_GB2312" w:hAnsi="仿宋_GB2312" w:eastAsia="仿宋_GB2312" w:cs="仿宋_GB2312"/>
          <w:kern w:val="2"/>
          <w:sz w:val="32"/>
          <w:szCs w:val="30"/>
          <w:highlight w:val="none"/>
          <w:lang w:val="en-US" w:eastAsia="zh-CN" w:bidi="ar-SA"/>
        </w:rPr>
      </w:pPr>
      <w:r>
        <w:rPr>
          <w:rFonts w:hint="eastAsia" w:ascii="仿宋_GB2312" w:hAnsi="仿宋_GB2312" w:eastAsia="仿宋_GB2312" w:cs="仿宋_GB2312"/>
          <w:kern w:val="2"/>
          <w:sz w:val="32"/>
          <w:szCs w:val="30"/>
          <w:highlight w:val="none"/>
          <w:lang w:val="en-US" w:eastAsia="zh-CN" w:bidi="ar-SA"/>
        </w:rPr>
        <w:t>2026年9月2日</w:t>
      </w:r>
    </w:p>
    <w:p w14:paraId="2C4A71BF">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920" w:firstLineChars="1850"/>
        <w:jc w:val="left"/>
        <w:textAlignment w:val="auto"/>
        <w:rPr>
          <w:rFonts w:hint="eastAsia" w:ascii="仿宋_GB2312" w:hAnsi="仿宋_GB2312" w:eastAsia="仿宋_GB2312" w:cs="仿宋_GB2312"/>
          <w:kern w:val="2"/>
          <w:sz w:val="32"/>
          <w:szCs w:val="30"/>
          <w:highlight w:val="yellow"/>
          <w:lang w:val="en-US" w:eastAsia="zh-CN" w:bidi="ar-SA"/>
        </w:rPr>
      </w:pPr>
    </w:p>
    <w:p w14:paraId="1BB47561">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920" w:firstLineChars="1850"/>
        <w:jc w:val="left"/>
        <w:textAlignment w:val="auto"/>
        <w:rPr>
          <w:rFonts w:hint="eastAsia" w:ascii="仿宋_GB2312" w:hAnsi="仿宋_GB2312" w:eastAsia="仿宋_GB2312" w:cs="仿宋_GB2312"/>
          <w:kern w:val="2"/>
          <w:sz w:val="32"/>
          <w:szCs w:val="30"/>
          <w:highlight w:val="yellow"/>
          <w:lang w:val="en-US" w:eastAsia="zh-CN" w:bidi="ar-SA"/>
        </w:rPr>
      </w:pPr>
    </w:p>
    <w:p w14:paraId="6A4E5591">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920" w:firstLineChars="1850"/>
        <w:jc w:val="left"/>
        <w:textAlignment w:val="auto"/>
        <w:rPr>
          <w:rFonts w:hint="eastAsia" w:ascii="仿宋_GB2312" w:hAnsi="仿宋_GB2312" w:eastAsia="仿宋_GB2312" w:cs="仿宋_GB2312"/>
          <w:kern w:val="2"/>
          <w:sz w:val="32"/>
          <w:szCs w:val="30"/>
          <w:highlight w:val="yellow"/>
          <w:lang w:val="en-US" w:eastAsia="zh-CN" w:bidi="ar-SA"/>
        </w:rPr>
      </w:pPr>
    </w:p>
    <w:p w14:paraId="64F4672A">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920" w:firstLineChars="1850"/>
        <w:jc w:val="left"/>
        <w:textAlignment w:val="auto"/>
        <w:rPr>
          <w:rFonts w:hint="eastAsia" w:ascii="仿宋_GB2312" w:hAnsi="仿宋_GB2312" w:eastAsia="仿宋_GB2312" w:cs="仿宋_GB2312"/>
          <w:kern w:val="2"/>
          <w:sz w:val="32"/>
          <w:szCs w:val="30"/>
          <w:highlight w:val="yellow"/>
          <w:lang w:val="en-US" w:eastAsia="zh-CN" w:bidi="ar-SA"/>
        </w:rPr>
      </w:pPr>
    </w:p>
    <w:p w14:paraId="59655535">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920" w:firstLineChars="1850"/>
        <w:jc w:val="left"/>
        <w:textAlignment w:val="auto"/>
        <w:rPr>
          <w:rFonts w:hint="eastAsia" w:ascii="仿宋_GB2312" w:hAnsi="仿宋_GB2312" w:eastAsia="仿宋_GB2312" w:cs="仿宋_GB2312"/>
          <w:kern w:val="2"/>
          <w:sz w:val="32"/>
          <w:szCs w:val="30"/>
          <w:highlight w:val="yellow"/>
          <w:lang w:val="en-US" w:eastAsia="zh-CN" w:bidi="ar-SA"/>
        </w:rPr>
      </w:pPr>
    </w:p>
    <w:p w14:paraId="685D0ECD">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920" w:firstLineChars="1850"/>
        <w:jc w:val="left"/>
        <w:textAlignment w:val="auto"/>
        <w:rPr>
          <w:rFonts w:hint="eastAsia" w:ascii="仿宋_GB2312" w:hAnsi="仿宋_GB2312" w:eastAsia="仿宋_GB2312" w:cs="仿宋_GB2312"/>
          <w:kern w:val="2"/>
          <w:sz w:val="32"/>
          <w:szCs w:val="30"/>
          <w:highlight w:val="yellow"/>
          <w:lang w:val="en-US" w:eastAsia="zh-CN" w:bidi="ar-SA"/>
        </w:rPr>
      </w:pPr>
    </w:p>
    <w:p w14:paraId="1C5609B4">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920" w:firstLineChars="1850"/>
        <w:jc w:val="left"/>
        <w:textAlignment w:val="auto"/>
        <w:rPr>
          <w:rFonts w:hint="eastAsia" w:ascii="仿宋_GB2312" w:hAnsi="仿宋_GB2312" w:eastAsia="仿宋_GB2312" w:cs="仿宋_GB2312"/>
          <w:kern w:val="2"/>
          <w:sz w:val="32"/>
          <w:szCs w:val="30"/>
          <w:highlight w:val="yellow"/>
          <w:lang w:val="en-US" w:eastAsia="zh-CN" w:bidi="ar-SA"/>
        </w:rPr>
      </w:pPr>
    </w:p>
    <w:p w14:paraId="5BD1AF46">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920" w:firstLineChars="1850"/>
        <w:jc w:val="left"/>
        <w:textAlignment w:val="auto"/>
        <w:rPr>
          <w:rFonts w:hint="eastAsia" w:ascii="仿宋_GB2312" w:hAnsi="仿宋_GB2312" w:eastAsia="仿宋_GB2312" w:cs="仿宋_GB2312"/>
          <w:kern w:val="2"/>
          <w:sz w:val="32"/>
          <w:szCs w:val="30"/>
          <w:highlight w:val="yellow"/>
          <w:lang w:val="en-US" w:eastAsia="zh-CN" w:bidi="ar-SA"/>
        </w:rPr>
      </w:pPr>
    </w:p>
    <w:p w14:paraId="1B65816A">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920" w:firstLineChars="1850"/>
        <w:jc w:val="left"/>
        <w:textAlignment w:val="auto"/>
        <w:rPr>
          <w:rFonts w:hint="eastAsia" w:ascii="仿宋_GB2312" w:hAnsi="仿宋_GB2312" w:eastAsia="仿宋_GB2312" w:cs="仿宋_GB2312"/>
          <w:kern w:val="2"/>
          <w:sz w:val="32"/>
          <w:szCs w:val="30"/>
          <w:highlight w:val="yellow"/>
          <w:lang w:val="en-US" w:eastAsia="zh-CN" w:bidi="ar-SA"/>
        </w:rPr>
      </w:pPr>
    </w:p>
    <w:p w14:paraId="7100CFFB">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920" w:firstLineChars="1850"/>
        <w:jc w:val="left"/>
        <w:textAlignment w:val="auto"/>
        <w:rPr>
          <w:rFonts w:hint="eastAsia" w:ascii="仿宋_GB2312" w:hAnsi="仿宋_GB2312" w:eastAsia="仿宋_GB2312" w:cs="仿宋_GB2312"/>
          <w:kern w:val="2"/>
          <w:sz w:val="32"/>
          <w:szCs w:val="30"/>
          <w:highlight w:val="yellow"/>
          <w:lang w:val="en-US" w:eastAsia="zh-CN" w:bidi="ar-SA"/>
        </w:rPr>
      </w:pPr>
    </w:p>
    <w:p w14:paraId="6E24BFB3">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920" w:firstLineChars="1850"/>
        <w:jc w:val="left"/>
        <w:textAlignment w:val="auto"/>
        <w:rPr>
          <w:rFonts w:hint="eastAsia" w:ascii="仿宋_GB2312" w:hAnsi="仿宋_GB2312" w:eastAsia="仿宋_GB2312" w:cs="仿宋_GB2312"/>
          <w:kern w:val="2"/>
          <w:sz w:val="32"/>
          <w:szCs w:val="30"/>
          <w:highlight w:val="yellow"/>
          <w:lang w:val="en-US" w:eastAsia="zh-CN" w:bidi="ar-SA"/>
        </w:rPr>
      </w:pPr>
    </w:p>
    <w:p w14:paraId="5149FD55">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920" w:firstLineChars="1850"/>
        <w:jc w:val="left"/>
        <w:textAlignment w:val="auto"/>
        <w:rPr>
          <w:rFonts w:hint="eastAsia" w:ascii="仿宋_GB2312" w:hAnsi="仿宋_GB2312" w:eastAsia="仿宋_GB2312" w:cs="仿宋_GB2312"/>
          <w:kern w:val="2"/>
          <w:sz w:val="32"/>
          <w:szCs w:val="30"/>
          <w:highlight w:val="yellow"/>
          <w:lang w:val="en-US" w:eastAsia="zh-CN" w:bidi="ar-SA"/>
        </w:rPr>
      </w:pPr>
    </w:p>
    <w:p w14:paraId="3C2D66AA">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920" w:firstLineChars="1850"/>
        <w:jc w:val="left"/>
        <w:textAlignment w:val="auto"/>
        <w:rPr>
          <w:rFonts w:hint="eastAsia" w:ascii="仿宋_GB2312" w:hAnsi="仿宋_GB2312" w:eastAsia="仿宋_GB2312" w:cs="仿宋_GB2312"/>
          <w:kern w:val="2"/>
          <w:sz w:val="32"/>
          <w:szCs w:val="30"/>
          <w:highlight w:val="yellow"/>
          <w:lang w:val="en-US" w:eastAsia="zh-CN" w:bidi="ar-SA"/>
        </w:rPr>
      </w:pPr>
    </w:p>
    <w:p w14:paraId="47AD7046">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920" w:firstLineChars="1850"/>
        <w:jc w:val="left"/>
        <w:textAlignment w:val="auto"/>
        <w:rPr>
          <w:rFonts w:hint="eastAsia" w:ascii="仿宋_GB2312" w:hAnsi="仿宋_GB2312" w:eastAsia="仿宋_GB2312" w:cs="仿宋_GB2312"/>
          <w:kern w:val="2"/>
          <w:sz w:val="32"/>
          <w:szCs w:val="30"/>
          <w:highlight w:val="yellow"/>
          <w:lang w:val="en-US" w:eastAsia="zh-CN" w:bidi="ar-SA"/>
        </w:rPr>
      </w:pPr>
    </w:p>
    <w:p w14:paraId="47D5B02F">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920" w:firstLineChars="1850"/>
        <w:jc w:val="left"/>
        <w:textAlignment w:val="auto"/>
        <w:rPr>
          <w:rFonts w:hint="eastAsia" w:ascii="仿宋_GB2312" w:hAnsi="仿宋_GB2312" w:eastAsia="仿宋_GB2312" w:cs="仿宋_GB2312"/>
          <w:kern w:val="2"/>
          <w:sz w:val="32"/>
          <w:szCs w:val="30"/>
          <w:highlight w:val="yellow"/>
          <w:lang w:val="en-US" w:eastAsia="zh-CN" w:bidi="ar-SA"/>
        </w:rPr>
      </w:pPr>
    </w:p>
    <w:p w14:paraId="7A9DC664">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920" w:firstLineChars="1850"/>
        <w:jc w:val="left"/>
        <w:textAlignment w:val="auto"/>
        <w:rPr>
          <w:rFonts w:hint="eastAsia" w:ascii="仿宋_GB2312" w:hAnsi="仿宋_GB2312" w:eastAsia="仿宋_GB2312" w:cs="仿宋_GB2312"/>
          <w:kern w:val="2"/>
          <w:sz w:val="32"/>
          <w:szCs w:val="30"/>
          <w:highlight w:val="yellow"/>
          <w:lang w:val="en-US" w:eastAsia="zh-CN" w:bidi="ar-SA"/>
        </w:rPr>
      </w:pPr>
    </w:p>
    <w:p w14:paraId="6E502564">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42CBCEA0">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920" w:firstLineChars="1850"/>
        <w:jc w:val="left"/>
        <w:textAlignment w:val="auto"/>
        <w:rPr>
          <w:rFonts w:hint="eastAsia" w:ascii="仿宋_GB2312" w:hAnsi="仿宋_GB2312" w:eastAsia="仿宋_GB2312" w:cs="仿宋_GB2312"/>
          <w:kern w:val="2"/>
          <w:sz w:val="32"/>
          <w:szCs w:val="30"/>
          <w:highlight w:val="yellow"/>
          <w:lang w:val="en-US" w:eastAsia="zh-CN" w:bidi="ar-SA"/>
        </w:rPr>
      </w:pPr>
    </w:p>
    <w:p w14:paraId="51F298F0">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920" w:firstLineChars="1850"/>
        <w:jc w:val="left"/>
        <w:textAlignment w:val="auto"/>
        <w:rPr>
          <w:rFonts w:hint="eastAsia" w:ascii="仿宋_GB2312" w:hAnsi="仿宋_GB2312" w:eastAsia="仿宋_GB2312" w:cs="仿宋_GB2312"/>
          <w:kern w:val="2"/>
          <w:sz w:val="32"/>
          <w:szCs w:val="30"/>
          <w:highlight w:val="yellow"/>
          <w:lang w:val="en-US" w:eastAsia="zh-CN" w:bidi="ar-SA"/>
        </w:rPr>
      </w:pPr>
    </w:p>
    <w:p w14:paraId="1E6CD460">
      <w:pPr>
        <w:pStyle w:val="5"/>
        <w:keepNext w:val="0"/>
        <w:keepLines w:val="0"/>
        <w:pageBreakBefore w:val="0"/>
        <w:widowControl w:val="0"/>
        <w:kinsoku/>
        <w:wordWrap/>
        <w:overflowPunct/>
        <w:topLinePunct w:val="0"/>
        <w:autoSpaceDE/>
        <w:autoSpaceDN/>
        <w:bidi w:val="0"/>
        <w:adjustRightInd/>
        <w:snapToGrid/>
        <w:spacing w:before="60" w:line="560" w:lineRule="exact"/>
        <w:ind w:left="0" w:firstLine="5920" w:firstLineChars="1850"/>
        <w:jc w:val="left"/>
        <w:textAlignment w:val="auto"/>
        <w:rPr>
          <w:rFonts w:hint="eastAsia" w:ascii="仿宋_GB2312" w:hAnsi="仿宋_GB2312" w:eastAsia="仿宋_GB2312" w:cs="仿宋_GB2312"/>
          <w:kern w:val="2"/>
          <w:sz w:val="32"/>
          <w:szCs w:val="30"/>
          <w:highlight w:val="yellow"/>
          <w:lang w:val="en-US" w:eastAsia="zh-CN" w:bidi="ar-SA"/>
        </w:rPr>
      </w:pPr>
    </w:p>
    <w:p w14:paraId="0373DA09">
      <w:pPr>
        <w:keepNext w:val="0"/>
        <w:keepLines w:val="0"/>
        <w:pageBreakBefore w:val="0"/>
        <w:kinsoku/>
        <w:wordWrap/>
        <w:overflowPunct/>
        <w:autoSpaceDN/>
        <w:bidi w:val="0"/>
        <w:adjustRightInd/>
        <w:snapToGrid/>
        <w:spacing w:line="560" w:lineRule="exact"/>
        <w:rPr>
          <w:rFonts w:ascii="仿宋_GB2312" w:eastAsia="仿宋_GB2312"/>
          <w:sz w:val="32"/>
          <w:szCs w:val="32"/>
        </w:rPr>
      </w:pPr>
      <w:r>
        <w:rPr>
          <w:rFonts w:hint="eastAsia" w:ascii="仿宋_GB2312" w:eastAsia="仿宋_GB2312"/>
          <w:sz w:val="32"/>
          <w:szCs w:val="32"/>
        </w:rPr>
        <w:t>附件1：</w:t>
      </w:r>
    </w:p>
    <w:p w14:paraId="0E803B4D">
      <w:pPr>
        <w:keepNext w:val="0"/>
        <w:keepLines w:val="0"/>
        <w:pageBreakBefore w:val="0"/>
        <w:widowControl/>
        <w:kinsoku/>
        <w:wordWrap/>
        <w:overflowPunct/>
        <w:autoSpaceDN/>
        <w:bidi w:val="0"/>
        <w:adjustRightInd/>
        <w:snapToGrid/>
        <w:spacing w:line="560" w:lineRule="exact"/>
        <w:rPr>
          <w:rFonts w:hint="eastAsia" w:ascii="方正小标宋简体" w:hAnsi="方正小标宋简体" w:eastAsia="方正小标宋简体" w:cs="方正小标宋简体"/>
          <w:bCs/>
          <w:sz w:val="44"/>
          <w:szCs w:val="44"/>
        </w:rPr>
      </w:pPr>
    </w:p>
    <w:p w14:paraId="2D18C4DC">
      <w:pPr>
        <w:keepNext w:val="0"/>
        <w:keepLines w:val="0"/>
        <w:pageBreakBefore w:val="0"/>
        <w:widowControl/>
        <w:kinsoku/>
        <w:wordWrap/>
        <w:overflowPunct/>
        <w:autoSpaceDN/>
        <w:bidi w:val="0"/>
        <w:adjustRightInd/>
        <w:snapToGrid/>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eastAsia="zh-CN"/>
        </w:rPr>
        <w:t>韶关市武江区2026年度第十四批次</w:t>
      </w:r>
      <w:r>
        <w:rPr>
          <w:rFonts w:hint="eastAsia" w:ascii="方正小标宋简体" w:hAnsi="方正小标宋简体" w:eastAsia="方正小标宋简体" w:cs="方正小标宋简体"/>
          <w:bCs/>
          <w:sz w:val="44"/>
          <w:szCs w:val="44"/>
        </w:rPr>
        <w:t>城镇</w:t>
      </w:r>
    </w:p>
    <w:p w14:paraId="21B2CCDF">
      <w:pPr>
        <w:keepNext w:val="0"/>
        <w:keepLines w:val="0"/>
        <w:pageBreakBefore w:val="0"/>
        <w:widowControl/>
        <w:kinsoku/>
        <w:wordWrap/>
        <w:overflowPunct/>
        <w:autoSpaceDN/>
        <w:bidi w:val="0"/>
        <w:adjustRightInd/>
        <w:snapToGrid/>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建设用地项目征收土地补偿安置方案</w:t>
      </w:r>
    </w:p>
    <w:p w14:paraId="636A4400">
      <w:pPr>
        <w:keepNext w:val="0"/>
        <w:keepLines w:val="0"/>
        <w:pageBreakBefore w:val="0"/>
        <w:widowControl/>
        <w:kinsoku/>
        <w:wordWrap/>
        <w:overflowPunct/>
        <w:autoSpaceDN/>
        <w:bidi w:val="0"/>
        <w:adjustRightInd/>
        <w:snapToGrid/>
        <w:spacing w:line="560" w:lineRule="exact"/>
        <w:jc w:val="center"/>
        <w:rPr>
          <w:rFonts w:eastAsia="方正仿宋_GB2312"/>
          <w:b/>
          <w:sz w:val="32"/>
          <w:szCs w:val="32"/>
        </w:rPr>
      </w:pPr>
    </w:p>
    <w:p w14:paraId="7EBFAEA7">
      <w:pPr>
        <w:keepNext w:val="0"/>
        <w:keepLines w:val="0"/>
        <w:pageBreakBefore w:val="0"/>
        <w:kinsoku/>
        <w:wordWrap/>
        <w:overflowPunct/>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为实施韶关市武江区</w:t>
      </w:r>
      <w:r>
        <w:rPr>
          <w:rFonts w:hint="eastAsia" w:ascii="仿宋_GB2312" w:hAnsi="宋体" w:eastAsia="仿宋_GB2312" w:cs="宋体"/>
          <w:bCs/>
          <w:sz w:val="32"/>
          <w:szCs w:val="32"/>
        </w:rPr>
        <w:t>城镇</w:t>
      </w:r>
      <w:r>
        <w:rPr>
          <w:rFonts w:ascii="仿宋_GB2312" w:hAnsi="仿宋_GB2312" w:eastAsia="仿宋_GB2312" w:cs="仿宋_GB2312"/>
          <w:sz w:val="32"/>
          <w:szCs w:val="32"/>
        </w:rPr>
        <w:t>建设规划，</w:t>
      </w:r>
      <w:r>
        <w:rPr>
          <w:rFonts w:hint="eastAsia" w:ascii="仿宋_GB2312" w:hAnsi="仿宋_GB2312" w:eastAsia="仿宋_GB2312" w:cs="仿宋_GB2312"/>
          <w:sz w:val="32"/>
          <w:szCs w:val="32"/>
        </w:rPr>
        <w:t>进一步</w:t>
      </w:r>
      <w:r>
        <w:rPr>
          <w:rFonts w:ascii="仿宋_GB2312" w:hAnsi="仿宋_GB2312" w:eastAsia="仿宋_GB2312" w:cs="仿宋_GB2312"/>
          <w:sz w:val="32"/>
          <w:szCs w:val="32"/>
        </w:rPr>
        <w:t>完善城市功能，改善城市环境，促进经济</w:t>
      </w:r>
      <w:r>
        <w:rPr>
          <w:rFonts w:hint="eastAsia" w:ascii="仿宋_GB2312" w:hAnsi="仿宋_GB2312" w:eastAsia="仿宋_GB2312" w:cs="仿宋_GB2312"/>
          <w:sz w:val="32"/>
          <w:szCs w:val="32"/>
        </w:rPr>
        <w:t>社会</w:t>
      </w:r>
      <w:r>
        <w:rPr>
          <w:rFonts w:ascii="仿宋_GB2312" w:hAnsi="仿宋_GB2312" w:eastAsia="仿宋_GB2312" w:cs="仿宋_GB2312"/>
          <w:sz w:val="32"/>
          <w:szCs w:val="32"/>
        </w:rPr>
        <w:t>发</w:t>
      </w:r>
      <w:r>
        <w:rPr>
          <w:rFonts w:ascii="仿宋_GB2312" w:hAnsi="仿宋_GB2312" w:eastAsia="仿宋_GB2312" w:cs="仿宋_GB2312"/>
          <w:sz w:val="32"/>
          <w:szCs w:val="32"/>
          <w:highlight w:val="none"/>
        </w:rPr>
        <w:t>展，我</w:t>
      </w:r>
      <w:r>
        <w:rPr>
          <w:rFonts w:hint="eastAsia" w:ascii="仿宋_GB2312" w:hAnsi="仿宋_GB2312" w:eastAsia="仿宋_GB2312" w:cs="仿宋_GB2312"/>
          <w:sz w:val="32"/>
          <w:szCs w:val="32"/>
          <w:highlight w:val="none"/>
          <w:lang w:val="en-US" w:eastAsia="zh-CN"/>
        </w:rPr>
        <w:t>区</w:t>
      </w:r>
      <w:r>
        <w:rPr>
          <w:rFonts w:ascii="仿宋_GB2312" w:hAnsi="仿宋_GB2312" w:eastAsia="仿宋_GB2312" w:cs="仿宋_GB2312"/>
          <w:sz w:val="32"/>
          <w:szCs w:val="32"/>
          <w:highlight w:val="none"/>
        </w:rPr>
        <w:t>拟征收</w:t>
      </w:r>
      <w:r>
        <w:rPr>
          <w:rFonts w:hint="eastAsia" w:ascii="仿宋_GB2312" w:hAnsi="宋体" w:eastAsia="仿宋_GB2312" w:cs="宋体"/>
          <w:bCs/>
          <w:sz w:val="32"/>
          <w:szCs w:val="32"/>
          <w:lang w:val="en-US" w:eastAsia="zh-CN"/>
        </w:rPr>
        <w:t>韶关市武江区西河镇村头股份经济联合社</w:t>
      </w:r>
      <w:r>
        <w:rPr>
          <w:rFonts w:hint="eastAsia" w:ascii="仿宋_GB2312" w:hAnsi="仿宋_GB2312" w:eastAsia="仿宋_GB2312" w:cs="仿宋_GB2312"/>
          <w:sz w:val="32"/>
          <w:szCs w:val="32"/>
        </w:rPr>
        <w:t>属下的集体土地</w:t>
      </w:r>
      <w:r>
        <w:rPr>
          <w:rFonts w:hint="eastAsia" w:ascii="仿宋_GB2312" w:hAnsi="仿宋_GB2312" w:eastAsia="仿宋_GB2312" w:cs="仿宋_GB2312"/>
          <w:sz w:val="32"/>
          <w:szCs w:val="32"/>
          <w:lang w:val="en-US" w:eastAsia="zh-CN"/>
        </w:rPr>
        <w:t>0.7286</w:t>
      </w:r>
      <w:r>
        <w:rPr>
          <w:rFonts w:hint="eastAsia" w:ascii="仿宋_GB2312" w:hAnsi="仿宋_GB2312" w:eastAsia="仿宋_GB2312" w:cs="仿宋_GB2312"/>
          <w:sz w:val="32"/>
          <w:szCs w:val="32"/>
        </w:rPr>
        <w:t>公顷</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根据</w:t>
      </w:r>
      <w:r>
        <w:rPr>
          <w:rFonts w:ascii="仿宋_GB2312" w:hAnsi="仿宋_GB2312" w:eastAsia="仿宋_GB2312" w:cs="仿宋_GB2312"/>
          <w:sz w:val="32"/>
          <w:szCs w:val="32"/>
        </w:rPr>
        <w:t>《中华人民共和国土地管理法》第二条、第四十五条、第四十七条</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以及《</w:t>
      </w:r>
      <w:r>
        <w:rPr>
          <w:rFonts w:hint="eastAsia" w:ascii="仿宋_GB2312" w:hAnsi="仿宋_GB2312" w:eastAsia="仿宋_GB2312" w:cs="仿宋_GB2312"/>
          <w:sz w:val="32"/>
          <w:szCs w:val="32"/>
        </w:rPr>
        <w:t>广东省土地管理条例</w:t>
      </w:r>
      <w:r>
        <w:rPr>
          <w:rFonts w:ascii="仿宋_GB2312" w:hAnsi="仿宋_GB2312" w:eastAsia="仿宋_GB2312" w:cs="仿宋_GB2312"/>
          <w:sz w:val="32"/>
          <w:szCs w:val="32"/>
        </w:rPr>
        <w:t>》等有关规定精神，结合我</w:t>
      </w:r>
      <w:r>
        <w:rPr>
          <w:rFonts w:hint="eastAsia" w:ascii="仿宋_GB2312" w:hAnsi="仿宋_GB2312" w:eastAsia="仿宋_GB2312" w:cs="仿宋_GB2312"/>
          <w:sz w:val="32"/>
          <w:szCs w:val="32"/>
          <w:highlight w:val="none"/>
          <w:lang w:val="en-US" w:eastAsia="zh-CN"/>
        </w:rPr>
        <w:t>区</w:t>
      </w:r>
      <w:r>
        <w:rPr>
          <w:rFonts w:ascii="仿宋_GB2312" w:hAnsi="仿宋_GB2312" w:eastAsia="仿宋_GB2312" w:cs="仿宋_GB2312"/>
          <w:sz w:val="32"/>
          <w:szCs w:val="32"/>
        </w:rPr>
        <w:t>实际情况，</w:t>
      </w:r>
      <w:r>
        <w:rPr>
          <w:rFonts w:hint="eastAsia" w:ascii="仿宋_GB2312" w:hAnsi="仿宋_GB2312" w:eastAsia="仿宋_GB2312" w:cs="仿宋_GB2312"/>
          <w:sz w:val="32"/>
          <w:szCs w:val="32"/>
        </w:rPr>
        <w:t>制定本</w:t>
      </w:r>
      <w:r>
        <w:rPr>
          <w:rFonts w:ascii="仿宋_GB2312" w:hAnsi="仿宋_GB2312" w:eastAsia="仿宋_GB2312" w:cs="仿宋_GB2312"/>
          <w:sz w:val="32"/>
          <w:szCs w:val="32"/>
        </w:rPr>
        <w:t>征地补偿安置方案，具体如下：</w:t>
      </w:r>
    </w:p>
    <w:p w14:paraId="1A9C4A23">
      <w:pPr>
        <w:keepNext w:val="0"/>
        <w:keepLines w:val="0"/>
        <w:pageBreakBefore w:val="0"/>
        <w:kinsoku/>
        <w:wordWrap/>
        <w:overflowPunct/>
        <w:autoSpaceDN/>
        <w:bidi w:val="0"/>
        <w:adjustRightInd/>
        <w:snapToGrid/>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一、征收集体土地情况</w:t>
      </w:r>
    </w:p>
    <w:p w14:paraId="78D4D1CA">
      <w:pPr>
        <w:keepNext w:val="0"/>
        <w:keepLines w:val="0"/>
        <w:pageBreakBefore w:val="0"/>
        <w:tabs>
          <w:tab w:val="left" w:pos="3990"/>
        </w:tabs>
        <w:kinsoku/>
        <w:wordWrap/>
        <w:overflowPunct/>
        <w:autoSpaceDN/>
        <w:bidi w:val="0"/>
        <w:adjustRightInd/>
        <w:snapToGrid/>
        <w:spacing w:line="560" w:lineRule="exact"/>
        <w:ind w:firstLine="640" w:firstLineChars="200"/>
        <w:rPr>
          <w:rFonts w:hint="default" w:ascii="仿宋_GB2312" w:hAnsi="宋体" w:eastAsia="仿宋_GB2312" w:cs="宋体"/>
          <w:bCs/>
          <w:sz w:val="32"/>
          <w:szCs w:val="32"/>
          <w:lang w:val="en-US" w:eastAsia="zh-CN"/>
        </w:rPr>
      </w:pPr>
      <w:r>
        <w:rPr>
          <w:rFonts w:ascii="仿宋_GB2312" w:hAnsi="宋体" w:eastAsia="仿宋_GB2312" w:cs="宋体"/>
          <w:bCs/>
          <w:sz w:val="32"/>
          <w:szCs w:val="32"/>
          <w:lang w:val="zh-CN"/>
        </w:rPr>
        <w:t>（</w:t>
      </w:r>
      <w:r>
        <w:rPr>
          <w:rFonts w:ascii="仿宋_GB2312" w:hAnsi="宋体" w:eastAsia="仿宋_GB2312" w:cs="宋体"/>
          <w:bCs/>
          <w:sz w:val="32"/>
          <w:szCs w:val="32"/>
        </w:rPr>
        <w:t>一</w:t>
      </w:r>
      <w:r>
        <w:rPr>
          <w:rFonts w:ascii="仿宋_GB2312" w:hAnsi="宋体" w:eastAsia="仿宋_GB2312" w:cs="宋体"/>
          <w:bCs/>
          <w:sz w:val="32"/>
          <w:szCs w:val="32"/>
          <w:lang w:val="zh-CN"/>
        </w:rPr>
        <w:t>）</w:t>
      </w:r>
      <w:r>
        <w:rPr>
          <w:rFonts w:ascii="仿宋_GB2312" w:hAnsi="宋体" w:eastAsia="仿宋_GB2312" w:cs="宋体"/>
          <w:bCs/>
          <w:sz w:val="32"/>
          <w:szCs w:val="32"/>
        </w:rPr>
        <w:t>拟征收</w:t>
      </w:r>
      <w:r>
        <w:rPr>
          <w:rFonts w:hint="eastAsia" w:ascii="仿宋_GB2312" w:hAnsi="仿宋_GB2312" w:eastAsia="仿宋_GB2312" w:cs="仿宋_GB2312"/>
          <w:color w:val="000000"/>
          <w:sz w:val="32"/>
          <w:szCs w:val="32"/>
          <w:lang w:eastAsia="zh-CN"/>
        </w:rPr>
        <w:t>韶关市武江区西河镇村头股份经济联合社</w:t>
      </w:r>
      <w:r>
        <w:rPr>
          <w:rFonts w:hint="eastAsia" w:ascii="仿宋_GB2312" w:hAnsi="仿宋_GB2312" w:eastAsia="仿宋_GB2312" w:cs="仿宋_GB2312"/>
          <w:sz w:val="32"/>
          <w:szCs w:val="32"/>
        </w:rPr>
        <w:t>属下的集体土地</w:t>
      </w:r>
      <w:r>
        <w:rPr>
          <w:rFonts w:ascii="仿宋_GB2312" w:hAnsi="宋体" w:eastAsia="仿宋_GB2312" w:cs="宋体"/>
          <w:bCs/>
          <w:sz w:val="32"/>
          <w:szCs w:val="32"/>
        </w:rPr>
        <w:t>总面积</w:t>
      </w:r>
      <w:r>
        <w:rPr>
          <w:rFonts w:hint="eastAsia" w:ascii="仿宋_GB2312" w:hAnsi="宋体" w:eastAsia="仿宋_GB2312" w:cs="宋体"/>
          <w:bCs/>
          <w:sz w:val="32"/>
          <w:szCs w:val="32"/>
        </w:rPr>
        <w:t>0.7286</w:t>
      </w:r>
      <w:r>
        <w:rPr>
          <w:rFonts w:hint="eastAsia" w:ascii="仿宋_GB2312" w:hAnsi="仿宋_GB2312" w:eastAsia="仿宋_GB2312" w:cs="仿宋_GB2312"/>
          <w:sz w:val="32"/>
          <w:szCs w:val="32"/>
        </w:rPr>
        <w:t>公顷</w:t>
      </w:r>
      <w:r>
        <w:rPr>
          <w:rFonts w:ascii="仿宋_GB2312" w:hAnsi="宋体" w:eastAsia="仿宋_GB2312" w:cs="宋体"/>
          <w:bCs/>
          <w:sz w:val="32"/>
          <w:szCs w:val="32"/>
        </w:rPr>
        <w:t>，现状地类为</w:t>
      </w:r>
      <w:r>
        <w:rPr>
          <w:rFonts w:hint="eastAsia" w:ascii="仿宋_GB2312" w:hAnsi="宋体" w:eastAsia="仿宋_GB2312" w:cs="宋体"/>
          <w:bCs/>
          <w:sz w:val="32"/>
          <w:szCs w:val="32"/>
          <w:lang w:val="en-US" w:eastAsia="zh-CN"/>
        </w:rPr>
        <w:t>农用地0.0414公顷[其中水浇地0.0400公顷、其他农用地（不含养殖水面）0.0014公顷]、</w:t>
      </w:r>
      <w:r>
        <w:rPr>
          <w:rFonts w:hint="eastAsia" w:ascii="仿宋_GB2312" w:hAnsi="宋体" w:eastAsia="仿宋_GB2312" w:cs="宋体"/>
          <w:bCs/>
          <w:sz w:val="32"/>
          <w:szCs w:val="32"/>
          <w:lang w:eastAsia="zh-CN"/>
        </w:rPr>
        <w:t>建设用地</w:t>
      </w:r>
      <w:r>
        <w:rPr>
          <w:rFonts w:hint="eastAsia" w:ascii="仿宋_GB2312" w:hAnsi="宋体" w:eastAsia="仿宋_GB2312" w:cs="宋体"/>
          <w:bCs/>
          <w:sz w:val="32"/>
          <w:szCs w:val="32"/>
          <w:lang w:val="en-US" w:eastAsia="zh-CN"/>
        </w:rPr>
        <w:t>0.6872</w:t>
      </w:r>
      <w:r>
        <w:rPr>
          <w:rFonts w:hint="eastAsia" w:ascii="仿宋_GB2312" w:hAnsi="宋体" w:eastAsia="仿宋_GB2312" w:cs="宋体"/>
          <w:bCs/>
          <w:sz w:val="32"/>
          <w:szCs w:val="32"/>
          <w:lang w:eastAsia="zh-CN"/>
        </w:rPr>
        <w:t>公顷。</w:t>
      </w:r>
    </w:p>
    <w:p w14:paraId="1781319D">
      <w:pPr>
        <w:keepNext w:val="0"/>
        <w:keepLines w:val="0"/>
        <w:pageBreakBefore w:val="0"/>
        <w:kinsoku/>
        <w:wordWrap/>
        <w:overflowPunct/>
        <w:autoSpaceDN/>
        <w:bidi w:val="0"/>
        <w:adjustRightInd/>
        <w:snapToGrid/>
        <w:spacing w:line="560" w:lineRule="exact"/>
        <w:ind w:firstLine="640" w:firstLineChars="200"/>
        <w:rPr>
          <w:rFonts w:ascii="仿宋_GB2312" w:hAnsi="宋体" w:eastAsia="仿宋_GB2312" w:cs="宋体"/>
          <w:bCs/>
          <w:sz w:val="32"/>
          <w:szCs w:val="32"/>
        </w:rPr>
      </w:pPr>
      <w:r>
        <w:rPr>
          <w:rFonts w:ascii="仿宋_GB2312" w:hAnsi="宋体" w:eastAsia="仿宋_GB2312" w:cs="宋体"/>
          <w:bCs/>
          <w:sz w:val="32"/>
          <w:szCs w:val="32"/>
          <w:lang w:val="zh-CN"/>
        </w:rPr>
        <w:t>（</w:t>
      </w:r>
      <w:r>
        <w:rPr>
          <w:rFonts w:ascii="仿宋_GB2312" w:hAnsi="宋体" w:eastAsia="仿宋_GB2312" w:cs="宋体"/>
          <w:bCs/>
          <w:sz w:val="32"/>
          <w:szCs w:val="32"/>
        </w:rPr>
        <w:t>二</w:t>
      </w:r>
      <w:r>
        <w:rPr>
          <w:rFonts w:ascii="仿宋_GB2312" w:hAnsi="宋体" w:eastAsia="仿宋_GB2312" w:cs="宋体"/>
          <w:bCs/>
          <w:sz w:val="32"/>
          <w:szCs w:val="32"/>
          <w:lang w:val="zh-CN"/>
        </w:rPr>
        <w:t>）</w:t>
      </w:r>
      <w:r>
        <w:rPr>
          <w:rFonts w:ascii="仿宋_GB2312" w:hAnsi="宋体" w:eastAsia="仿宋_GB2312" w:cs="宋体"/>
          <w:bCs/>
          <w:sz w:val="32"/>
          <w:szCs w:val="32"/>
        </w:rPr>
        <w:t>根据用地报批要求，上述</w:t>
      </w:r>
      <w:r>
        <w:rPr>
          <w:rFonts w:hint="eastAsia" w:ascii="仿宋_GB2312" w:hAnsi="宋体" w:eastAsia="仿宋_GB2312" w:cs="宋体"/>
          <w:bCs/>
          <w:sz w:val="32"/>
          <w:szCs w:val="32"/>
          <w:lang w:val="en-US" w:eastAsia="zh-CN"/>
        </w:rPr>
        <w:t>0.7286</w:t>
      </w:r>
      <w:r>
        <w:rPr>
          <w:rFonts w:ascii="仿宋_GB2312" w:hAnsi="宋体" w:eastAsia="仿宋_GB2312" w:cs="宋体"/>
          <w:bCs/>
          <w:sz w:val="32"/>
          <w:szCs w:val="32"/>
        </w:rPr>
        <w:t>公顷的</w:t>
      </w:r>
      <w:r>
        <w:rPr>
          <w:rFonts w:hint="eastAsia" w:ascii="仿宋_GB2312" w:hAnsi="宋体" w:eastAsia="仿宋_GB2312" w:cs="宋体"/>
          <w:bCs/>
          <w:sz w:val="32"/>
          <w:szCs w:val="32"/>
        </w:rPr>
        <w:t>报批</w:t>
      </w:r>
      <w:r>
        <w:rPr>
          <w:rFonts w:ascii="仿宋_GB2312" w:hAnsi="宋体" w:eastAsia="仿宋_GB2312" w:cs="宋体"/>
          <w:bCs/>
          <w:sz w:val="32"/>
          <w:szCs w:val="32"/>
        </w:rPr>
        <w:t>地类为农用地</w:t>
      </w:r>
      <w:r>
        <w:rPr>
          <w:rFonts w:hint="eastAsia" w:ascii="仿宋_GB2312" w:hAnsi="宋体" w:eastAsia="仿宋_GB2312" w:cs="宋体"/>
          <w:bCs/>
          <w:sz w:val="32"/>
          <w:szCs w:val="32"/>
          <w:lang w:val="en-US" w:eastAsia="zh-CN"/>
        </w:rPr>
        <w:t>0.7286</w:t>
      </w:r>
      <w:r>
        <w:rPr>
          <w:rFonts w:ascii="仿宋_GB2312" w:hAnsi="宋体" w:eastAsia="仿宋_GB2312" w:cs="宋体"/>
          <w:bCs/>
          <w:sz w:val="32"/>
          <w:szCs w:val="32"/>
        </w:rPr>
        <w:t>公顷</w:t>
      </w:r>
      <w:r>
        <w:rPr>
          <w:rFonts w:hint="eastAsia" w:ascii="仿宋_GB2312" w:hAnsi="宋体" w:eastAsia="仿宋_GB2312" w:cs="宋体"/>
          <w:bCs/>
          <w:sz w:val="32"/>
          <w:szCs w:val="32"/>
          <w:lang w:val="en-US" w:eastAsia="zh-CN"/>
        </w:rPr>
        <w:t>[其中水田0.0399公顷、水浇地0.6813公顷、养殖水面0.0002公顷、其他农用地（不含养殖水面）0.0072公顷]</w:t>
      </w:r>
      <w:r>
        <w:rPr>
          <w:rFonts w:ascii="仿宋_GB2312" w:hAnsi="宋体" w:eastAsia="仿宋_GB2312" w:cs="宋体"/>
          <w:bCs/>
          <w:sz w:val="32"/>
          <w:szCs w:val="32"/>
        </w:rPr>
        <w:t>。</w:t>
      </w:r>
    </w:p>
    <w:p w14:paraId="46FED8F5">
      <w:pPr>
        <w:keepNext w:val="0"/>
        <w:keepLines w:val="0"/>
        <w:pageBreakBefore w:val="0"/>
        <w:kinsoku/>
        <w:wordWrap/>
        <w:overflowPunct/>
        <w:autoSpaceDN/>
        <w:bidi w:val="0"/>
        <w:adjustRightInd/>
        <w:snapToGrid/>
        <w:spacing w:line="560" w:lineRule="exact"/>
        <w:ind w:firstLine="640" w:firstLineChars="200"/>
        <w:rPr>
          <w:rFonts w:hint="eastAsia" w:ascii="黑体" w:hAnsi="黑体" w:eastAsia="黑体" w:cs="黑体"/>
          <w:sz w:val="32"/>
          <w:szCs w:val="32"/>
        </w:rPr>
      </w:pPr>
    </w:p>
    <w:p w14:paraId="0C76EC47">
      <w:pPr>
        <w:keepNext w:val="0"/>
        <w:keepLines w:val="0"/>
        <w:pageBreakBefore w:val="0"/>
        <w:kinsoku/>
        <w:wordWrap/>
        <w:overflowPunct/>
        <w:autoSpaceDN/>
        <w:bidi w:val="0"/>
        <w:adjustRightInd/>
        <w:snapToGrid/>
        <w:spacing w:line="560" w:lineRule="exact"/>
        <w:ind w:firstLine="640" w:firstLineChars="200"/>
        <w:rPr>
          <w:rFonts w:hint="eastAsia" w:ascii="黑体" w:hAnsi="黑体" w:eastAsia="黑体" w:cs="黑体"/>
          <w:sz w:val="32"/>
          <w:szCs w:val="32"/>
        </w:rPr>
      </w:pPr>
    </w:p>
    <w:p w14:paraId="7240A797">
      <w:pPr>
        <w:keepNext w:val="0"/>
        <w:keepLines w:val="0"/>
        <w:pageBreakBefore w:val="0"/>
        <w:kinsoku/>
        <w:wordWrap/>
        <w:overflowPunct/>
        <w:autoSpaceDN/>
        <w:bidi w:val="0"/>
        <w:adjustRightInd/>
        <w:snapToGrid/>
        <w:spacing w:line="560" w:lineRule="exact"/>
        <w:ind w:firstLine="640" w:firstLineChars="200"/>
        <w:rPr>
          <w:rFonts w:hint="eastAsia" w:ascii="黑体" w:hAnsi="黑体" w:eastAsia="黑体" w:cs="黑体"/>
          <w:sz w:val="32"/>
          <w:szCs w:val="32"/>
        </w:rPr>
      </w:pPr>
    </w:p>
    <w:p w14:paraId="28B9D62C">
      <w:pPr>
        <w:keepNext w:val="0"/>
        <w:keepLines w:val="0"/>
        <w:pageBreakBefore w:val="0"/>
        <w:kinsoku/>
        <w:wordWrap/>
        <w:overflowPunct/>
        <w:autoSpaceDN/>
        <w:bidi w:val="0"/>
        <w:adjustRightInd/>
        <w:snapToGrid/>
        <w:spacing w:line="560" w:lineRule="exact"/>
        <w:ind w:firstLine="640" w:firstLineChars="200"/>
        <w:rPr>
          <w:rFonts w:hint="eastAsia" w:ascii="黑体" w:hAnsi="黑体" w:eastAsia="黑体" w:cs="黑体"/>
          <w:sz w:val="32"/>
          <w:szCs w:val="32"/>
        </w:rPr>
      </w:pPr>
    </w:p>
    <w:p w14:paraId="525917FF">
      <w:pPr>
        <w:keepNext w:val="0"/>
        <w:keepLines w:val="0"/>
        <w:pageBreakBefore w:val="0"/>
        <w:kinsoku/>
        <w:wordWrap/>
        <w:overflowPunct/>
        <w:autoSpaceDN/>
        <w:bidi w:val="0"/>
        <w:adjustRightInd/>
        <w:snapToGrid/>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二、征地补偿标准及费用</w:t>
      </w:r>
    </w:p>
    <w:tbl>
      <w:tblPr>
        <w:tblStyle w:val="10"/>
        <w:tblW w:w="8806" w:type="dxa"/>
        <w:tblInd w:w="0" w:type="dxa"/>
        <w:tblLayout w:type="fixed"/>
        <w:tblCellMar>
          <w:top w:w="0" w:type="dxa"/>
          <w:left w:w="0" w:type="dxa"/>
          <w:bottom w:w="0" w:type="dxa"/>
          <w:right w:w="0" w:type="dxa"/>
        </w:tblCellMar>
      </w:tblPr>
      <w:tblGrid>
        <w:gridCol w:w="1131"/>
        <w:gridCol w:w="1519"/>
        <w:gridCol w:w="994"/>
        <w:gridCol w:w="1112"/>
        <w:gridCol w:w="1100"/>
        <w:gridCol w:w="969"/>
        <w:gridCol w:w="1013"/>
        <w:gridCol w:w="968"/>
      </w:tblGrid>
      <w:tr w14:paraId="268729AD">
        <w:tblPrEx>
          <w:tblCellMar>
            <w:top w:w="0" w:type="dxa"/>
            <w:left w:w="0" w:type="dxa"/>
            <w:bottom w:w="0" w:type="dxa"/>
            <w:right w:w="0" w:type="dxa"/>
          </w:tblCellMar>
        </w:tblPrEx>
        <w:trPr>
          <w:trHeight w:val="272" w:hRule="atLeast"/>
          <w:tblHeader/>
        </w:trPr>
        <w:tc>
          <w:tcPr>
            <w:tcW w:w="8806" w:type="dxa"/>
            <w:gridSpan w:val="8"/>
            <w:tcBorders>
              <w:top w:val="nil"/>
              <w:left w:val="nil"/>
              <w:bottom w:val="nil"/>
              <w:right w:val="nil"/>
            </w:tcBorders>
            <w:tcMar>
              <w:top w:w="15" w:type="dxa"/>
              <w:left w:w="15" w:type="dxa"/>
              <w:right w:w="15" w:type="dxa"/>
            </w:tcMar>
            <w:vAlign w:val="center"/>
          </w:tcPr>
          <w:p w14:paraId="3EFA61CF">
            <w:pPr>
              <w:keepNext w:val="0"/>
              <w:keepLines w:val="0"/>
              <w:pageBreakBefore w:val="0"/>
              <w:widowControl/>
              <w:kinsoku/>
              <w:wordWrap/>
              <w:overflowPunct/>
              <w:autoSpaceDN/>
              <w:bidi w:val="0"/>
              <w:adjustRightInd/>
              <w:snapToGrid/>
              <w:spacing w:line="240" w:lineRule="auto"/>
              <w:jc w:val="right"/>
              <w:textAlignment w:val="center"/>
              <w:rPr>
                <w:rFonts w:hint="eastAsia" w:ascii="仿宋_GB2312" w:hAnsi="仿宋_GB2312" w:eastAsia="仿宋_GB2312" w:cs="仿宋_GB2312"/>
                <w:color w:val="000000"/>
                <w:szCs w:val="21"/>
              </w:rPr>
            </w:pPr>
            <w:bookmarkStart w:id="0" w:name="OLE_LINK2"/>
            <w:r>
              <w:rPr>
                <w:rFonts w:hint="eastAsia" w:ascii="仿宋_GB2312" w:hAnsi="仿宋_GB2312" w:eastAsia="仿宋_GB2312" w:cs="仿宋_GB2312"/>
                <w:color w:val="000000"/>
                <w:kern w:val="0"/>
                <w:szCs w:val="21"/>
                <w:lang w:bidi="ar"/>
              </w:rPr>
              <w:t>单位：公顷、万元/公顷、万元</w:t>
            </w:r>
          </w:p>
        </w:tc>
      </w:tr>
      <w:tr w14:paraId="30D1803B">
        <w:tblPrEx>
          <w:tblCellMar>
            <w:top w:w="0" w:type="dxa"/>
            <w:left w:w="0" w:type="dxa"/>
            <w:bottom w:w="0" w:type="dxa"/>
            <w:right w:w="0" w:type="dxa"/>
          </w:tblCellMar>
        </w:tblPrEx>
        <w:trPr>
          <w:trHeight w:val="345" w:hRule="atLeast"/>
          <w:tblHeader/>
        </w:trPr>
        <w:tc>
          <w:tcPr>
            <w:tcW w:w="113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56A5C5">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单位</w:t>
            </w:r>
          </w:p>
        </w:tc>
        <w:tc>
          <w:tcPr>
            <w:tcW w:w="151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223AD3">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土地类别</w:t>
            </w:r>
          </w:p>
        </w:tc>
        <w:tc>
          <w:tcPr>
            <w:tcW w:w="99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379CB4">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面积</w:t>
            </w:r>
          </w:p>
        </w:tc>
        <w:tc>
          <w:tcPr>
            <w:tcW w:w="22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835606">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土地补偿费</w:t>
            </w:r>
          </w:p>
        </w:tc>
        <w:tc>
          <w:tcPr>
            <w:tcW w:w="198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87D33C">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安置补助费</w:t>
            </w:r>
          </w:p>
        </w:tc>
        <w:tc>
          <w:tcPr>
            <w:tcW w:w="96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BF8155">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小计</w:t>
            </w:r>
          </w:p>
        </w:tc>
      </w:tr>
      <w:tr w14:paraId="006378EB">
        <w:tblPrEx>
          <w:tblCellMar>
            <w:top w:w="0" w:type="dxa"/>
            <w:left w:w="0" w:type="dxa"/>
            <w:bottom w:w="0" w:type="dxa"/>
            <w:right w:w="0" w:type="dxa"/>
          </w:tblCellMar>
        </w:tblPrEx>
        <w:trPr>
          <w:trHeight w:val="283" w:hRule="atLeast"/>
          <w:tblHeader/>
        </w:trPr>
        <w:tc>
          <w:tcPr>
            <w:tcW w:w="113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3135EA">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color w:val="000000"/>
                <w:szCs w:val="21"/>
              </w:rPr>
            </w:pPr>
          </w:p>
        </w:tc>
        <w:tc>
          <w:tcPr>
            <w:tcW w:w="151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EE5416">
            <w:pPr>
              <w:keepNext w:val="0"/>
              <w:keepLines w:val="0"/>
              <w:pageBreakBefore w:val="0"/>
              <w:widowControl/>
              <w:kinsoku/>
              <w:wordWrap/>
              <w:overflowPunct/>
              <w:autoSpaceDN/>
              <w:bidi w:val="0"/>
              <w:adjustRightInd/>
              <w:snapToGrid/>
              <w:spacing w:line="240" w:lineRule="auto"/>
              <w:jc w:val="center"/>
              <w:rPr>
                <w:rFonts w:hint="eastAsia" w:ascii="仿宋_GB2312" w:hAnsi="仿宋_GB2312" w:eastAsia="仿宋_GB2312" w:cs="仿宋_GB2312"/>
                <w:color w:val="000000"/>
                <w:szCs w:val="21"/>
              </w:rPr>
            </w:pPr>
          </w:p>
        </w:tc>
        <w:tc>
          <w:tcPr>
            <w:tcW w:w="99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1C900F">
            <w:pPr>
              <w:keepNext w:val="0"/>
              <w:keepLines w:val="0"/>
              <w:pageBreakBefore w:val="0"/>
              <w:widowControl/>
              <w:kinsoku/>
              <w:wordWrap/>
              <w:overflowPunct/>
              <w:autoSpaceDN/>
              <w:bidi w:val="0"/>
              <w:adjustRightInd/>
              <w:snapToGrid/>
              <w:spacing w:line="240" w:lineRule="auto"/>
              <w:jc w:val="center"/>
              <w:rPr>
                <w:rFonts w:hint="eastAsia" w:ascii="仿宋_GB2312" w:hAnsi="仿宋_GB2312" w:eastAsia="仿宋_GB2312" w:cs="仿宋_GB2312"/>
                <w:color w:val="000000"/>
                <w:szCs w:val="21"/>
              </w:rPr>
            </w:pPr>
          </w:p>
        </w:tc>
        <w:tc>
          <w:tcPr>
            <w:tcW w:w="111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CF4E8A">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补偿标准</w:t>
            </w:r>
          </w:p>
        </w:tc>
        <w:tc>
          <w:tcPr>
            <w:tcW w:w="1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04DBB9">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补偿金额</w:t>
            </w:r>
          </w:p>
        </w:tc>
        <w:tc>
          <w:tcPr>
            <w:tcW w:w="96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6E2F03">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补偿标准</w:t>
            </w:r>
          </w:p>
        </w:tc>
        <w:tc>
          <w:tcPr>
            <w:tcW w:w="101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0E41A8">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补偿金额</w:t>
            </w:r>
          </w:p>
        </w:tc>
        <w:tc>
          <w:tcPr>
            <w:tcW w:w="96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F9B361">
            <w:pPr>
              <w:keepNext w:val="0"/>
              <w:keepLines w:val="0"/>
              <w:pageBreakBefore w:val="0"/>
              <w:widowControl/>
              <w:kinsoku/>
              <w:wordWrap/>
              <w:overflowPunct/>
              <w:autoSpaceDN/>
              <w:bidi w:val="0"/>
              <w:adjustRightInd/>
              <w:snapToGrid/>
              <w:spacing w:line="240" w:lineRule="auto"/>
              <w:jc w:val="center"/>
              <w:rPr>
                <w:rFonts w:hint="eastAsia" w:ascii="仿宋_GB2312" w:hAnsi="仿宋_GB2312" w:eastAsia="仿宋_GB2312" w:cs="仿宋_GB2312"/>
                <w:color w:val="000000"/>
                <w:szCs w:val="21"/>
              </w:rPr>
            </w:pPr>
          </w:p>
        </w:tc>
      </w:tr>
      <w:tr w14:paraId="732AA573">
        <w:tblPrEx>
          <w:tblCellMar>
            <w:top w:w="0" w:type="dxa"/>
            <w:left w:w="0" w:type="dxa"/>
            <w:bottom w:w="0" w:type="dxa"/>
            <w:right w:w="0" w:type="dxa"/>
          </w:tblCellMar>
        </w:tblPrEx>
        <w:trPr>
          <w:trHeight w:val="529" w:hRule="atLeast"/>
        </w:trPr>
        <w:tc>
          <w:tcPr>
            <w:tcW w:w="1131"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40323A9D">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color w:val="000000"/>
                <w:szCs w:val="21"/>
                <w:lang w:val="en-US" w:eastAsia="zh-CN"/>
              </w:rPr>
            </w:pPr>
          </w:p>
          <w:p w14:paraId="147F675D">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color w:val="000000"/>
                <w:szCs w:val="21"/>
                <w:lang w:val="en-US" w:eastAsia="zh-CN"/>
              </w:rPr>
            </w:pPr>
            <w:r>
              <w:rPr>
                <w:rFonts w:hint="eastAsia" w:ascii="仿宋_GB2312" w:hAnsi="仿宋_GB2312" w:eastAsia="仿宋_GB2312" w:cs="仿宋_GB2312"/>
                <w:color w:val="000000"/>
                <w:szCs w:val="21"/>
                <w:lang w:val="en-US" w:eastAsia="zh-CN"/>
              </w:rPr>
              <w:t>韶关市武江区西河镇村头股份经济联合社</w:t>
            </w:r>
          </w:p>
          <w:p w14:paraId="7D8FB650">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color w:val="000000"/>
                <w:szCs w:val="21"/>
                <w:lang w:val="en-US" w:eastAsia="zh-CN"/>
              </w:rPr>
            </w:pPr>
          </w:p>
          <w:p w14:paraId="79BFB243">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color w:val="000000"/>
                <w:szCs w:val="21"/>
                <w:lang w:val="en-US" w:eastAsia="zh-CN"/>
              </w:rPr>
            </w:pPr>
          </w:p>
          <w:p w14:paraId="22DF3C31">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color w:val="000000"/>
                <w:szCs w:val="21"/>
                <w:lang w:val="en-US" w:eastAsia="zh-CN"/>
              </w:rPr>
            </w:pPr>
          </w:p>
          <w:p w14:paraId="03227956">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color w:val="000000"/>
                <w:szCs w:val="21"/>
              </w:rPr>
            </w:pPr>
          </w:p>
        </w:tc>
        <w:tc>
          <w:tcPr>
            <w:tcW w:w="15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9580EE">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仿宋_GB2312" w:eastAsia="仿宋_GB2312" w:cs="仿宋_GB2312"/>
                <w:color w:val="000000"/>
                <w:kern w:val="0"/>
                <w:szCs w:val="21"/>
                <w:lang w:val="en-US" w:eastAsia="zh-CN" w:bidi="ar"/>
              </w:rPr>
            </w:pPr>
            <w:r>
              <w:rPr>
                <w:rFonts w:hint="eastAsia" w:ascii="仿宋_GB2312" w:hAnsi="仿宋_GB2312" w:eastAsia="仿宋_GB2312" w:cs="仿宋_GB2312"/>
                <w:color w:val="000000"/>
                <w:kern w:val="0"/>
                <w:szCs w:val="21"/>
                <w:lang w:val="en-US" w:eastAsia="zh-CN" w:bidi="ar"/>
              </w:rPr>
              <w:t>耕地</w:t>
            </w:r>
          </w:p>
        </w:tc>
        <w:tc>
          <w:tcPr>
            <w:tcW w:w="9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800483">
            <w:pPr>
              <w:keepNext w:val="0"/>
              <w:keepLines w:val="0"/>
              <w:pageBreakBefore w:val="0"/>
              <w:widowControl/>
              <w:kinsoku/>
              <w:wordWrap/>
              <w:overflowPunct/>
              <w:autoSpaceDN/>
              <w:bidi w:val="0"/>
              <w:adjustRightInd/>
              <w:snapToGrid/>
              <w:spacing w:line="240" w:lineRule="auto"/>
              <w:jc w:val="center"/>
              <w:textAlignment w:val="center"/>
              <w:rPr>
                <w:rFonts w:hint="default" w:ascii="仿宋_GB2312" w:hAnsi="宋体" w:eastAsia="仿宋_GB2312" w:cs="仿宋_GB2312"/>
                <w:color w:val="000000"/>
                <w:kern w:val="0"/>
                <w:szCs w:val="21"/>
                <w:lang w:val="en-US" w:eastAsia="zh-CN" w:bidi="ar"/>
              </w:rPr>
            </w:pPr>
            <w:r>
              <w:rPr>
                <w:rFonts w:hint="eastAsia" w:ascii="仿宋_GB2312" w:hAnsi="宋体" w:eastAsia="仿宋_GB2312" w:cs="仿宋_GB2312"/>
                <w:color w:val="000000"/>
                <w:kern w:val="0"/>
                <w:szCs w:val="21"/>
                <w:lang w:val="en-US" w:eastAsia="zh-CN" w:bidi="ar"/>
              </w:rPr>
              <w:t>0.7212</w:t>
            </w:r>
          </w:p>
        </w:tc>
        <w:tc>
          <w:tcPr>
            <w:tcW w:w="111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39FC3E">
            <w:pPr>
              <w:keepNext w:val="0"/>
              <w:keepLines w:val="0"/>
              <w:pageBreakBefore w:val="0"/>
              <w:widowControl/>
              <w:kinsoku/>
              <w:wordWrap/>
              <w:overflowPunct/>
              <w:autoSpaceDN/>
              <w:bidi w:val="0"/>
              <w:adjustRightInd/>
              <w:snapToGrid/>
              <w:spacing w:line="240" w:lineRule="auto"/>
              <w:jc w:val="center"/>
              <w:textAlignment w:val="center"/>
              <w:rPr>
                <w:rFonts w:hint="default" w:ascii="仿宋_GB2312" w:hAnsi="宋体" w:eastAsia="仿宋_GB2312" w:cs="仿宋_GB2312"/>
                <w:color w:val="000000"/>
                <w:kern w:val="0"/>
                <w:szCs w:val="21"/>
                <w:lang w:val="en-US" w:eastAsia="zh-CN" w:bidi="ar"/>
              </w:rPr>
            </w:pPr>
            <w:r>
              <w:rPr>
                <w:rFonts w:hint="eastAsia" w:ascii="仿宋_GB2312" w:hAnsi="宋体" w:eastAsia="仿宋_GB2312" w:cs="仿宋_GB2312"/>
                <w:color w:val="000000"/>
                <w:kern w:val="0"/>
                <w:szCs w:val="21"/>
                <w:lang w:bidi="ar"/>
              </w:rPr>
              <w:t>48.45</w:t>
            </w:r>
            <w:r>
              <w:rPr>
                <w:rFonts w:hint="eastAsia" w:ascii="仿宋_GB2312" w:hAnsi="宋体" w:eastAsia="仿宋_GB2312" w:cs="仿宋_GB2312"/>
                <w:color w:val="000000"/>
                <w:kern w:val="0"/>
                <w:szCs w:val="21"/>
                <w:lang w:val="en-US" w:eastAsia="zh-CN" w:bidi="ar"/>
              </w:rPr>
              <w:t>00</w:t>
            </w:r>
          </w:p>
        </w:tc>
        <w:tc>
          <w:tcPr>
            <w:tcW w:w="1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8EAAAC">
            <w:pPr>
              <w:keepNext w:val="0"/>
              <w:keepLines w:val="0"/>
              <w:pageBreakBefore w:val="0"/>
              <w:widowControl/>
              <w:kinsoku/>
              <w:wordWrap/>
              <w:overflowPunct/>
              <w:autoSpaceDN/>
              <w:bidi w:val="0"/>
              <w:adjustRightInd/>
              <w:snapToGrid/>
              <w:spacing w:line="240" w:lineRule="auto"/>
              <w:jc w:val="center"/>
              <w:textAlignment w:val="center"/>
              <w:rPr>
                <w:rFonts w:hint="default" w:ascii="仿宋_GB2312" w:hAnsi="宋体" w:eastAsia="仿宋_GB2312" w:cs="仿宋_GB2312"/>
                <w:color w:val="000000"/>
                <w:kern w:val="0"/>
                <w:szCs w:val="21"/>
                <w:lang w:val="en-US" w:eastAsia="zh-CN" w:bidi="ar"/>
              </w:rPr>
            </w:pPr>
            <w:r>
              <w:rPr>
                <w:rFonts w:hint="eastAsia" w:ascii="仿宋_GB2312" w:hAnsi="宋体" w:eastAsia="仿宋_GB2312" w:cs="仿宋_GB2312"/>
                <w:color w:val="000000"/>
                <w:kern w:val="0"/>
                <w:szCs w:val="21"/>
                <w:lang w:val="en-US" w:eastAsia="zh-CN" w:bidi="ar"/>
              </w:rPr>
              <w:t>34.9422</w:t>
            </w:r>
          </w:p>
        </w:tc>
        <w:tc>
          <w:tcPr>
            <w:tcW w:w="96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363B48">
            <w:pPr>
              <w:keepNext w:val="0"/>
              <w:keepLines w:val="0"/>
              <w:pageBreakBefore w:val="0"/>
              <w:widowControl/>
              <w:kinsoku/>
              <w:wordWrap/>
              <w:overflowPunct/>
              <w:autoSpaceDN/>
              <w:bidi w:val="0"/>
              <w:adjustRightInd/>
              <w:snapToGrid/>
              <w:spacing w:line="240" w:lineRule="auto"/>
              <w:jc w:val="center"/>
              <w:textAlignment w:val="center"/>
              <w:rPr>
                <w:rFonts w:hint="default" w:ascii="仿宋_GB2312" w:hAnsi="宋体" w:eastAsia="仿宋_GB2312" w:cs="仿宋_GB2312"/>
                <w:color w:val="000000"/>
                <w:kern w:val="0"/>
                <w:szCs w:val="21"/>
                <w:lang w:val="en-US" w:eastAsia="zh-CN" w:bidi="ar"/>
              </w:rPr>
            </w:pPr>
            <w:r>
              <w:rPr>
                <w:rFonts w:hint="eastAsia" w:ascii="仿宋_GB2312" w:hAnsi="宋体" w:eastAsia="仿宋_GB2312" w:cs="仿宋_GB2312"/>
                <w:color w:val="000000"/>
                <w:kern w:val="0"/>
                <w:szCs w:val="21"/>
                <w:lang w:bidi="ar"/>
              </w:rPr>
              <w:t>48.6</w:t>
            </w:r>
            <w:r>
              <w:rPr>
                <w:rFonts w:hint="eastAsia" w:ascii="仿宋_GB2312" w:hAnsi="宋体" w:eastAsia="仿宋_GB2312" w:cs="仿宋_GB2312"/>
                <w:color w:val="000000"/>
                <w:kern w:val="0"/>
                <w:szCs w:val="21"/>
                <w:lang w:val="en-US" w:eastAsia="zh-CN" w:bidi="ar"/>
              </w:rPr>
              <w:t>000</w:t>
            </w:r>
          </w:p>
        </w:tc>
        <w:tc>
          <w:tcPr>
            <w:tcW w:w="101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8D3F33">
            <w:pPr>
              <w:keepNext w:val="0"/>
              <w:keepLines w:val="0"/>
              <w:pageBreakBefore w:val="0"/>
              <w:widowControl/>
              <w:kinsoku/>
              <w:wordWrap/>
              <w:overflowPunct/>
              <w:autoSpaceDN/>
              <w:bidi w:val="0"/>
              <w:adjustRightInd/>
              <w:snapToGrid/>
              <w:spacing w:line="240" w:lineRule="auto"/>
              <w:jc w:val="center"/>
              <w:textAlignment w:val="center"/>
              <w:rPr>
                <w:rFonts w:hint="default" w:ascii="仿宋_GB2312" w:hAnsi="宋体" w:eastAsia="仿宋_GB2312" w:cs="仿宋_GB2312"/>
                <w:color w:val="000000"/>
                <w:kern w:val="0"/>
                <w:szCs w:val="21"/>
                <w:lang w:val="en-US" w:eastAsia="zh-CN" w:bidi="ar"/>
              </w:rPr>
            </w:pPr>
            <w:r>
              <w:rPr>
                <w:rFonts w:hint="eastAsia" w:ascii="仿宋_GB2312" w:hAnsi="宋体" w:eastAsia="仿宋_GB2312" w:cs="仿宋_GB2312"/>
                <w:color w:val="000000"/>
                <w:kern w:val="0"/>
                <w:szCs w:val="21"/>
                <w:lang w:val="en-US" w:eastAsia="zh-CN" w:bidi="ar"/>
              </w:rPr>
              <w:t>35.0503</w:t>
            </w:r>
          </w:p>
        </w:tc>
        <w:tc>
          <w:tcPr>
            <w:tcW w:w="9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BE8615">
            <w:pPr>
              <w:keepNext w:val="0"/>
              <w:keepLines w:val="0"/>
              <w:pageBreakBefore w:val="0"/>
              <w:widowControl/>
              <w:kinsoku/>
              <w:wordWrap/>
              <w:overflowPunct/>
              <w:autoSpaceDN/>
              <w:bidi w:val="0"/>
              <w:adjustRightInd/>
              <w:snapToGrid/>
              <w:spacing w:line="240" w:lineRule="auto"/>
              <w:jc w:val="center"/>
              <w:textAlignment w:val="center"/>
              <w:rPr>
                <w:rFonts w:hint="default" w:ascii="仿宋_GB2312" w:hAnsi="宋体" w:eastAsia="仿宋_GB2312" w:cs="仿宋_GB2312"/>
                <w:color w:val="000000"/>
                <w:kern w:val="0"/>
                <w:szCs w:val="21"/>
                <w:lang w:val="en-US" w:eastAsia="zh-CN" w:bidi="ar"/>
              </w:rPr>
            </w:pPr>
            <w:r>
              <w:rPr>
                <w:rFonts w:hint="eastAsia" w:ascii="仿宋_GB2312" w:hAnsi="宋体" w:eastAsia="仿宋_GB2312" w:cs="仿宋_GB2312"/>
                <w:color w:val="000000"/>
                <w:kern w:val="0"/>
                <w:szCs w:val="21"/>
                <w:lang w:val="en-US" w:eastAsia="zh-CN" w:bidi="ar"/>
              </w:rPr>
              <w:t>69.9925</w:t>
            </w:r>
          </w:p>
        </w:tc>
      </w:tr>
      <w:tr w14:paraId="0CDC8620">
        <w:tblPrEx>
          <w:tblCellMar>
            <w:top w:w="0" w:type="dxa"/>
            <w:left w:w="0" w:type="dxa"/>
            <w:bottom w:w="0" w:type="dxa"/>
            <w:right w:w="0" w:type="dxa"/>
          </w:tblCellMar>
        </w:tblPrEx>
        <w:trPr>
          <w:trHeight w:val="529" w:hRule="atLeast"/>
        </w:trPr>
        <w:tc>
          <w:tcPr>
            <w:tcW w:w="1131" w:type="dxa"/>
            <w:vMerge w:val="continue"/>
            <w:tcBorders>
              <w:left w:val="single" w:color="000000" w:sz="4" w:space="0"/>
              <w:right w:val="single" w:color="000000" w:sz="4" w:space="0"/>
            </w:tcBorders>
            <w:tcMar>
              <w:top w:w="15" w:type="dxa"/>
              <w:left w:w="15" w:type="dxa"/>
              <w:right w:w="15" w:type="dxa"/>
            </w:tcMar>
            <w:vAlign w:val="center"/>
          </w:tcPr>
          <w:p w14:paraId="7AEDACE1">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color w:val="000000"/>
                <w:szCs w:val="21"/>
                <w:lang w:val="en-US" w:eastAsia="zh-CN"/>
              </w:rPr>
            </w:pPr>
          </w:p>
        </w:tc>
        <w:tc>
          <w:tcPr>
            <w:tcW w:w="15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F943E7">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仿宋_GB2312" w:eastAsia="仿宋_GB2312" w:cs="仿宋_GB2312"/>
                <w:color w:val="000000"/>
                <w:kern w:val="0"/>
                <w:szCs w:val="21"/>
                <w:lang w:val="en-US" w:eastAsia="zh-CN" w:bidi="ar"/>
              </w:rPr>
            </w:pPr>
            <w:r>
              <w:rPr>
                <w:rFonts w:hint="eastAsia" w:ascii="仿宋_GB2312" w:hAnsi="仿宋_GB2312" w:eastAsia="仿宋_GB2312" w:cs="仿宋_GB2312"/>
                <w:color w:val="000000"/>
                <w:kern w:val="0"/>
                <w:szCs w:val="21"/>
                <w:lang w:val="en-US" w:eastAsia="zh-CN" w:bidi="ar"/>
              </w:rPr>
              <w:t>养殖水面</w:t>
            </w:r>
          </w:p>
        </w:tc>
        <w:tc>
          <w:tcPr>
            <w:tcW w:w="9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705124">
            <w:pPr>
              <w:keepNext w:val="0"/>
              <w:keepLines w:val="0"/>
              <w:pageBreakBefore w:val="0"/>
              <w:widowControl/>
              <w:kinsoku/>
              <w:wordWrap/>
              <w:overflowPunct/>
              <w:autoSpaceDN/>
              <w:bidi w:val="0"/>
              <w:adjustRightInd/>
              <w:snapToGrid/>
              <w:spacing w:line="240" w:lineRule="auto"/>
              <w:jc w:val="center"/>
              <w:textAlignment w:val="center"/>
              <w:rPr>
                <w:rFonts w:hint="default" w:ascii="仿宋_GB2312" w:hAnsi="宋体" w:eastAsia="仿宋_GB2312" w:cs="仿宋_GB2312"/>
                <w:color w:val="000000"/>
                <w:kern w:val="0"/>
                <w:szCs w:val="21"/>
                <w:lang w:val="en-US" w:eastAsia="zh-CN" w:bidi="ar"/>
              </w:rPr>
            </w:pPr>
            <w:r>
              <w:rPr>
                <w:rFonts w:hint="eastAsia" w:ascii="仿宋_GB2312" w:hAnsi="宋体" w:eastAsia="仿宋_GB2312" w:cs="仿宋_GB2312"/>
                <w:color w:val="000000"/>
                <w:kern w:val="0"/>
                <w:szCs w:val="21"/>
                <w:lang w:val="en-US" w:eastAsia="zh-CN" w:bidi="ar"/>
              </w:rPr>
              <w:t>0.0002</w:t>
            </w:r>
          </w:p>
        </w:tc>
        <w:tc>
          <w:tcPr>
            <w:tcW w:w="111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ADBD0C">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宋体" w:eastAsia="仿宋_GB2312" w:cs="仿宋_GB2312"/>
                <w:color w:val="000000"/>
                <w:kern w:val="0"/>
                <w:szCs w:val="21"/>
                <w:lang w:bidi="ar"/>
              </w:rPr>
            </w:pPr>
            <w:r>
              <w:rPr>
                <w:rFonts w:hint="eastAsia" w:ascii="仿宋_GB2312" w:hAnsi="宋体" w:eastAsia="仿宋_GB2312" w:cs="仿宋_GB2312"/>
                <w:color w:val="000000"/>
                <w:kern w:val="0"/>
                <w:szCs w:val="21"/>
                <w:lang w:bidi="ar"/>
              </w:rPr>
              <w:t>48.45</w:t>
            </w:r>
            <w:r>
              <w:rPr>
                <w:rFonts w:hint="eastAsia" w:ascii="仿宋_GB2312" w:hAnsi="宋体" w:eastAsia="仿宋_GB2312" w:cs="仿宋_GB2312"/>
                <w:color w:val="000000"/>
                <w:kern w:val="0"/>
                <w:szCs w:val="21"/>
                <w:lang w:val="en-US" w:eastAsia="zh-CN" w:bidi="ar"/>
              </w:rPr>
              <w:t>00</w:t>
            </w:r>
          </w:p>
        </w:tc>
        <w:tc>
          <w:tcPr>
            <w:tcW w:w="1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478CB0">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宋体" w:eastAsia="仿宋_GB2312" w:cs="仿宋_GB2312"/>
                <w:color w:val="000000"/>
                <w:kern w:val="0"/>
                <w:szCs w:val="21"/>
                <w:lang w:val="en-US" w:eastAsia="zh-CN" w:bidi="ar"/>
              </w:rPr>
            </w:pPr>
            <w:r>
              <w:rPr>
                <w:rFonts w:hint="eastAsia" w:ascii="仿宋_GB2312" w:hAnsi="宋体" w:eastAsia="仿宋_GB2312" w:cs="仿宋_GB2312"/>
                <w:color w:val="000000"/>
                <w:kern w:val="0"/>
                <w:szCs w:val="21"/>
                <w:lang w:val="en-US" w:eastAsia="zh-CN" w:bidi="ar"/>
              </w:rPr>
              <w:t>0.0097</w:t>
            </w:r>
          </w:p>
        </w:tc>
        <w:tc>
          <w:tcPr>
            <w:tcW w:w="96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DD0553">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宋体" w:eastAsia="仿宋_GB2312" w:cs="仿宋_GB2312"/>
                <w:color w:val="000000"/>
                <w:kern w:val="0"/>
                <w:szCs w:val="21"/>
                <w:lang w:bidi="ar"/>
              </w:rPr>
            </w:pPr>
            <w:r>
              <w:rPr>
                <w:rFonts w:hint="eastAsia" w:ascii="仿宋_GB2312" w:hAnsi="宋体" w:eastAsia="仿宋_GB2312" w:cs="仿宋_GB2312"/>
                <w:color w:val="000000"/>
                <w:kern w:val="0"/>
                <w:szCs w:val="21"/>
                <w:lang w:bidi="ar"/>
              </w:rPr>
              <w:t>48.6</w:t>
            </w:r>
            <w:r>
              <w:rPr>
                <w:rFonts w:hint="eastAsia" w:ascii="仿宋_GB2312" w:hAnsi="宋体" w:eastAsia="仿宋_GB2312" w:cs="仿宋_GB2312"/>
                <w:color w:val="000000"/>
                <w:kern w:val="0"/>
                <w:szCs w:val="21"/>
                <w:lang w:val="en-US" w:eastAsia="zh-CN" w:bidi="ar"/>
              </w:rPr>
              <w:t>000</w:t>
            </w:r>
          </w:p>
        </w:tc>
        <w:tc>
          <w:tcPr>
            <w:tcW w:w="101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70E232">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宋体" w:eastAsia="仿宋_GB2312" w:cs="仿宋_GB2312"/>
                <w:color w:val="000000"/>
                <w:kern w:val="0"/>
                <w:szCs w:val="21"/>
                <w:lang w:val="en-US" w:eastAsia="zh-CN" w:bidi="ar"/>
              </w:rPr>
            </w:pPr>
            <w:r>
              <w:rPr>
                <w:rFonts w:hint="eastAsia" w:ascii="仿宋_GB2312" w:hAnsi="宋体" w:eastAsia="仿宋_GB2312" w:cs="仿宋_GB2312"/>
                <w:color w:val="000000"/>
                <w:kern w:val="0"/>
                <w:szCs w:val="21"/>
                <w:lang w:val="en-US" w:eastAsia="zh-CN" w:bidi="ar"/>
              </w:rPr>
              <w:t>0.0097</w:t>
            </w:r>
          </w:p>
        </w:tc>
        <w:tc>
          <w:tcPr>
            <w:tcW w:w="9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D64A43">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宋体" w:eastAsia="仿宋_GB2312" w:cs="仿宋_GB2312"/>
                <w:color w:val="000000"/>
                <w:kern w:val="0"/>
                <w:szCs w:val="21"/>
                <w:lang w:val="en-US" w:eastAsia="zh-CN" w:bidi="ar"/>
              </w:rPr>
            </w:pPr>
            <w:r>
              <w:rPr>
                <w:rFonts w:hint="eastAsia" w:ascii="仿宋_GB2312" w:hAnsi="宋体" w:eastAsia="仿宋_GB2312" w:cs="仿宋_GB2312"/>
                <w:color w:val="000000"/>
                <w:kern w:val="0"/>
                <w:szCs w:val="21"/>
                <w:lang w:val="en-US" w:eastAsia="zh-CN" w:bidi="ar"/>
              </w:rPr>
              <w:t>0.0194</w:t>
            </w:r>
          </w:p>
        </w:tc>
      </w:tr>
      <w:tr w14:paraId="2BC9462C">
        <w:tblPrEx>
          <w:tblCellMar>
            <w:top w:w="0" w:type="dxa"/>
            <w:left w:w="0" w:type="dxa"/>
            <w:bottom w:w="0" w:type="dxa"/>
            <w:right w:w="0" w:type="dxa"/>
          </w:tblCellMar>
        </w:tblPrEx>
        <w:trPr>
          <w:trHeight w:val="529" w:hRule="atLeast"/>
        </w:trPr>
        <w:tc>
          <w:tcPr>
            <w:tcW w:w="1131" w:type="dxa"/>
            <w:vMerge w:val="continue"/>
            <w:tcBorders>
              <w:left w:val="single" w:color="000000" w:sz="4" w:space="0"/>
              <w:right w:val="single" w:color="000000" w:sz="4" w:space="0"/>
            </w:tcBorders>
            <w:tcMar>
              <w:top w:w="15" w:type="dxa"/>
              <w:left w:w="15" w:type="dxa"/>
              <w:right w:w="15" w:type="dxa"/>
            </w:tcMar>
            <w:vAlign w:val="center"/>
          </w:tcPr>
          <w:p w14:paraId="649C488E">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color w:val="000000"/>
                <w:szCs w:val="21"/>
                <w:lang w:val="en-US" w:eastAsia="zh-CN"/>
              </w:rPr>
            </w:pPr>
          </w:p>
        </w:tc>
        <w:tc>
          <w:tcPr>
            <w:tcW w:w="15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DFD235">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仿宋_GB2312" w:eastAsia="仿宋_GB2312" w:cs="仿宋_GB2312"/>
                <w:color w:val="000000"/>
                <w:kern w:val="0"/>
                <w:szCs w:val="21"/>
                <w:lang w:val="en-US" w:eastAsia="zh-CN" w:bidi="ar"/>
              </w:rPr>
            </w:pPr>
            <w:r>
              <w:rPr>
                <w:rFonts w:hint="eastAsia" w:ascii="仿宋_GB2312" w:hAnsi="仿宋_GB2312" w:eastAsia="仿宋_GB2312" w:cs="仿宋_GB2312"/>
                <w:color w:val="000000"/>
                <w:kern w:val="0"/>
                <w:szCs w:val="21"/>
                <w:lang w:val="en-US" w:eastAsia="zh-CN" w:bidi="ar"/>
              </w:rPr>
              <w:t>其他农用地（不含养殖水面）</w:t>
            </w:r>
          </w:p>
        </w:tc>
        <w:tc>
          <w:tcPr>
            <w:tcW w:w="9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504935">
            <w:pPr>
              <w:keepNext w:val="0"/>
              <w:keepLines w:val="0"/>
              <w:pageBreakBefore w:val="0"/>
              <w:widowControl/>
              <w:kinsoku/>
              <w:wordWrap/>
              <w:overflowPunct/>
              <w:autoSpaceDN/>
              <w:bidi w:val="0"/>
              <w:adjustRightInd/>
              <w:snapToGrid/>
              <w:spacing w:line="240" w:lineRule="auto"/>
              <w:jc w:val="center"/>
              <w:textAlignment w:val="center"/>
              <w:rPr>
                <w:rFonts w:hint="default" w:ascii="仿宋_GB2312" w:hAnsi="宋体" w:eastAsia="仿宋_GB2312" w:cs="仿宋_GB2312"/>
                <w:color w:val="000000"/>
                <w:kern w:val="0"/>
                <w:szCs w:val="21"/>
                <w:lang w:val="en-US" w:eastAsia="zh-CN" w:bidi="ar"/>
              </w:rPr>
            </w:pPr>
            <w:r>
              <w:rPr>
                <w:rFonts w:hint="eastAsia" w:ascii="仿宋_GB2312" w:hAnsi="宋体" w:eastAsia="仿宋_GB2312" w:cs="仿宋_GB2312"/>
                <w:color w:val="000000"/>
                <w:kern w:val="0"/>
                <w:szCs w:val="21"/>
                <w:lang w:val="en-US" w:eastAsia="zh-CN" w:bidi="ar"/>
              </w:rPr>
              <w:t>0.0072</w:t>
            </w:r>
          </w:p>
        </w:tc>
        <w:tc>
          <w:tcPr>
            <w:tcW w:w="111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8C66A0">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宋体" w:eastAsia="仿宋_GB2312" w:cs="仿宋_GB2312"/>
                <w:color w:val="000000"/>
                <w:kern w:val="0"/>
                <w:szCs w:val="21"/>
                <w:lang w:bidi="ar"/>
              </w:rPr>
            </w:pPr>
            <w:r>
              <w:rPr>
                <w:rFonts w:hint="eastAsia" w:ascii="仿宋_GB2312" w:hAnsi="宋体" w:eastAsia="仿宋_GB2312" w:cs="仿宋_GB2312"/>
                <w:color w:val="000000"/>
                <w:kern w:val="0"/>
                <w:szCs w:val="21"/>
                <w:lang w:bidi="ar"/>
              </w:rPr>
              <w:t>21.8025</w:t>
            </w:r>
          </w:p>
        </w:tc>
        <w:tc>
          <w:tcPr>
            <w:tcW w:w="1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3E3C39">
            <w:pPr>
              <w:keepNext w:val="0"/>
              <w:keepLines w:val="0"/>
              <w:pageBreakBefore w:val="0"/>
              <w:widowControl/>
              <w:kinsoku/>
              <w:wordWrap/>
              <w:overflowPunct/>
              <w:autoSpaceDN/>
              <w:bidi w:val="0"/>
              <w:adjustRightInd/>
              <w:snapToGrid/>
              <w:spacing w:line="240" w:lineRule="auto"/>
              <w:jc w:val="center"/>
              <w:textAlignment w:val="center"/>
              <w:rPr>
                <w:rFonts w:hint="default" w:ascii="仿宋_GB2312" w:hAnsi="宋体" w:eastAsia="仿宋_GB2312" w:cs="仿宋_GB2312"/>
                <w:color w:val="000000"/>
                <w:kern w:val="0"/>
                <w:szCs w:val="21"/>
                <w:lang w:val="en-US" w:eastAsia="zh-CN" w:bidi="ar"/>
              </w:rPr>
            </w:pPr>
            <w:r>
              <w:rPr>
                <w:rFonts w:hint="eastAsia" w:ascii="仿宋_GB2312" w:hAnsi="宋体" w:eastAsia="仿宋_GB2312" w:cs="仿宋_GB2312"/>
                <w:color w:val="000000"/>
                <w:kern w:val="0"/>
                <w:szCs w:val="21"/>
                <w:lang w:val="en-US" w:eastAsia="zh-CN" w:bidi="ar"/>
              </w:rPr>
              <w:t>0.1570</w:t>
            </w:r>
          </w:p>
        </w:tc>
        <w:tc>
          <w:tcPr>
            <w:tcW w:w="96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5379BE">
            <w:pPr>
              <w:keepNext w:val="0"/>
              <w:keepLines w:val="0"/>
              <w:pageBreakBefore w:val="0"/>
              <w:widowControl/>
              <w:kinsoku/>
              <w:wordWrap/>
              <w:overflowPunct/>
              <w:autoSpaceDN/>
              <w:bidi w:val="0"/>
              <w:adjustRightInd/>
              <w:snapToGrid/>
              <w:spacing w:line="240" w:lineRule="auto"/>
              <w:jc w:val="center"/>
              <w:textAlignment w:val="center"/>
              <w:rPr>
                <w:rFonts w:hint="default" w:ascii="仿宋_GB2312" w:hAnsi="宋体" w:eastAsia="仿宋_GB2312" w:cs="仿宋_GB2312"/>
                <w:color w:val="000000"/>
                <w:kern w:val="0"/>
                <w:szCs w:val="21"/>
                <w:lang w:val="en-US" w:eastAsia="zh-CN" w:bidi="ar"/>
              </w:rPr>
            </w:pPr>
            <w:r>
              <w:rPr>
                <w:rFonts w:hint="eastAsia" w:ascii="仿宋_GB2312" w:hAnsi="宋体" w:eastAsia="仿宋_GB2312" w:cs="仿宋_GB2312"/>
                <w:color w:val="000000"/>
                <w:kern w:val="0"/>
                <w:szCs w:val="21"/>
                <w:lang w:bidi="ar"/>
              </w:rPr>
              <w:t>21.87</w:t>
            </w:r>
            <w:r>
              <w:rPr>
                <w:rFonts w:hint="eastAsia" w:ascii="仿宋_GB2312" w:hAnsi="宋体" w:eastAsia="仿宋_GB2312" w:cs="仿宋_GB2312"/>
                <w:color w:val="000000"/>
                <w:kern w:val="0"/>
                <w:szCs w:val="21"/>
                <w:lang w:val="en-US" w:eastAsia="zh-CN" w:bidi="ar"/>
              </w:rPr>
              <w:t>00</w:t>
            </w:r>
          </w:p>
        </w:tc>
        <w:tc>
          <w:tcPr>
            <w:tcW w:w="101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111DF0">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宋体" w:eastAsia="仿宋_GB2312" w:cs="仿宋_GB2312"/>
                <w:color w:val="000000"/>
                <w:kern w:val="0"/>
                <w:szCs w:val="21"/>
                <w:lang w:val="en-US" w:eastAsia="zh-CN" w:bidi="ar"/>
              </w:rPr>
            </w:pPr>
            <w:r>
              <w:rPr>
                <w:rFonts w:hint="eastAsia" w:ascii="仿宋_GB2312" w:hAnsi="宋体" w:eastAsia="仿宋_GB2312" w:cs="仿宋_GB2312"/>
                <w:color w:val="000000"/>
                <w:kern w:val="0"/>
                <w:szCs w:val="21"/>
                <w:lang w:val="en-US" w:eastAsia="zh-CN" w:bidi="ar"/>
              </w:rPr>
              <w:t>0.1575</w:t>
            </w:r>
          </w:p>
        </w:tc>
        <w:tc>
          <w:tcPr>
            <w:tcW w:w="9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664505">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宋体" w:eastAsia="仿宋_GB2312" w:cs="仿宋_GB2312"/>
                <w:color w:val="000000"/>
                <w:kern w:val="0"/>
                <w:szCs w:val="21"/>
                <w:lang w:val="en-US" w:eastAsia="zh-CN" w:bidi="ar"/>
              </w:rPr>
            </w:pPr>
            <w:r>
              <w:rPr>
                <w:rFonts w:hint="eastAsia" w:ascii="仿宋_GB2312" w:hAnsi="宋体" w:eastAsia="仿宋_GB2312" w:cs="仿宋_GB2312"/>
                <w:color w:val="000000"/>
                <w:kern w:val="0"/>
                <w:szCs w:val="21"/>
                <w:lang w:val="en-US" w:eastAsia="zh-CN" w:bidi="ar"/>
              </w:rPr>
              <w:t>0.3145</w:t>
            </w:r>
          </w:p>
        </w:tc>
      </w:tr>
      <w:tr w14:paraId="05DD10F6">
        <w:tblPrEx>
          <w:tblCellMar>
            <w:top w:w="0" w:type="dxa"/>
            <w:left w:w="0" w:type="dxa"/>
            <w:bottom w:w="0" w:type="dxa"/>
            <w:right w:w="0" w:type="dxa"/>
          </w:tblCellMar>
        </w:tblPrEx>
        <w:trPr>
          <w:trHeight w:val="737" w:hRule="atLeast"/>
        </w:trPr>
        <w:tc>
          <w:tcPr>
            <w:tcW w:w="1131" w:type="dxa"/>
            <w:vMerge w:val="continue"/>
            <w:tcBorders>
              <w:left w:val="single" w:color="000000" w:sz="4" w:space="0"/>
              <w:right w:val="single" w:color="000000" w:sz="4" w:space="0"/>
            </w:tcBorders>
            <w:tcMar>
              <w:top w:w="15" w:type="dxa"/>
              <w:left w:w="15" w:type="dxa"/>
              <w:right w:w="15" w:type="dxa"/>
            </w:tcMar>
            <w:vAlign w:val="center"/>
          </w:tcPr>
          <w:p w14:paraId="339DDD6E">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color w:val="000000"/>
                <w:szCs w:val="21"/>
              </w:rPr>
            </w:pPr>
          </w:p>
        </w:tc>
        <w:tc>
          <w:tcPr>
            <w:tcW w:w="251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44827A">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土地补偿费与安置补助费</w:t>
            </w:r>
          </w:p>
        </w:tc>
        <w:tc>
          <w:tcPr>
            <w:tcW w:w="22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4E6108">
            <w:pPr>
              <w:keepNext w:val="0"/>
              <w:keepLines w:val="0"/>
              <w:pageBreakBefore w:val="0"/>
              <w:widowControl/>
              <w:kinsoku/>
              <w:wordWrap/>
              <w:overflowPunct/>
              <w:autoSpaceDN/>
              <w:bidi w:val="0"/>
              <w:adjustRightInd/>
              <w:snapToGrid/>
              <w:spacing w:line="240" w:lineRule="auto"/>
              <w:jc w:val="center"/>
              <w:textAlignment w:val="center"/>
              <w:rPr>
                <w:rFonts w:hint="default" w:ascii="仿宋_GB2312" w:hAnsi="宋体" w:eastAsia="仿宋_GB2312" w:cs="仿宋_GB2312"/>
                <w:color w:val="000000"/>
                <w:kern w:val="0"/>
                <w:szCs w:val="21"/>
                <w:lang w:val="en-US" w:eastAsia="zh-CN" w:bidi="ar"/>
              </w:rPr>
            </w:pPr>
            <w:r>
              <w:rPr>
                <w:rFonts w:hint="default" w:ascii="仿宋_GB2312" w:hAnsi="宋体" w:eastAsia="仿宋_GB2312" w:cs="仿宋_GB2312"/>
                <w:color w:val="000000"/>
                <w:kern w:val="0"/>
                <w:szCs w:val="21"/>
                <w:lang w:val="en-US" w:eastAsia="zh-CN" w:bidi="ar"/>
              </w:rPr>
              <w:t>70.3264</w:t>
            </w:r>
          </w:p>
        </w:tc>
        <w:tc>
          <w:tcPr>
            <w:tcW w:w="2950" w:type="dxa"/>
            <w:gridSpan w:val="3"/>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76ED3A28">
            <w:pPr>
              <w:keepNext w:val="0"/>
              <w:keepLines w:val="0"/>
              <w:pageBreakBefore w:val="0"/>
              <w:widowControl/>
              <w:kinsoku/>
              <w:wordWrap/>
              <w:overflowPunct/>
              <w:autoSpaceDN/>
              <w:bidi w:val="0"/>
              <w:adjustRightInd/>
              <w:snapToGrid/>
              <w:spacing w:line="240" w:lineRule="auto"/>
              <w:jc w:val="left"/>
              <w:textAlignment w:val="center"/>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kern w:val="0"/>
                <w:szCs w:val="21"/>
                <w:lang w:bidi="ar"/>
              </w:rPr>
              <w:t>补偿方式为货币，土地补偿费补偿支付对象为</w:t>
            </w:r>
            <w:r>
              <w:rPr>
                <w:rFonts w:hint="eastAsia" w:ascii="仿宋_GB2312" w:hAnsi="仿宋_GB2312" w:eastAsia="仿宋_GB2312" w:cs="仿宋_GB2312"/>
                <w:color w:val="000000"/>
                <w:szCs w:val="21"/>
                <w:lang w:val="en-US" w:eastAsia="zh-CN"/>
              </w:rPr>
              <w:t>韶关市武江区西河镇村头股份经济联合社，</w:t>
            </w:r>
            <w:r>
              <w:rPr>
                <w:rFonts w:hint="eastAsia" w:ascii="仿宋_GB2312" w:hAnsi="仿宋_GB2312" w:eastAsia="仿宋_GB2312" w:cs="仿宋_GB2312"/>
                <w:color w:val="000000"/>
                <w:kern w:val="0"/>
                <w:szCs w:val="21"/>
                <w:lang w:bidi="ar"/>
              </w:rPr>
              <w:t>由经济联合社按规定转付至相关需安置补偿对象</w:t>
            </w:r>
            <w:r>
              <w:rPr>
                <w:rFonts w:hint="eastAsia" w:ascii="仿宋_GB2312" w:hAnsi="仿宋_GB2312" w:eastAsia="仿宋_GB2312" w:cs="仿宋_GB2312"/>
                <w:color w:val="000000"/>
                <w:kern w:val="0"/>
                <w:szCs w:val="21"/>
                <w:lang w:eastAsia="zh-CN" w:bidi="ar"/>
              </w:rPr>
              <w:t>。</w:t>
            </w:r>
          </w:p>
        </w:tc>
      </w:tr>
      <w:tr w14:paraId="258AFA83">
        <w:tblPrEx>
          <w:tblCellMar>
            <w:top w:w="0" w:type="dxa"/>
            <w:left w:w="0" w:type="dxa"/>
            <w:bottom w:w="0" w:type="dxa"/>
            <w:right w:w="0" w:type="dxa"/>
          </w:tblCellMar>
        </w:tblPrEx>
        <w:trPr>
          <w:trHeight w:val="737" w:hRule="atLeast"/>
        </w:trPr>
        <w:tc>
          <w:tcPr>
            <w:tcW w:w="1131" w:type="dxa"/>
            <w:vMerge w:val="continue"/>
            <w:tcBorders>
              <w:left w:val="single" w:color="000000" w:sz="4" w:space="0"/>
              <w:right w:val="single" w:color="000000" w:sz="4" w:space="0"/>
            </w:tcBorders>
            <w:tcMar>
              <w:top w:w="15" w:type="dxa"/>
              <w:left w:w="15" w:type="dxa"/>
              <w:right w:w="15" w:type="dxa"/>
            </w:tcMar>
            <w:vAlign w:val="center"/>
          </w:tcPr>
          <w:p w14:paraId="0CE06DBC">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color w:val="000000"/>
                <w:szCs w:val="21"/>
              </w:rPr>
            </w:pPr>
          </w:p>
        </w:tc>
        <w:tc>
          <w:tcPr>
            <w:tcW w:w="251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DE79E6">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青苗补偿费</w:t>
            </w:r>
          </w:p>
        </w:tc>
        <w:tc>
          <w:tcPr>
            <w:tcW w:w="22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F733AA">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宋体" w:eastAsia="仿宋_GB2312" w:cs="仿宋_GB2312"/>
                <w:color w:val="000000"/>
                <w:kern w:val="0"/>
                <w:szCs w:val="21"/>
                <w:lang w:bidi="ar"/>
              </w:rPr>
            </w:pPr>
            <w:r>
              <w:rPr>
                <w:rFonts w:hint="eastAsia" w:ascii="仿宋_GB2312" w:hAnsi="仿宋_GB2312" w:eastAsia="仿宋_GB2312" w:cs="仿宋_GB2312"/>
                <w:color w:val="000000"/>
                <w:kern w:val="0"/>
                <w:sz w:val="22"/>
                <w:szCs w:val="22"/>
                <w:lang w:bidi="ar"/>
              </w:rPr>
              <w:t>青苗补偿以实际清点为准</w:t>
            </w:r>
          </w:p>
        </w:tc>
        <w:tc>
          <w:tcPr>
            <w:tcW w:w="2950" w:type="dxa"/>
            <w:gridSpan w:val="3"/>
            <w:vMerge w:val="continue"/>
            <w:tcBorders>
              <w:left w:val="single" w:color="000000" w:sz="4" w:space="0"/>
              <w:right w:val="single" w:color="000000" w:sz="4" w:space="0"/>
            </w:tcBorders>
            <w:tcMar>
              <w:top w:w="15" w:type="dxa"/>
              <w:left w:w="15" w:type="dxa"/>
              <w:right w:w="15" w:type="dxa"/>
            </w:tcMar>
            <w:vAlign w:val="center"/>
          </w:tcPr>
          <w:p w14:paraId="0B85C2B3">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color w:val="000000"/>
                <w:szCs w:val="21"/>
              </w:rPr>
            </w:pPr>
          </w:p>
        </w:tc>
      </w:tr>
      <w:tr w14:paraId="2C233FEB">
        <w:tblPrEx>
          <w:tblCellMar>
            <w:top w:w="0" w:type="dxa"/>
            <w:left w:w="0" w:type="dxa"/>
            <w:bottom w:w="0" w:type="dxa"/>
            <w:right w:w="0" w:type="dxa"/>
          </w:tblCellMar>
        </w:tblPrEx>
        <w:trPr>
          <w:trHeight w:val="914" w:hRule="atLeast"/>
        </w:trPr>
        <w:tc>
          <w:tcPr>
            <w:tcW w:w="1131" w:type="dxa"/>
            <w:vMerge w:val="continue"/>
            <w:tcBorders>
              <w:left w:val="single" w:color="000000" w:sz="4" w:space="0"/>
              <w:right w:val="single" w:color="000000" w:sz="4" w:space="0"/>
            </w:tcBorders>
            <w:tcMar>
              <w:top w:w="15" w:type="dxa"/>
              <w:left w:w="15" w:type="dxa"/>
              <w:right w:w="15" w:type="dxa"/>
            </w:tcMar>
            <w:vAlign w:val="center"/>
          </w:tcPr>
          <w:p w14:paraId="5FB930E1">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color w:val="000000"/>
                <w:szCs w:val="21"/>
              </w:rPr>
            </w:pPr>
          </w:p>
        </w:tc>
        <w:tc>
          <w:tcPr>
            <w:tcW w:w="251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9517E8">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地上附着物补偿</w:t>
            </w:r>
          </w:p>
        </w:tc>
        <w:tc>
          <w:tcPr>
            <w:tcW w:w="22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C2F5E7">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宋体" w:eastAsia="仿宋_GB2312" w:cs="仿宋_GB2312"/>
                <w:color w:val="000000"/>
                <w:kern w:val="0"/>
                <w:szCs w:val="21"/>
                <w:lang w:bidi="ar"/>
              </w:rPr>
            </w:pPr>
            <w:r>
              <w:rPr>
                <w:rFonts w:hint="eastAsia" w:ascii="仿宋_GB2312" w:hAnsi="仿宋_GB2312" w:eastAsia="仿宋_GB2312" w:cs="仿宋_GB2312"/>
                <w:color w:val="000000"/>
                <w:kern w:val="0"/>
                <w:szCs w:val="21"/>
                <w:lang w:bidi="ar"/>
              </w:rPr>
              <w:t>地上附着物补偿</w:t>
            </w:r>
            <w:r>
              <w:rPr>
                <w:rFonts w:hint="eastAsia" w:ascii="仿宋_GB2312" w:hAnsi="仿宋_GB2312" w:eastAsia="仿宋_GB2312" w:cs="仿宋_GB2312"/>
                <w:color w:val="000000"/>
                <w:kern w:val="0"/>
                <w:sz w:val="22"/>
                <w:szCs w:val="22"/>
                <w:lang w:bidi="ar"/>
              </w:rPr>
              <w:t>以实际清点为准</w:t>
            </w:r>
          </w:p>
        </w:tc>
        <w:tc>
          <w:tcPr>
            <w:tcW w:w="2950" w:type="dxa"/>
            <w:gridSpan w:val="3"/>
            <w:vMerge w:val="continue"/>
            <w:tcBorders>
              <w:left w:val="single" w:color="000000" w:sz="4" w:space="0"/>
              <w:right w:val="single" w:color="000000" w:sz="4" w:space="0"/>
            </w:tcBorders>
            <w:tcMar>
              <w:top w:w="15" w:type="dxa"/>
              <w:left w:w="15" w:type="dxa"/>
              <w:right w:w="15" w:type="dxa"/>
            </w:tcMar>
            <w:vAlign w:val="center"/>
          </w:tcPr>
          <w:p w14:paraId="0A605180">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color w:val="000000"/>
                <w:szCs w:val="21"/>
              </w:rPr>
            </w:pPr>
          </w:p>
        </w:tc>
      </w:tr>
      <w:tr w14:paraId="77AD2241">
        <w:tblPrEx>
          <w:tblCellMar>
            <w:top w:w="0" w:type="dxa"/>
            <w:left w:w="0" w:type="dxa"/>
            <w:bottom w:w="0" w:type="dxa"/>
            <w:right w:w="0" w:type="dxa"/>
          </w:tblCellMar>
        </w:tblPrEx>
        <w:trPr>
          <w:trHeight w:val="737" w:hRule="atLeast"/>
        </w:trPr>
        <w:tc>
          <w:tcPr>
            <w:tcW w:w="1131" w:type="dxa"/>
            <w:vMerge w:val="continue"/>
            <w:tcBorders>
              <w:left w:val="single" w:color="000000" w:sz="4" w:space="0"/>
              <w:right w:val="single" w:color="000000" w:sz="4" w:space="0"/>
            </w:tcBorders>
            <w:tcMar>
              <w:top w:w="15" w:type="dxa"/>
              <w:left w:w="15" w:type="dxa"/>
              <w:right w:w="15" w:type="dxa"/>
            </w:tcMar>
            <w:vAlign w:val="center"/>
          </w:tcPr>
          <w:p w14:paraId="5F57D87C">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color w:val="000000"/>
                <w:szCs w:val="21"/>
              </w:rPr>
            </w:pPr>
          </w:p>
        </w:tc>
        <w:tc>
          <w:tcPr>
            <w:tcW w:w="251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18FD24">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以上土地面积合计</w:t>
            </w:r>
          </w:p>
        </w:tc>
        <w:tc>
          <w:tcPr>
            <w:tcW w:w="22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B41DBB">
            <w:pPr>
              <w:keepNext w:val="0"/>
              <w:keepLines w:val="0"/>
              <w:pageBreakBefore w:val="0"/>
              <w:widowControl/>
              <w:kinsoku/>
              <w:wordWrap/>
              <w:overflowPunct/>
              <w:autoSpaceDN/>
              <w:bidi w:val="0"/>
              <w:adjustRightInd/>
              <w:snapToGrid/>
              <w:spacing w:line="240" w:lineRule="auto"/>
              <w:jc w:val="center"/>
              <w:textAlignment w:val="center"/>
              <w:rPr>
                <w:rFonts w:hint="default" w:ascii="仿宋_GB2312" w:hAnsi="宋体" w:eastAsia="仿宋_GB2312" w:cs="仿宋_GB2312"/>
                <w:color w:val="000000"/>
                <w:kern w:val="0"/>
                <w:szCs w:val="21"/>
                <w:lang w:val="en-US" w:eastAsia="zh-CN" w:bidi="ar"/>
              </w:rPr>
            </w:pPr>
            <w:r>
              <w:rPr>
                <w:rFonts w:hint="eastAsia" w:ascii="仿宋_GB2312" w:hAnsi="宋体" w:eastAsia="仿宋_GB2312" w:cs="仿宋_GB2312"/>
                <w:color w:val="000000"/>
                <w:kern w:val="0"/>
                <w:szCs w:val="21"/>
                <w:lang w:val="en-US" w:eastAsia="zh-CN" w:bidi="ar"/>
              </w:rPr>
              <w:t>0.7286</w:t>
            </w:r>
          </w:p>
        </w:tc>
        <w:tc>
          <w:tcPr>
            <w:tcW w:w="2950" w:type="dxa"/>
            <w:gridSpan w:val="3"/>
            <w:vMerge w:val="continue"/>
            <w:tcBorders>
              <w:left w:val="single" w:color="000000" w:sz="4" w:space="0"/>
              <w:right w:val="single" w:color="000000" w:sz="4" w:space="0"/>
            </w:tcBorders>
            <w:tcMar>
              <w:top w:w="15" w:type="dxa"/>
              <w:left w:w="15" w:type="dxa"/>
              <w:right w:w="15" w:type="dxa"/>
            </w:tcMar>
            <w:vAlign w:val="center"/>
          </w:tcPr>
          <w:p w14:paraId="75E545A1">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color w:val="000000"/>
                <w:szCs w:val="21"/>
              </w:rPr>
            </w:pPr>
          </w:p>
        </w:tc>
      </w:tr>
      <w:tr w14:paraId="4469715E">
        <w:tblPrEx>
          <w:tblCellMar>
            <w:top w:w="0" w:type="dxa"/>
            <w:left w:w="0" w:type="dxa"/>
            <w:bottom w:w="0" w:type="dxa"/>
            <w:right w:w="0" w:type="dxa"/>
          </w:tblCellMar>
        </w:tblPrEx>
        <w:trPr>
          <w:trHeight w:val="737" w:hRule="atLeast"/>
        </w:trPr>
        <w:tc>
          <w:tcPr>
            <w:tcW w:w="1131"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4808169E">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color w:val="000000"/>
                <w:szCs w:val="21"/>
              </w:rPr>
            </w:pPr>
          </w:p>
        </w:tc>
        <w:tc>
          <w:tcPr>
            <w:tcW w:w="2513"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5880BD">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lang w:bidi="ar"/>
              </w:rPr>
              <w:t>以上补偿金额合计</w:t>
            </w:r>
          </w:p>
        </w:tc>
        <w:tc>
          <w:tcPr>
            <w:tcW w:w="221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4FCE97">
            <w:pPr>
              <w:keepNext w:val="0"/>
              <w:keepLines w:val="0"/>
              <w:pageBreakBefore w:val="0"/>
              <w:widowControl/>
              <w:kinsoku/>
              <w:wordWrap/>
              <w:overflowPunct/>
              <w:autoSpaceDN/>
              <w:bidi w:val="0"/>
              <w:adjustRightInd/>
              <w:snapToGrid/>
              <w:spacing w:line="240" w:lineRule="auto"/>
              <w:jc w:val="center"/>
              <w:textAlignment w:val="center"/>
              <w:rPr>
                <w:rFonts w:hint="eastAsia" w:ascii="仿宋_GB2312" w:hAnsi="宋体" w:eastAsia="仿宋_GB2312" w:cs="仿宋_GB2312"/>
                <w:color w:val="000000"/>
                <w:kern w:val="0"/>
                <w:szCs w:val="21"/>
                <w:lang w:bidi="ar"/>
              </w:rPr>
            </w:pPr>
            <w:r>
              <w:rPr>
                <w:rFonts w:hint="default" w:ascii="仿宋_GB2312" w:hAnsi="宋体" w:eastAsia="仿宋_GB2312" w:cs="仿宋_GB2312"/>
                <w:color w:val="000000"/>
                <w:kern w:val="0"/>
                <w:szCs w:val="21"/>
                <w:lang w:val="en-US" w:eastAsia="zh-CN" w:bidi="ar"/>
              </w:rPr>
              <w:t>70.3264</w:t>
            </w:r>
          </w:p>
        </w:tc>
        <w:tc>
          <w:tcPr>
            <w:tcW w:w="2950" w:type="dxa"/>
            <w:gridSpan w:val="3"/>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37B5617B">
            <w:pPr>
              <w:keepNext w:val="0"/>
              <w:keepLines w:val="0"/>
              <w:pageBreakBefore w:val="0"/>
              <w:kinsoku/>
              <w:wordWrap/>
              <w:overflowPunct/>
              <w:autoSpaceDN/>
              <w:bidi w:val="0"/>
              <w:adjustRightInd/>
              <w:snapToGrid/>
              <w:spacing w:line="240" w:lineRule="auto"/>
              <w:jc w:val="center"/>
              <w:rPr>
                <w:rFonts w:hint="eastAsia" w:ascii="仿宋_GB2312" w:hAnsi="仿宋_GB2312" w:eastAsia="仿宋_GB2312" w:cs="仿宋_GB2312"/>
                <w:color w:val="000000"/>
                <w:szCs w:val="21"/>
              </w:rPr>
            </w:pPr>
          </w:p>
        </w:tc>
      </w:tr>
    </w:tbl>
    <w:p w14:paraId="1C2EFA25">
      <w:pPr>
        <w:keepNext w:val="0"/>
        <w:keepLines w:val="0"/>
        <w:pageBreakBefore w:val="0"/>
        <w:kinsoku/>
        <w:wordWrap/>
        <w:overflowPunct/>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三、安置情况说明</w:t>
      </w:r>
    </w:p>
    <w:bookmarkEnd w:id="0"/>
    <w:p w14:paraId="581D0497">
      <w:pPr>
        <w:keepNext w:val="0"/>
        <w:keepLines w:val="0"/>
        <w:pageBreakBefore w:val="0"/>
        <w:kinsoku/>
        <w:wordWrap/>
        <w:overflowPunct/>
        <w:autoSpaceDN/>
        <w:bidi w:val="0"/>
        <w:adjustRightInd/>
        <w:snapToGrid/>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为妥善安置被征地农民，</w:t>
      </w:r>
      <w:r>
        <w:rPr>
          <w:rFonts w:hint="eastAsia" w:ascii="仿宋_GB2312" w:hAnsi="仿宋_GB2312" w:eastAsia="仿宋_GB2312" w:cs="仿宋_GB2312"/>
          <w:sz w:val="32"/>
          <w:szCs w:val="32"/>
          <w:lang w:val="en-US" w:eastAsia="zh-CN"/>
        </w:rPr>
        <w:t>保障</w:t>
      </w:r>
      <w:r>
        <w:rPr>
          <w:rFonts w:hint="eastAsia" w:ascii="仿宋_GB2312" w:hAnsi="仿宋_GB2312" w:eastAsia="仿宋_GB2312" w:cs="仿宋_GB2312"/>
          <w:sz w:val="32"/>
          <w:szCs w:val="32"/>
        </w:rPr>
        <w:t>被征地农民的生产生活，本项目将根据《韶关市人民政府办公室关于加强韶关市浈江区、武江区征收农村集体土地留用地安置管理工作的意见》（韶府办〔2016〕82号）精神，在建设用地批准后按征地面积15%的比例以折算货币方式进行留用地安置,以确保被征地农民的原有生活水平不降低，长远生计有保障。</w:t>
      </w:r>
    </w:p>
    <w:p w14:paraId="7A3EC72A">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5D097EA8">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1CF51EBA">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7F34FEE8">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335E51F0">
      <w:pPr>
        <w:pStyle w:val="16"/>
        <w:keepNext w:val="0"/>
        <w:keepLines w:val="0"/>
        <w:pageBreakBefore w:val="0"/>
        <w:kinsoku/>
        <w:wordWrap/>
        <w:overflowPunct/>
        <w:autoSpaceDN/>
        <w:bidi w:val="0"/>
        <w:adjustRightInd/>
        <w:snapToGrid/>
        <w:spacing w:line="56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附件2：</w:t>
      </w:r>
    </w:p>
    <w:p w14:paraId="447A2646">
      <w:pPr>
        <w:pStyle w:val="16"/>
        <w:keepNext w:val="0"/>
        <w:keepLines w:val="0"/>
        <w:pageBreakBefore w:val="0"/>
        <w:kinsoku/>
        <w:wordWrap/>
        <w:overflowPunct/>
        <w:autoSpaceDN/>
        <w:bidi w:val="0"/>
        <w:adjustRightInd/>
        <w:snapToGrid/>
        <w:spacing w:line="560" w:lineRule="exact"/>
        <w:rPr>
          <w:rFonts w:hint="eastAsia" w:ascii="方正小标宋简体" w:hAnsi="方正小标宋简体" w:eastAsia="方正小标宋简体" w:cs="方正小标宋简体"/>
          <w:bCs/>
          <w:color w:val="000000"/>
          <w:sz w:val="44"/>
          <w:szCs w:val="44"/>
        </w:rPr>
      </w:pPr>
    </w:p>
    <w:p w14:paraId="2D42045A">
      <w:pPr>
        <w:pStyle w:val="16"/>
        <w:keepNext w:val="0"/>
        <w:keepLines w:val="0"/>
        <w:pageBreakBefore w:val="0"/>
        <w:kinsoku/>
        <w:wordWrap/>
        <w:overflowPunct/>
        <w:autoSpaceDN/>
        <w:bidi w:val="0"/>
        <w:adjustRightInd/>
        <w:snapToGrid/>
        <w:spacing w:line="56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lang w:val="en-US" w:eastAsia="zh-CN"/>
        </w:rPr>
        <w:t>关于</w:t>
      </w:r>
      <w:r>
        <w:rPr>
          <w:rFonts w:hint="eastAsia" w:ascii="方正小标宋简体" w:hAnsi="方正小标宋简体" w:eastAsia="方正小标宋简体" w:cs="方正小标宋简体"/>
          <w:bCs/>
          <w:color w:val="000000"/>
          <w:sz w:val="44"/>
          <w:szCs w:val="44"/>
          <w:lang w:eastAsia="zh-CN"/>
        </w:rPr>
        <w:t>韶关市武江区2026年度第十四批次</w:t>
      </w:r>
      <w:r>
        <w:rPr>
          <w:rFonts w:hint="eastAsia" w:ascii="方正小标宋简体" w:hAnsi="方正小标宋简体" w:eastAsia="方正小标宋简体" w:cs="方正小标宋简体"/>
          <w:bCs/>
          <w:color w:val="000000"/>
          <w:sz w:val="44"/>
          <w:szCs w:val="44"/>
        </w:rPr>
        <w:t>城镇</w:t>
      </w:r>
    </w:p>
    <w:p w14:paraId="36A24C08">
      <w:pPr>
        <w:pStyle w:val="16"/>
        <w:keepNext w:val="0"/>
        <w:keepLines w:val="0"/>
        <w:pageBreakBefore w:val="0"/>
        <w:kinsoku/>
        <w:wordWrap/>
        <w:overflowPunct/>
        <w:autoSpaceDN/>
        <w:bidi w:val="0"/>
        <w:adjustRightInd/>
        <w:snapToGrid/>
        <w:spacing w:line="56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建设用地项目被征地农民养老保障方案</w:t>
      </w:r>
    </w:p>
    <w:p w14:paraId="0B4B9977">
      <w:pPr>
        <w:pStyle w:val="16"/>
        <w:keepNext w:val="0"/>
        <w:keepLines w:val="0"/>
        <w:pageBreakBefore w:val="0"/>
        <w:kinsoku/>
        <w:wordWrap/>
        <w:overflowPunct/>
        <w:autoSpaceDN/>
        <w:bidi w:val="0"/>
        <w:adjustRightInd/>
        <w:snapToGrid/>
        <w:spacing w:line="560" w:lineRule="exact"/>
        <w:ind w:firstLine="640" w:firstLineChars="200"/>
        <w:rPr>
          <w:rFonts w:hint="eastAsia" w:ascii="仿宋_GB2312" w:hAnsi="宋体" w:eastAsia="仿宋_GB2312" w:cs="宋体"/>
          <w:color w:val="000000"/>
          <w:kern w:val="0"/>
          <w:sz w:val="32"/>
          <w:szCs w:val="32"/>
        </w:rPr>
      </w:pPr>
    </w:p>
    <w:p w14:paraId="35784DF8">
      <w:pPr>
        <w:pStyle w:val="16"/>
        <w:keepNext w:val="0"/>
        <w:keepLines w:val="0"/>
        <w:pageBreakBefore w:val="0"/>
        <w:kinsoku/>
        <w:wordWrap/>
        <w:overflowPunct/>
        <w:autoSpaceDN/>
        <w:bidi w:val="0"/>
        <w:adjustRightInd/>
        <w:snapToGrid/>
        <w:spacing w:line="56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依照《中华人民共和国土地管理法》、《关于切实做好被征地农民社会保障工作有关问题的通知》（劳社部发〔2007〕14号）、《广东省人民政府办公厅转发省人力资源社会保障厅关于进一步完善我省被征地农民养老保障政策意见的通知》（粤府办〔2021〕22号）、《韶关市人民政府办公室关于进一步明确韶关市被征地农民养老保障工作的通知》（韶府办发函〔2021〕179号）等有关规定精神，拟定韶关市武江区</w:t>
      </w:r>
      <w:r>
        <w:rPr>
          <w:rFonts w:hint="eastAsia" w:ascii="仿宋_GB2312" w:hAnsi="宋体" w:eastAsia="仿宋_GB2312" w:cs="宋体"/>
          <w:color w:val="000000"/>
          <w:kern w:val="0"/>
          <w:sz w:val="32"/>
          <w:szCs w:val="32"/>
          <w:lang w:eastAsia="zh-CN"/>
        </w:rPr>
        <w:t>2026年度第十四批次</w:t>
      </w:r>
      <w:r>
        <w:rPr>
          <w:rFonts w:hint="eastAsia" w:ascii="仿宋_GB2312" w:hAnsi="宋体" w:eastAsia="仿宋_GB2312" w:cs="宋体"/>
          <w:color w:val="000000"/>
          <w:kern w:val="0"/>
          <w:sz w:val="32"/>
          <w:szCs w:val="32"/>
        </w:rPr>
        <w:t>城镇建设用地项目被征地农民养老保障方案如下：</w:t>
      </w:r>
    </w:p>
    <w:p w14:paraId="60301028">
      <w:pPr>
        <w:pStyle w:val="16"/>
        <w:keepNext w:val="0"/>
        <w:keepLines w:val="0"/>
        <w:pageBreakBefore w:val="0"/>
        <w:kinsoku/>
        <w:wordWrap/>
        <w:overflowPunct/>
        <w:autoSpaceDN/>
        <w:bidi w:val="0"/>
        <w:adjustRightInd/>
        <w:snapToGrid/>
        <w:spacing w:line="56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一、对韶关市武江区</w:t>
      </w:r>
      <w:r>
        <w:rPr>
          <w:rFonts w:hint="eastAsia" w:ascii="仿宋_GB2312" w:hAnsi="宋体" w:eastAsia="仿宋_GB2312" w:cs="宋体"/>
          <w:color w:val="000000"/>
          <w:kern w:val="0"/>
          <w:sz w:val="32"/>
          <w:szCs w:val="32"/>
          <w:lang w:eastAsia="zh-CN"/>
        </w:rPr>
        <w:t>2026年度第十四批次</w:t>
      </w:r>
      <w:r>
        <w:rPr>
          <w:rFonts w:hint="eastAsia" w:ascii="仿宋_GB2312" w:hAnsi="宋体" w:eastAsia="仿宋_GB2312" w:cs="宋体"/>
          <w:color w:val="000000"/>
          <w:kern w:val="0"/>
          <w:sz w:val="32"/>
          <w:szCs w:val="32"/>
        </w:rPr>
        <w:t>城镇建设用地项目涉及的被征地农民实施社会养老保障。</w:t>
      </w:r>
    </w:p>
    <w:p w14:paraId="2BF000D4">
      <w:pPr>
        <w:pStyle w:val="16"/>
        <w:keepNext w:val="0"/>
        <w:keepLines w:val="0"/>
        <w:pageBreakBefore w:val="0"/>
        <w:kinsoku/>
        <w:wordWrap/>
        <w:overflowPunct/>
        <w:autoSpaceDN/>
        <w:bidi w:val="0"/>
        <w:adjustRightInd/>
        <w:snapToGrid/>
        <w:spacing w:line="56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二、纳入本次被征地农民养老保障的对象人数。韶关市武江区</w:t>
      </w:r>
      <w:r>
        <w:rPr>
          <w:rFonts w:hint="eastAsia" w:ascii="仿宋_GB2312" w:hAnsi="宋体" w:eastAsia="仿宋_GB2312" w:cs="宋体"/>
          <w:color w:val="000000"/>
          <w:kern w:val="0"/>
          <w:sz w:val="32"/>
          <w:szCs w:val="32"/>
          <w:lang w:eastAsia="zh-CN"/>
        </w:rPr>
        <w:t>2026年度第十四批次</w:t>
      </w:r>
      <w:r>
        <w:rPr>
          <w:rFonts w:hint="eastAsia" w:ascii="仿宋_GB2312" w:hAnsi="宋体" w:eastAsia="仿宋_GB2312" w:cs="宋体"/>
          <w:color w:val="000000"/>
          <w:kern w:val="0"/>
          <w:sz w:val="32"/>
          <w:szCs w:val="32"/>
        </w:rPr>
        <w:t>城镇建设用地项目涉及应参加养老保障的被征地</w:t>
      </w:r>
      <w:r>
        <w:rPr>
          <w:rFonts w:hint="eastAsia" w:ascii="仿宋_GB2312" w:hAnsi="宋体" w:eastAsia="仿宋_GB2312" w:cs="宋体"/>
          <w:color w:val="000000"/>
          <w:kern w:val="0"/>
          <w:sz w:val="32"/>
          <w:szCs w:val="32"/>
          <w:highlight w:val="none"/>
        </w:rPr>
        <w:t>农民人数为</w:t>
      </w:r>
      <w:r>
        <w:rPr>
          <w:rFonts w:hint="eastAsia" w:ascii="仿宋_GB2312" w:hAnsi="宋体" w:eastAsia="仿宋_GB2312" w:cs="宋体"/>
          <w:color w:val="000000"/>
          <w:kern w:val="0"/>
          <w:sz w:val="32"/>
          <w:szCs w:val="32"/>
          <w:highlight w:val="none"/>
          <w:lang w:val="en-US" w:eastAsia="zh-CN"/>
        </w:rPr>
        <w:t>2</w:t>
      </w:r>
      <w:r>
        <w:rPr>
          <w:rFonts w:hint="eastAsia" w:ascii="仿宋_GB2312" w:hAnsi="宋体" w:eastAsia="仿宋_GB2312" w:cs="宋体"/>
          <w:color w:val="000000"/>
          <w:kern w:val="0"/>
          <w:sz w:val="32"/>
          <w:szCs w:val="32"/>
          <w:highlight w:val="none"/>
        </w:rPr>
        <w:t>人，其中韶关市武江区西河镇村头股份经济联合社</w:t>
      </w:r>
      <w:r>
        <w:rPr>
          <w:rFonts w:hint="eastAsia" w:ascii="仿宋_GB2312" w:hAnsi="宋体" w:eastAsia="仿宋_GB2312" w:cs="宋体"/>
          <w:color w:val="000000"/>
          <w:kern w:val="0"/>
          <w:sz w:val="32"/>
          <w:szCs w:val="32"/>
          <w:highlight w:val="none"/>
          <w:lang w:val="en-US" w:eastAsia="zh-CN"/>
        </w:rPr>
        <w:t>2</w:t>
      </w:r>
      <w:r>
        <w:rPr>
          <w:rFonts w:hint="eastAsia" w:ascii="仿宋_GB2312" w:hAnsi="宋体" w:eastAsia="仿宋_GB2312" w:cs="宋体"/>
          <w:color w:val="000000"/>
          <w:kern w:val="0"/>
          <w:sz w:val="32"/>
          <w:szCs w:val="32"/>
          <w:highlight w:val="none"/>
        </w:rPr>
        <w:t>人，具体</w:t>
      </w:r>
      <w:r>
        <w:rPr>
          <w:rFonts w:hint="eastAsia" w:ascii="仿宋_GB2312" w:hAnsi="宋体" w:eastAsia="仿宋_GB2312" w:cs="宋体"/>
          <w:color w:val="000000"/>
          <w:kern w:val="0"/>
          <w:sz w:val="32"/>
          <w:szCs w:val="32"/>
        </w:rPr>
        <w:t>名单经村民（股东）大会或村民（股东）代表大会讨论，由村委会报镇人民政府核准，并公示5个工作日后，上报区人社部门审核确定。</w:t>
      </w:r>
    </w:p>
    <w:p w14:paraId="1C0002BC">
      <w:pPr>
        <w:pStyle w:val="16"/>
        <w:keepNext w:val="0"/>
        <w:keepLines w:val="0"/>
        <w:pageBreakBefore w:val="0"/>
        <w:kinsoku/>
        <w:wordWrap/>
        <w:overflowPunct/>
        <w:autoSpaceDN/>
        <w:bidi w:val="0"/>
        <w:adjustRightInd/>
        <w:snapToGrid/>
        <w:spacing w:line="56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三、费用标准。按粤府办〔2021〕22号文、韶府办发函〔2021〕179号文有关规定，被征地农民个人最低缴费标准为每人每月110元，缴费年限为15年，按个人最低缴费标准缴纳15年的被征地农民养老保障资金为</w:t>
      </w:r>
      <w:r>
        <w:rPr>
          <w:rFonts w:hint="eastAsia" w:ascii="仿宋_GB2312" w:hAnsi="宋体" w:eastAsia="仿宋_GB2312" w:cs="宋体"/>
          <w:color w:val="000000"/>
          <w:kern w:val="0"/>
          <w:sz w:val="32"/>
          <w:szCs w:val="32"/>
          <w:lang w:val="en-US" w:eastAsia="zh-CN"/>
        </w:rPr>
        <w:t>1.98</w:t>
      </w:r>
      <w:r>
        <w:rPr>
          <w:rFonts w:hint="eastAsia" w:ascii="仿宋_GB2312" w:hAnsi="宋体" w:eastAsia="仿宋_GB2312" w:cs="宋体"/>
          <w:color w:val="000000"/>
          <w:kern w:val="0"/>
          <w:sz w:val="32"/>
          <w:szCs w:val="32"/>
        </w:rPr>
        <w:t>万元。</w:t>
      </w:r>
    </w:p>
    <w:p w14:paraId="23A6A866">
      <w:pPr>
        <w:pStyle w:val="16"/>
        <w:keepNext w:val="0"/>
        <w:keepLines w:val="0"/>
        <w:pageBreakBefore w:val="0"/>
        <w:kinsoku/>
        <w:wordWrap/>
        <w:overflowPunct/>
        <w:autoSpaceDN/>
        <w:bidi w:val="0"/>
        <w:adjustRightInd/>
        <w:snapToGrid/>
        <w:spacing w:line="560" w:lineRule="exact"/>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四、筹资办法。按粤府办〔2021〕22号文、韶府办发函〔2021〕179号文有关规定，单列计提的被征地农民养老保障资金列入征地成本</w:t>
      </w:r>
      <w:r>
        <w:rPr>
          <w:rFonts w:hint="eastAsia" w:ascii="仿宋_GB2312" w:hAnsi="宋体" w:eastAsia="仿宋_GB2312" w:cs="宋体"/>
          <w:color w:val="000000"/>
          <w:kern w:val="0"/>
          <w:sz w:val="32"/>
          <w:szCs w:val="32"/>
          <w:lang w:eastAsia="zh-CN"/>
        </w:rPr>
        <w:t>。</w:t>
      </w:r>
    </w:p>
    <w:p w14:paraId="537F498E">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79D1F4A8">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5DE9B555">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6886DBDA">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39AB5F90">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68CBAAC5">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328AC127">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79A6C8EA">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1AFFDE57">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595400E3">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3B4177C1">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0BC250B6">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4F1F458C">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76F149C3">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731A233C">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4A87C163">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0830D847">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1D87ADD9">
      <w:pPr>
        <w:pStyle w:val="5"/>
        <w:keepNext w:val="0"/>
        <w:keepLines w:val="0"/>
        <w:pageBreakBefore w:val="0"/>
        <w:widowControl w:val="0"/>
        <w:kinsoku/>
        <w:wordWrap/>
        <w:overflowPunct/>
        <w:topLinePunct w:val="0"/>
        <w:autoSpaceDE/>
        <w:autoSpaceDN/>
        <w:bidi w:val="0"/>
        <w:adjustRightInd/>
        <w:snapToGrid/>
        <w:spacing w:before="60" w:line="560" w:lineRule="exact"/>
        <w:jc w:val="left"/>
        <w:textAlignment w:val="auto"/>
        <w:rPr>
          <w:rFonts w:hint="eastAsia" w:ascii="仿宋_GB2312" w:hAnsi="仿宋_GB2312" w:eastAsia="仿宋_GB2312" w:cs="仿宋_GB2312"/>
          <w:kern w:val="2"/>
          <w:sz w:val="32"/>
          <w:szCs w:val="30"/>
          <w:highlight w:val="yellow"/>
          <w:lang w:val="en-US" w:eastAsia="zh-CN" w:bidi="ar-SA"/>
        </w:rPr>
      </w:pPr>
    </w:p>
    <w:p w14:paraId="23F109FD">
      <w:pPr>
        <w:pStyle w:val="5"/>
        <w:keepNext w:val="0"/>
        <w:keepLines w:val="0"/>
        <w:pageBreakBefore w:val="0"/>
        <w:widowControl w:val="0"/>
        <w:kinsoku/>
        <w:wordWrap/>
        <w:overflowPunct/>
        <w:topLinePunct w:val="0"/>
        <w:autoSpaceDE/>
        <w:autoSpaceDN/>
        <w:bidi w:val="0"/>
        <w:adjustRightInd/>
        <w:snapToGrid/>
        <w:spacing w:before="60" w:line="240" w:lineRule="auto"/>
        <w:jc w:val="left"/>
        <w:textAlignment w:val="auto"/>
        <w:rPr>
          <w:rFonts w:hint="eastAsia" w:ascii="仿宋_GB2312" w:hAnsi="仿宋_GB2312" w:eastAsia="仿宋_GB2312" w:cs="仿宋_GB2312"/>
          <w:kern w:val="2"/>
          <w:sz w:val="32"/>
          <w:szCs w:val="30"/>
          <w:highlight w:val="none"/>
          <w:lang w:val="en-US" w:eastAsia="zh-CN" w:bidi="ar-SA"/>
        </w:rPr>
      </w:pPr>
      <w:r>
        <w:rPr>
          <w:rFonts w:hint="eastAsia" w:ascii="仿宋_GB2312" w:hAnsi="仿宋_GB2312" w:eastAsia="仿宋_GB2312" w:cs="仿宋_GB2312"/>
          <w:kern w:val="2"/>
          <w:sz w:val="32"/>
          <w:szCs w:val="30"/>
          <w:highlight w:val="none"/>
          <w:lang w:val="en-US" w:eastAsia="zh-CN" w:bidi="ar-SA"/>
        </w:rPr>
        <w:drawing>
          <wp:inline distT="0" distB="0" distL="114300" distR="114300">
            <wp:extent cx="5596255" cy="7908290"/>
            <wp:effectExtent l="0" t="0" r="4445" b="16510"/>
            <wp:docPr id="1" name="图片 1" descr="附件3：韶关市武江区2026年度第十四批次城镇建设用地征收集体土地示意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附件3：韶关市武江区2026年度第十四批次城镇建设用地征收集体土地示意图_01"/>
                    <pic:cNvPicPr>
                      <a:picLocks noChangeAspect="1"/>
                    </pic:cNvPicPr>
                  </pic:nvPicPr>
                  <pic:blipFill>
                    <a:blip r:embed="rId5"/>
                    <a:stretch>
                      <a:fillRect/>
                    </a:stretch>
                  </pic:blipFill>
                  <pic:spPr>
                    <a:xfrm>
                      <a:off x="0" y="0"/>
                      <a:ext cx="5596255" cy="7908290"/>
                    </a:xfrm>
                    <a:prstGeom prst="rect">
                      <a:avLst/>
                    </a:prstGeom>
                  </pic:spPr>
                </pic:pic>
              </a:graphicData>
            </a:graphic>
          </wp:inline>
        </w:drawing>
      </w:r>
    </w:p>
    <w:sectPr>
      <w:footerReference r:id="rId3" w:type="default"/>
      <w:pgSz w:w="11906" w:h="16838"/>
      <w:pgMar w:top="1440" w:right="1474" w:bottom="1440" w:left="158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4D6C6F1-7D9E-47AC-AF3C-A072A5EE7C7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AA857086-23D7-46DE-8765-4EDA6D64A39C}"/>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3" w:fontKey="{CCC15B1E-6A5E-4F79-AD98-518F5D79D4E4}"/>
  </w:font>
  <w:font w:name="楷体_GB2312">
    <w:panose1 w:val="02010609030101010101"/>
    <w:charset w:val="86"/>
    <w:family w:val="auto"/>
    <w:pitch w:val="default"/>
    <w:sig w:usb0="00000001" w:usb1="080E0000" w:usb2="00000000" w:usb3="00000000" w:csb0="00040000" w:csb1="00000000"/>
    <w:embedRegular r:id="rId4" w:fontKey="{435BD3C5-ED0D-4564-A98D-35DC350A05C5}"/>
  </w:font>
  <w:font w:name="方正仿宋_GB2312">
    <w:altName w:val="仿宋"/>
    <w:panose1 w:val="02000000000000000000"/>
    <w:charset w:val="86"/>
    <w:family w:val="auto"/>
    <w:pitch w:val="default"/>
    <w:sig w:usb0="00000000" w:usb1="00000000" w:usb2="00000012" w:usb3="00000000" w:csb0="00040001" w:csb1="00000000"/>
    <w:embedRegular r:id="rId5" w:fontKey="{5EDFF25C-911B-41A2-8B53-280B9800365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B2099">
    <w:pPr>
      <w:spacing w:line="184" w:lineRule="auto"/>
      <w:ind w:left="4167"/>
      <w:rPr>
        <w:rFonts w:ascii="Times New Roman" w:hAnsi="Times New Roman" w:eastAsia="Times New Roman" w:cs="Times New Roman"/>
        <w:sz w:val="20"/>
        <w:szCs w:val="2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jYjEwMWJhODBjOTM0MWNmZDlhMWU4ZTEyOTdiODIifQ=="/>
  </w:docVars>
  <w:rsids>
    <w:rsidRoot w:val="0058179F"/>
    <w:rsid w:val="0000049B"/>
    <w:rsid w:val="00004220"/>
    <w:rsid w:val="00017F5F"/>
    <w:rsid w:val="00050C21"/>
    <w:rsid w:val="000513CC"/>
    <w:rsid w:val="00051E70"/>
    <w:rsid w:val="00056040"/>
    <w:rsid w:val="00063FD9"/>
    <w:rsid w:val="00064564"/>
    <w:rsid w:val="000669C8"/>
    <w:rsid w:val="000670AF"/>
    <w:rsid w:val="000679C6"/>
    <w:rsid w:val="000704FB"/>
    <w:rsid w:val="0007274E"/>
    <w:rsid w:val="000A0BD2"/>
    <w:rsid w:val="000A2337"/>
    <w:rsid w:val="000A2637"/>
    <w:rsid w:val="000A33DA"/>
    <w:rsid w:val="000A49A3"/>
    <w:rsid w:val="000C2326"/>
    <w:rsid w:val="000C3C30"/>
    <w:rsid w:val="000C405C"/>
    <w:rsid w:val="000C48E2"/>
    <w:rsid w:val="000C60EF"/>
    <w:rsid w:val="000D5067"/>
    <w:rsid w:val="000E1560"/>
    <w:rsid w:val="000E2A27"/>
    <w:rsid w:val="000F09CE"/>
    <w:rsid w:val="000F105B"/>
    <w:rsid w:val="000F22F7"/>
    <w:rsid w:val="0010085B"/>
    <w:rsid w:val="00115FFF"/>
    <w:rsid w:val="001172C3"/>
    <w:rsid w:val="00142766"/>
    <w:rsid w:val="0014753C"/>
    <w:rsid w:val="0015274B"/>
    <w:rsid w:val="00155A17"/>
    <w:rsid w:val="0015628B"/>
    <w:rsid w:val="001649D2"/>
    <w:rsid w:val="001726A1"/>
    <w:rsid w:val="001765AC"/>
    <w:rsid w:val="0017701F"/>
    <w:rsid w:val="0018478A"/>
    <w:rsid w:val="00184D54"/>
    <w:rsid w:val="001871F5"/>
    <w:rsid w:val="00192AF1"/>
    <w:rsid w:val="001963D4"/>
    <w:rsid w:val="001A12C5"/>
    <w:rsid w:val="001A328F"/>
    <w:rsid w:val="001A657F"/>
    <w:rsid w:val="001B2D16"/>
    <w:rsid w:val="001C22C8"/>
    <w:rsid w:val="001C386E"/>
    <w:rsid w:val="001C79DC"/>
    <w:rsid w:val="001D19BD"/>
    <w:rsid w:val="001D4AE9"/>
    <w:rsid w:val="001E0A3F"/>
    <w:rsid w:val="001E36B2"/>
    <w:rsid w:val="001F186D"/>
    <w:rsid w:val="001F7D39"/>
    <w:rsid w:val="00204B75"/>
    <w:rsid w:val="00207369"/>
    <w:rsid w:val="002075A7"/>
    <w:rsid w:val="00213F55"/>
    <w:rsid w:val="00215544"/>
    <w:rsid w:val="0022121F"/>
    <w:rsid w:val="00224512"/>
    <w:rsid w:val="002261D1"/>
    <w:rsid w:val="00232167"/>
    <w:rsid w:val="00235DE7"/>
    <w:rsid w:val="002418DC"/>
    <w:rsid w:val="0025080D"/>
    <w:rsid w:val="002578F2"/>
    <w:rsid w:val="00260F9E"/>
    <w:rsid w:val="0026374C"/>
    <w:rsid w:val="00274C16"/>
    <w:rsid w:val="00275DAD"/>
    <w:rsid w:val="0027617F"/>
    <w:rsid w:val="00282981"/>
    <w:rsid w:val="00283A4C"/>
    <w:rsid w:val="00283E20"/>
    <w:rsid w:val="002851BF"/>
    <w:rsid w:val="00286B00"/>
    <w:rsid w:val="002874D6"/>
    <w:rsid w:val="002904C6"/>
    <w:rsid w:val="00290C62"/>
    <w:rsid w:val="00294052"/>
    <w:rsid w:val="00295605"/>
    <w:rsid w:val="002A7313"/>
    <w:rsid w:val="002B6CB8"/>
    <w:rsid w:val="002C0200"/>
    <w:rsid w:val="002C6857"/>
    <w:rsid w:val="002D71C9"/>
    <w:rsid w:val="002E0C97"/>
    <w:rsid w:val="002E3D55"/>
    <w:rsid w:val="00300CE3"/>
    <w:rsid w:val="00303497"/>
    <w:rsid w:val="00322E8F"/>
    <w:rsid w:val="003253A1"/>
    <w:rsid w:val="00330DCC"/>
    <w:rsid w:val="003348E2"/>
    <w:rsid w:val="00341480"/>
    <w:rsid w:val="003432C5"/>
    <w:rsid w:val="00350A18"/>
    <w:rsid w:val="00364127"/>
    <w:rsid w:val="00365BF0"/>
    <w:rsid w:val="00367680"/>
    <w:rsid w:val="00371DF7"/>
    <w:rsid w:val="0039071D"/>
    <w:rsid w:val="00392294"/>
    <w:rsid w:val="003923CE"/>
    <w:rsid w:val="003951A4"/>
    <w:rsid w:val="003A4F61"/>
    <w:rsid w:val="003A573C"/>
    <w:rsid w:val="003A5E03"/>
    <w:rsid w:val="003A75FE"/>
    <w:rsid w:val="003B08D9"/>
    <w:rsid w:val="003B2A82"/>
    <w:rsid w:val="003B41BD"/>
    <w:rsid w:val="003C1D4C"/>
    <w:rsid w:val="003C66C8"/>
    <w:rsid w:val="003C6726"/>
    <w:rsid w:val="003C7BB9"/>
    <w:rsid w:val="003D27DF"/>
    <w:rsid w:val="003D2D77"/>
    <w:rsid w:val="003D5DE5"/>
    <w:rsid w:val="003D5E1E"/>
    <w:rsid w:val="003E317F"/>
    <w:rsid w:val="003F4892"/>
    <w:rsid w:val="003F568C"/>
    <w:rsid w:val="0040556A"/>
    <w:rsid w:val="00406E14"/>
    <w:rsid w:val="00407821"/>
    <w:rsid w:val="004105F8"/>
    <w:rsid w:val="00431D57"/>
    <w:rsid w:val="00436CCF"/>
    <w:rsid w:val="00445058"/>
    <w:rsid w:val="0044697F"/>
    <w:rsid w:val="00447FAE"/>
    <w:rsid w:val="00450A5E"/>
    <w:rsid w:val="004529EF"/>
    <w:rsid w:val="00454B2A"/>
    <w:rsid w:val="00455E72"/>
    <w:rsid w:val="0045645B"/>
    <w:rsid w:val="004622D9"/>
    <w:rsid w:val="00462D35"/>
    <w:rsid w:val="00466C25"/>
    <w:rsid w:val="00467F1F"/>
    <w:rsid w:val="004735E7"/>
    <w:rsid w:val="0047482D"/>
    <w:rsid w:val="00477C6B"/>
    <w:rsid w:val="00484FAF"/>
    <w:rsid w:val="00487732"/>
    <w:rsid w:val="00490828"/>
    <w:rsid w:val="0049116F"/>
    <w:rsid w:val="0049490F"/>
    <w:rsid w:val="0049650A"/>
    <w:rsid w:val="00496914"/>
    <w:rsid w:val="004A6125"/>
    <w:rsid w:val="004C730B"/>
    <w:rsid w:val="004D61D3"/>
    <w:rsid w:val="004E1163"/>
    <w:rsid w:val="004E19FF"/>
    <w:rsid w:val="004E6BA9"/>
    <w:rsid w:val="004F4C53"/>
    <w:rsid w:val="004F4E96"/>
    <w:rsid w:val="004F6A2B"/>
    <w:rsid w:val="005029A0"/>
    <w:rsid w:val="00507FE3"/>
    <w:rsid w:val="00510B6F"/>
    <w:rsid w:val="00511D77"/>
    <w:rsid w:val="00512929"/>
    <w:rsid w:val="0052247D"/>
    <w:rsid w:val="00524172"/>
    <w:rsid w:val="00526C58"/>
    <w:rsid w:val="005352FD"/>
    <w:rsid w:val="00535567"/>
    <w:rsid w:val="00541240"/>
    <w:rsid w:val="00542E83"/>
    <w:rsid w:val="005430BC"/>
    <w:rsid w:val="00546661"/>
    <w:rsid w:val="0055401F"/>
    <w:rsid w:val="00555ED1"/>
    <w:rsid w:val="00562089"/>
    <w:rsid w:val="00564B39"/>
    <w:rsid w:val="005702B6"/>
    <w:rsid w:val="00576E58"/>
    <w:rsid w:val="005803A0"/>
    <w:rsid w:val="0058179F"/>
    <w:rsid w:val="005817A8"/>
    <w:rsid w:val="00590C67"/>
    <w:rsid w:val="005911AC"/>
    <w:rsid w:val="005A440E"/>
    <w:rsid w:val="005A7799"/>
    <w:rsid w:val="005B288E"/>
    <w:rsid w:val="005B5C31"/>
    <w:rsid w:val="005C1D69"/>
    <w:rsid w:val="005C32F8"/>
    <w:rsid w:val="005C4491"/>
    <w:rsid w:val="005D36B9"/>
    <w:rsid w:val="005E2BFA"/>
    <w:rsid w:val="005E5544"/>
    <w:rsid w:val="005E726A"/>
    <w:rsid w:val="005F35D3"/>
    <w:rsid w:val="00603C2C"/>
    <w:rsid w:val="00631D27"/>
    <w:rsid w:val="006349A5"/>
    <w:rsid w:val="006371F1"/>
    <w:rsid w:val="00640B08"/>
    <w:rsid w:val="0064133E"/>
    <w:rsid w:val="006417EA"/>
    <w:rsid w:val="00643890"/>
    <w:rsid w:val="00645FC0"/>
    <w:rsid w:val="0065522D"/>
    <w:rsid w:val="006557A8"/>
    <w:rsid w:val="006651C9"/>
    <w:rsid w:val="00673154"/>
    <w:rsid w:val="00693B84"/>
    <w:rsid w:val="00695088"/>
    <w:rsid w:val="006A2E2E"/>
    <w:rsid w:val="006B0780"/>
    <w:rsid w:val="006B0B4E"/>
    <w:rsid w:val="006B0D25"/>
    <w:rsid w:val="006B2462"/>
    <w:rsid w:val="006B2BAA"/>
    <w:rsid w:val="006B56B5"/>
    <w:rsid w:val="006B6F47"/>
    <w:rsid w:val="006C0CE8"/>
    <w:rsid w:val="006C3348"/>
    <w:rsid w:val="006C7E65"/>
    <w:rsid w:val="006D118D"/>
    <w:rsid w:val="006D3893"/>
    <w:rsid w:val="006D4FFA"/>
    <w:rsid w:val="006E3180"/>
    <w:rsid w:val="006F03F7"/>
    <w:rsid w:val="006F1779"/>
    <w:rsid w:val="006F2F7E"/>
    <w:rsid w:val="006F707D"/>
    <w:rsid w:val="007059EA"/>
    <w:rsid w:val="00705D02"/>
    <w:rsid w:val="007121F5"/>
    <w:rsid w:val="00720CAA"/>
    <w:rsid w:val="00721F6E"/>
    <w:rsid w:val="00722396"/>
    <w:rsid w:val="00726ED5"/>
    <w:rsid w:val="00727F0C"/>
    <w:rsid w:val="007329AD"/>
    <w:rsid w:val="00734CAD"/>
    <w:rsid w:val="007361C4"/>
    <w:rsid w:val="007412C3"/>
    <w:rsid w:val="00742027"/>
    <w:rsid w:val="00744409"/>
    <w:rsid w:val="00755FCD"/>
    <w:rsid w:val="00764082"/>
    <w:rsid w:val="00781B2F"/>
    <w:rsid w:val="00784863"/>
    <w:rsid w:val="007900DA"/>
    <w:rsid w:val="007953BE"/>
    <w:rsid w:val="00795B1F"/>
    <w:rsid w:val="007A1DD2"/>
    <w:rsid w:val="007A6470"/>
    <w:rsid w:val="007B0C54"/>
    <w:rsid w:val="007B1FB0"/>
    <w:rsid w:val="007B4251"/>
    <w:rsid w:val="007B6E40"/>
    <w:rsid w:val="007C43CA"/>
    <w:rsid w:val="007C6295"/>
    <w:rsid w:val="007D0197"/>
    <w:rsid w:val="007D2908"/>
    <w:rsid w:val="007D36FA"/>
    <w:rsid w:val="007D4AAD"/>
    <w:rsid w:val="007D4E58"/>
    <w:rsid w:val="007D604E"/>
    <w:rsid w:val="007D6ED3"/>
    <w:rsid w:val="007D7216"/>
    <w:rsid w:val="007E4D30"/>
    <w:rsid w:val="007E754B"/>
    <w:rsid w:val="007F7DFE"/>
    <w:rsid w:val="008002CF"/>
    <w:rsid w:val="00800F37"/>
    <w:rsid w:val="00802377"/>
    <w:rsid w:val="00803611"/>
    <w:rsid w:val="00823F64"/>
    <w:rsid w:val="0084057D"/>
    <w:rsid w:val="008467FF"/>
    <w:rsid w:val="00846C85"/>
    <w:rsid w:val="00852C8E"/>
    <w:rsid w:val="00856ECA"/>
    <w:rsid w:val="00865F98"/>
    <w:rsid w:val="008704C1"/>
    <w:rsid w:val="00872759"/>
    <w:rsid w:val="00877000"/>
    <w:rsid w:val="00884035"/>
    <w:rsid w:val="008876B3"/>
    <w:rsid w:val="008A0914"/>
    <w:rsid w:val="008A22E8"/>
    <w:rsid w:val="008A278D"/>
    <w:rsid w:val="008A2A7B"/>
    <w:rsid w:val="008A48B2"/>
    <w:rsid w:val="008B3D22"/>
    <w:rsid w:val="008B5906"/>
    <w:rsid w:val="008B742D"/>
    <w:rsid w:val="008C1D9C"/>
    <w:rsid w:val="008D347E"/>
    <w:rsid w:val="008D5E16"/>
    <w:rsid w:val="008D70C2"/>
    <w:rsid w:val="008E0D1C"/>
    <w:rsid w:val="008F1187"/>
    <w:rsid w:val="008F49D9"/>
    <w:rsid w:val="008F5372"/>
    <w:rsid w:val="008F6F4F"/>
    <w:rsid w:val="008F7761"/>
    <w:rsid w:val="0090307F"/>
    <w:rsid w:val="00915D36"/>
    <w:rsid w:val="0091616F"/>
    <w:rsid w:val="00917D49"/>
    <w:rsid w:val="00924E5A"/>
    <w:rsid w:val="009262CD"/>
    <w:rsid w:val="00930399"/>
    <w:rsid w:val="00935CBC"/>
    <w:rsid w:val="00950ED2"/>
    <w:rsid w:val="00955706"/>
    <w:rsid w:val="00957044"/>
    <w:rsid w:val="00965092"/>
    <w:rsid w:val="00972CD8"/>
    <w:rsid w:val="0097378E"/>
    <w:rsid w:val="00985C41"/>
    <w:rsid w:val="0098734E"/>
    <w:rsid w:val="00990E17"/>
    <w:rsid w:val="00992A82"/>
    <w:rsid w:val="00996885"/>
    <w:rsid w:val="009A1FFB"/>
    <w:rsid w:val="009A338A"/>
    <w:rsid w:val="009A5228"/>
    <w:rsid w:val="009B166E"/>
    <w:rsid w:val="009D16F5"/>
    <w:rsid w:val="009E195B"/>
    <w:rsid w:val="009E1B72"/>
    <w:rsid w:val="009E7A25"/>
    <w:rsid w:val="009F7414"/>
    <w:rsid w:val="009F7693"/>
    <w:rsid w:val="00A01486"/>
    <w:rsid w:val="00A10E03"/>
    <w:rsid w:val="00A110C6"/>
    <w:rsid w:val="00A15D09"/>
    <w:rsid w:val="00A21FB9"/>
    <w:rsid w:val="00A23D92"/>
    <w:rsid w:val="00A24941"/>
    <w:rsid w:val="00A43BA9"/>
    <w:rsid w:val="00A44CE0"/>
    <w:rsid w:val="00A52BED"/>
    <w:rsid w:val="00A546FA"/>
    <w:rsid w:val="00A65E37"/>
    <w:rsid w:val="00A717EF"/>
    <w:rsid w:val="00A7367D"/>
    <w:rsid w:val="00A75A1D"/>
    <w:rsid w:val="00AA282E"/>
    <w:rsid w:val="00AA36E2"/>
    <w:rsid w:val="00AA41EB"/>
    <w:rsid w:val="00AA68FA"/>
    <w:rsid w:val="00AA7752"/>
    <w:rsid w:val="00AB54DF"/>
    <w:rsid w:val="00AB5FD6"/>
    <w:rsid w:val="00AC0E46"/>
    <w:rsid w:val="00AD15D1"/>
    <w:rsid w:val="00AD2A2D"/>
    <w:rsid w:val="00AD5F89"/>
    <w:rsid w:val="00AD62FF"/>
    <w:rsid w:val="00AD7FFA"/>
    <w:rsid w:val="00AE15F2"/>
    <w:rsid w:val="00AE50DF"/>
    <w:rsid w:val="00AF3158"/>
    <w:rsid w:val="00AF35E9"/>
    <w:rsid w:val="00AF7B25"/>
    <w:rsid w:val="00B0382C"/>
    <w:rsid w:val="00B160B3"/>
    <w:rsid w:val="00B25982"/>
    <w:rsid w:val="00B319C9"/>
    <w:rsid w:val="00B34033"/>
    <w:rsid w:val="00B4064A"/>
    <w:rsid w:val="00B41F57"/>
    <w:rsid w:val="00B46358"/>
    <w:rsid w:val="00B4759B"/>
    <w:rsid w:val="00B52F2F"/>
    <w:rsid w:val="00B56A16"/>
    <w:rsid w:val="00B6021D"/>
    <w:rsid w:val="00B6296D"/>
    <w:rsid w:val="00B6736E"/>
    <w:rsid w:val="00B70509"/>
    <w:rsid w:val="00B70706"/>
    <w:rsid w:val="00B72E04"/>
    <w:rsid w:val="00B7319C"/>
    <w:rsid w:val="00B8295C"/>
    <w:rsid w:val="00B878AC"/>
    <w:rsid w:val="00B87FE1"/>
    <w:rsid w:val="00B95835"/>
    <w:rsid w:val="00B97518"/>
    <w:rsid w:val="00B97630"/>
    <w:rsid w:val="00BA5627"/>
    <w:rsid w:val="00BA7D99"/>
    <w:rsid w:val="00BB0E8A"/>
    <w:rsid w:val="00BC19B6"/>
    <w:rsid w:val="00BC4386"/>
    <w:rsid w:val="00BC7BB3"/>
    <w:rsid w:val="00BE1F53"/>
    <w:rsid w:val="00BE6569"/>
    <w:rsid w:val="00BF1668"/>
    <w:rsid w:val="00BF7217"/>
    <w:rsid w:val="00BF7551"/>
    <w:rsid w:val="00C05FB1"/>
    <w:rsid w:val="00C12647"/>
    <w:rsid w:val="00C15F3F"/>
    <w:rsid w:val="00C23BEB"/>
    <w:rsid w:val="00C37565"/>
    <w:rsid w:val="00C41EB2"/>
    <w:rsid w:val="00C46173"/>
    <w:rsid w:val="00C509E7"/>
    <w:rsid w:val="00C5290C"/>
    <w:rsid w:val="00C5519B"/>
    <w:rsid w:val="00C609CE"/>
    <w:rsid w:val="00C64DFF"/>
    <w:rsid w:val="00C702A9"/>
    <w:rsid w:val="00C83492"/>
    <w:rsid w:val="00C85381"/>
    <w:rsid w:val="00C9340A"/>
    <w:rsid w:val="00C95B9B"/>
    <w:rsid w:val="00C96D3C"/>
    <w:rsid w:val="00CA004D"/>
    <w:rsid w:val="00CA0E1D"/>
    <w:rsid w:val="00CB5A37"/>
    <w:rsid w:val="00CD0592"/>
    <w:rsid w:val="00CD0C18"/>
    <w:rsid w:val="00CD1771"/>
    <w:rsid w:val="00CD3B73"/>
    <w:rsid w:val="00CD4799"/>
    <w:rsid w:val="00CD6F91"/>
    <w:rsid w:val="00CE13FB"/>
    <w:rsid w:val="00CE25DC"/>
    <w:rsid w:val="00CE4B14"/>
    <w:rsid w:val="00CE668D"/>
    <w:rsid w:val="00CF4EAB"/>
    <w:rsid w:val="00CF541A"/>
    <w:rsid w:val="00D037B1"/>
    <w:rsid w:val="00D061FA"/>
    <w:rsid w:val="00D07D24"/>
    <w:rsid w:val="00D1291C"/>
    <w:rsid w:val="00D12E9E"/>
    <w:rsid w:val="00D133CC"/>
    <w:rsid w:val="00D16D69"/>
    <w:rsid w:val="00D16FAF"/>
    <w:rsid w:val="00D22A06"/>
    <w:rsid w:val="00D241F9"/>
    <w:rsid w:val="00D261A8"/>
    <w:rsid w:val="00D269C2"/>
    <w:rsid w:val="00D3238A"/>
    <w:rsid w:val="00D33093"/>
    <w:rsid w:val="00D34895"/>
    <w:rsid w:val="00D348D1"/>
    <w:rsid w:val="00D37FCB"/>
    <w:rsid w:val="00D42D21"/>
    <w:rsid w:val="00D438AC"/>
    <w:rsid w:val="00D45CE8"/>
    <w:rsid w:val="00D5652F"/>
    <w:rsid w:val="00D60412"/>
    <w:rsid w:val="00D706CB"/>
    <w:rsid w:val="00D73A22"/>
    <w:rsid w:val="00D77E3E"/>
    <w:rsid w:val="00D80AA6"/>
    <w:rsid w:val="00D815A2"/>
    <w:rsid w:val="00D81F79"/>
    <w:rsid w:val="00D8593C"/>
    <w:rsid w:val="00D909CA"/>
    <w:rsid w:val="00D95ECB"/>
    <w:rsid w:val="00DA16FC"/>
    <w:rsid w:val="00DA47A6"/>
    <w:rsid w:val="00DC4D80"/>
    <w:rsid w:val="00DD59B9"/>
    <w:rsid w:val="00DE0D29"/>
    <w:rsid w:val="00DE4C46"/>
    <w:rsid w:val="00DF6F1A"/>
    <w:rsid w:val="00E00E8E"/>
    <w:rsid w:val="00E03E59"/>
    <w:rsid w:val="00E12A48"/>
    <w:rsid w:val="00E13C3F"/>
    <w:rsid w:val="00E15937"/>
    <w:rsid w:val="00E15EF2"/>
    <w:rsid w:val="00E15F81"/>
    <w:rsid w:val="00E237FA"/>
    <w:rsid w:val="00E25D37"/>
    <w:rsid w:val="00E36034"/>
    <w:rsid w:val="00E41240"/>
    <w:rsid w:val="00E46035"/>
    <w:rsid w:val="00E4614B"/>
    <w:rsid w:val="00E53C6D"/>
    <w:rsid w:val="00E5597C"/>
    <w:rsid w:val="00E56451"/>
    <w:rsid w:val="00E56523"/>
    <w:rsid w:val="00E56B9F"/>
    <w:rsid w:val="00E630A7"/>
    <w:rsid w:val="00E72440"/>
    <w:rsid w:val="00E73C9B"/>
    <w:rsid w:val="00E84606"/>
    <w:rsid w:val="00E853DC"/>
    <w:rsid w:val="00E85405"/>
    <w:rsid w:val="00E857A2"/>
    <w:rsid w:val="00E87C60"/>
    <w:rsid w:val="00EA25E8"/>
    <w:rsid w:val="00EA3CEB"/>
    <w:rsid w:val="00EB13B3"/>
    <w:rsid w:val="00EC15C6"/>
    <w:rsid w:val="00EC346D"/>
    <w:rsid w:val="00EC5585"/>
    <w:rsid w:val="00EC57FE"/>
    <w:rsid w:val="00EC6542"/>
    <w:rsid w:val="00ED1A64"/>
    <w:rsid w:val="00ED2C4A"/>
    <w:rsid w:val="00ED49C6"/>
    <w:rsid w:val="00EE0F1C"/>
    <w:rsid w:val="00EE4014"/>
    <w:rsid w:val="00EF050F"/>
    <w:rsid w:val="00EF4244"/>
    <w:rsid w:val="00EF45D7"/>
    <w:rsid w:val="00EF5464"/>
    <w:rsid w:val="00EF7A3C"/>
    <w:rsid w:val="00F03820"/>
    <w:rsid w:val="00F106A6"/>
    <w:rsid w:val="00F21747"/>
    <w:rsid w:val="00F22A9A"/>
    <w:rsid w:val="00F22CD4"/>
    <w:rsid w:val="00F30707"/>
    <w:rsid w:val="00F3560A"/>
    <w:rsid w:val="00F61AAE"/>
    <w:rsid w:val="00F62BA0"/>
    <w:rsid w:val="00F66B63"/>
    <w:rsid w:val="00F723FB"/>
    <w:rsid w:val="00F7500D"/>
    <w:rsid w:val="00F84E37"/>
    <w:rsid w:val="00F851A3"/>
    <w:rsid w:val="00F918BC"/>
    <w:rsid w:val="00F94233"/>
    <w:rsid w:val="00F946B2"/>
    <w:rsid w:val="00FB4B97"/>
    <w:rsid w:val="00FB696C"/>
    <w:rsid w:val="00FC2B27"/>
    <w:rsid w:val="00FC2CD3"/>
    <w:rsid w:val="00FC2FB1"/>
    <w:rsid w:val="00FC4559"/>
    <w:rsid w:val="00FC49C8"/>
    <w:rsid w:val="00FC5ACE"/>
    <w:rsid w:val="00FC5BF8"/>
    <w:rsid w:val="00FD2A43"/>
    <w:rsid w:val="00FD63AA"/>
    <w:rsid w:val="00FE2EB0"/>
    <w:rsid w:val="00FE426E"/>
    <w:rsid w:val="00FE7874"/>
    <w:rsid w:val="00FF1740"/>
    <w:rsid w:val="00FF70F1"/>
    <w:rsid w:val="01A054C0"/>
    <w:rsid w:val="02477318"/>
    <w:rsid w:val="029F53A6"/>
    <w:rsid w:val="02A056CD"/>
    <w:rsid w:val="030B2A3C"/>
    <w:rsid w:val="037D62A1"/>
    <w:rsid w:val="038878FD"/>
    <w:rsid w:val="049D3B67"/>
    <w:rsid w:val="050C7680"/>
    <w:rsid w:val="05E7509A"/>
    <w:rsid w:val="06513A19"/>
    <w:rsid w:val="06624AD0"/>
    <w:rsid w:val="071C00A2"/>
    <w:rsid w:val="077C7A64"/>
    <w:rsid w:val="08840F90"/>
    <w:rsid w:val="089B6610"/>
    <w:rsid w:val="08E47FB5"/>
    <w:rsid w:val="093F51ED"/>
    <w:rsid w:val="094C7A05"/>
    <w:rsid w:val="0AC77248"/>
    <w:rsid w:val="0B425772"/>
    <w:rsid w:val="0B903ADE"/>
    <w:rsid w:val="0BFC1173"/>
    <w:rsid w:val="0D3F097E"/>
    <w:rsid w:val="0D474458"/>
    <w:rsid w:val="0D96580F"/>
    <w:rsid w:val="0DA311C7"/>
    <w:rsid w:val="0DC53DA9"/>
    <w:rsid w:val="0ECA58F5"/>
    <w:rsid w:val="0F8C77B8"/>
    <w:rsid w:val="0F987405"/>
    <w:rsid w:val="10993435"/>
    <w:rsid w:val="10B22749"/>
    <w:rsid w:val="11810003"/>
    <w:rsid w:val="11B21219"/>
    <w:rsid w:val="12DE42E6"/>
    <w:rsid w:val="14184FB8"/>
    <w:rsid w:val="14307D5E"/>
    <w:rsid w:val="14322531"/>
    <w:rsid w:val="14521E09"/>
    <w:rsid w:val="145B5D72"/>
    <w:rsid w:val="148D505F"/>
    <w:rsid w:val="14C111AC"/>
    <w:rsid w:val="15787ABD"/>
    <w:rsid w:val="16225C7A"/>
    <w:rsid w:val="16244A10"/>
    <w:rsid w:val="162561E4"/>
    <w:rsid w:val="16262476"/>
    <w:rsid w:val="164D0F49"/>
    <w:rsid w:val="16C11FE2"/>
    <w:rsid w:val="16F07B27"/>
    <w:rsid w:val="174F3CAB"/>
    <w:rsid w:val="17555762"/>
    <w:rsid w:val="17AA1863"/>
    <w:rsid w:val="17C44659"/>
    <w:rsid w:val="183C7A70"/>
    <w:rsid w:val="18E47291"/>
    <w:rsid w:val="198A7DBF"/>
    <w:rsid w:val="19CC2CA2"/>
    <w:rsid w:val="1A167244"/>
    <w:rsid w:val="1AF570CE"/>
    <w:rsid w:val="1B1A1616"/>
    <w:rsid w:val="1B390CC2"/>
    <w:rsid w:val="1C2838BF"/>
    <w:rsid w:val="1C2D3410"/>
    <w:rsid w:val="1C2F5B12"/>
    <w:rsid w:val="1C8925AF"/>
    <w:rsid w:val="1C8B27CB"/>
    <w:rsid w:val="1CAB4C1C"/>
    <w:rsid w:val="1CD9027E"/>
    <w:rsid w:val="1D3F7A96"/>
    <w:rsid w:val="1D8F0E96"/>
    <w:rsid w:val="1DB538A2"/>
    <w:rsid w:val="1E753277"/>
    <w:rsid w:val="1F8B5867"/>
    <w:rsid w:val="1F933745"/>
    <w:rsid w:val="1FB926E2"/>
    <w:rsid w:val="1FEA15B7"/>
    <w:rsid w:val="20BF6EA1"/>
    <w:rsid w:val="20C8688F"/>
    <w:rsid w:val="20CA13E8"/>
    <w:rsid w:val="20FE187B"/>
    <w:rsid w:val="211F4637"/>
    <w:rsid w:val="21BA320B"/>
    <w:rsid w:val="225B1C3C"/>
    <w:rsid w:val="231150AD"/>
    <w:rsid w:val="23E868DE"/>
    <w:rsid w:val="242520DD"/>
    <w:rsid w:val="24615853"/>
    <w:rsid w:val="24AC7A2A"/>
    <w:rsid w:val="258A4562"/>
    <w:rsid w:val="25BC1C7D"/>
    <w:rsid w:val="25E57B7C"/>
    <w:rsid w:val="261F2C68"/>
    <w:rsid w:val="268472FD"/>
    <w:rsid w:val="26E77620"/>
    <w:rsid w:val="279555FC"/>
    <w:rsid w:val="27AB4FB3"/>
    <w:rsid w:val="27AD7D8F"/>
    <w:rsid w:val="27B801ED"/>
    <w:rsid w:val="288F6037"/>
    <w:rsid w:val="28994CB9"/>
    <w:rsid w:val="292841E2"/>
    <w:rsid w:val="2AB84479"/>
    <w:rsid w:val="2AD52E64"/>
    <w:rsid w:val="2AE65071"/>
    <w:rsid w:val="2B971F94"/>
    <w:rsid w:val="2BCC2C58"/>
    <w:rsid w:val="2BDB6BA0"/>
    <w:rsid w:val="2BF15601"/>
    <w:rsid w:val="2CE62C60"/>
    <w:rsid w:val="2CEE6170"/>
    <w:rsid w:val="2D7E3C87"/>
    <w:rsid w:val="2D962D7E"/>
    <w:rsid w:val="2E10686F"/>
    <w:rsid w:val="2E50261D"/>
    <w:rsid w:val="2E9133DF"/>
    <w:rsid w:val="2EDA39A1"/>
    <w:rsid w:val="2EF277A0"/>
    <w:rsid w:val="2F204A56"/>
    <w:rsid w:val="2F4327EB"/>
    <w:rsid w:val="2F631386"/>
    <w:rsid w:val="2F8C2155"/>
    <w:rsid w:val="2FC11C09"/>
    <w:rsid w:val="30325050"/>
    <w:rsid w:val="30435B6D"/>
    <w:rsid w:val="30711881"/>
    <w:rsid w:val="30C70618"/>
    <w:rsid w:val="30EB0AA7"/>
    <w:rsid w:val="31296060"/>
    <w:rsid w:val="314D62F2"/>
    <w:rsid w:val="31DC0937"/>
    <w:rsid w:val="324842B5"/>
    <w:rsid w:val="329A6E6D"/>
    <w:rsid w:val="32C53138"/>
    <w:rsid w:val="33D90661"/>
    <w:rsid w:val="34083D66"/>
    <w:rsid w:val="34F37128"/>
    <w:rsid w:val="34F97E4B"/>
    <w:rsid w:val="352A5349"/>
    <w:rsid w:val="354C43B6"/>
    <w:rsid w:val="355E6877"/>
    <w:rsid w:val="3587719C"/>
    <w:rsid w:val="35F828FD"/>
    <w:rsid w:val="36612E47"/>
    <w:rsid w:val="374F4EB7"/>
    <w:rsid w:val="37FB3803"/>
    <w:rsid w:val="38300377"/>
    <w:rsid w:val="38B7095F"/>
    <w:rsid w:val="390414E4"/>
    <w:rsid w:val="3ADF3521"/>
    <w:rsid w:val="3BA071E9"/>
    <w:rsid w:val="3C5F6A31"/>
    <w:rsid w:val="3CF33D49"/>
    <w:rsid w:val="3DBE085D"/>
    <w:rsid w:val="3DD3647A"/>
    <w:rsid w:val="3DEA1C65"/>
    <w:rsid w:val="3DEE6DAB"/>
    <w:rsid w:val="3E645298"/>
    <w:rsid w:val="3E7F113D"/>
    <w:rsid w:val="3EA10078"/>
    <w:rsid w:val="3EC15781"/>
    <w:rsid w:val="3F5647BA"/>
    <w:rsid w:val="3F745D86"/>
    <w:rsid w:val="3F921185"/>
    <w:rsid w:val="3FA35080"/>
    <w:rsid w:val="405A5364"/>
    <w:rsid w:val="40A46034"/>
    <w:rsid w:val="40C33A32"/>
    <w:rsid w:val="41ED183A"/>
    <w:rsid w:val="428F70CF"/>
    <w:rsid w:val="429554CB"/>
    <w:rsid w:val="43452E25"/>
    <w:rsid w:val="43E44B02"/>
    <w:rsid w:val="44834D15"/>
    <w:rsid w:val="451B1E7F"/>
    <w:rsid w:val="452644FF"/>
    <w:rsid w:val="454C49D5"/>
    <w:rsid w:val="455D3F07"/>
    <w:rsid w:val="45DB52B3"/>
    <w:rsid w:val="46B9770B"/>
    <w:rsid w:val="4706274A"/>
    <w:rsid w:val="470929D7"/>
    <w:rsid w:val="470E5D55"/>
    <w:rsid w:val="473A7FE1"/>
    <w:rsid w:val="47990FCD"/>
    <w:rsid w:val="480B6841"/>
    <w:rsid w:val="48677D12"/>
    <w:rsid w:val="48B475E1"/>
    <w:rsid w:val="490219FB"/>
    <w:rsid w:val="495C4A24"/>
    <w:rsid w:val="495D0823"/>
    <w:rsid w:val="49E7732E"/>
    <w:rsid w:val="4A402BB9"/>
    <w:rsid w:val="4B11183E"/>
    <w:rsid w:val="4B895879"/>
    <w:rsid w:val="4BD5381A"/>
    <w:rsid w:val="4C043151"/>
    <w:rsid w:val="4C6C3744"/>
    <w:rsid w:val="4D560157"/>
    <w:rsid w:val="4E5C7FCC"/>
    <w:rsid w:val="4F13254C"/>
    <w:rsid w:val="4F4023BF"/>
    <w:rsid w:val="4F454F34"/>
    <w:rsid w:val="4FD900D9"/>
    <w:rsid w:val="508B7155"/>
    <w:rsid w:val="50B13272"/>
    <w:rsid w:val="50C654BE"/>
    <w:rsid w:val="51BA1964"/>
    <w:rsid w:val="51D62AB4"/>
    <w:rsid w:val="530D7A74"/>
    <w:rsid w:val="53262E6D"/>
    <w:rsid w:val="54B1458C"/>
    <w:rsid w:val="552B1A79"/>
    <w:rsid w:val="553700F3"/>
    <w:rsid w:val="553D1BAE"/>
    <w:rsid w:val="55BB2AD2"/>
    <w:rsid w:val="55E03E74"/>
    <w:rsid w:val="55EE5892"/>
    <w:rsid w:val="56574EF1"/>
    <w:rsid w:val="5693754E"/>
    <w:rsid w:val="569972B8"/>
    <w:rsid w:val="56A342F7"/>
    <w:rsid w:val="56DE3769"/>
    <w:rsid w:val="57117A69"/>
    <w:rsid w:val="57241F2D"/>
    <w:rsid w:val="57314C1F"/>
    <w:rsid w:val="573E3FD0"/>
    <w:rsid w:val="5741685C"/>
    <w:rsid w:val="581B3CFC"/>
    <w:rsid w:val="58477A82"/>
    <w:rsid w:val="588B7C90"/>
    <w:rsid w:val="5919023C"/>
    <w:rsid w:val="59590F80"/>
    <w:rsid w:val="5A521717"/>
    <w:rsid w:val="5ADB4098"/>
    <w:rsid w:val="5B5F2152"/>
    <w:rsid w:val="5C0A6F4C"/>
    <w:rsid w:val="5C6B60E0"/>
    <w:rsid w:val="5C8F13DB"/>
    <w:rsid w:val="5C9F5913"/>
    <w:rsid w:val="5CA72002"/>
    <w:rsid w:val="5D0512A9"/>
    <w:rsid w:val="5D2C3AEB"/>
    <w:rsid w:val="5D303DA6"/>
    <w:rsid w:val="5D584DCA"/>
    <w:rsid w:val="5DC131BE"/>
    <w:rsid w:val="5DD60DF1"/>
    <w:rsid w:val="5E247648"/>
    <w:rsid w:val="5ED205AA"/>
    <w:rsid w:val="5F036F8A"/>
    <w:rsid w:val="5F13572D"/>
    <w:rsid w:val="5F514DDE"/>
    <w:rsid w:val="5F843574"/>
    <w:rsid w:val="5FBB4B3B"/>
    <w:rsid w:val="616404C2"/>
    <w:rsid w:val="625D388F"/>
    <w:rsid w:val="626211FD"/>
    <w:rsid w:val="626E5E62"/>
    <w:rsid w:val="63072608"/>
    <w:rsid w:val="634A5FCE"/>
    <w:rsid w:val="637F5A87"/>
    <w:rsid w:val="638E5D64"/>
    <w:rsid w:val="63972DD1"/>
    <w:rsid w:val="63C74D38"/>
    <w:rsid w:val="63CA119D"/>
    <w:rsid w:val="63F10007"/>
    <w:rsid w:val="64601415"/>
    <w:rsid w:val="64A73549"/>
    <w:rsid w:val="65242442"/>
    <w:rsid w:val="660C57F8"/>
    <w:rsid w:val="6613430C"/>
    <w:rsid w:val="66171D02"/>
    <w:rsid w:val="670F2C05"/>
    <w:rsid w:val="677A7351"/>
    <w:rsid w:val="67A23AF2"/>
    <w:rsid w:val="67F325A0"/>
    <w:rsid w:val="67FF7C80"/>
    <w:rsid w:val="686618F1"/>
    <w:rsid w:val="68A0427D"/>
    <w:rsid w:val="6906005F"/>
    <w:rsid w:val="69666AA9"/>
    <w:rsid w:val="6A211B81"/>
    <w:rsid w:val="6A383C54"/>
    <w:rsid w:val="6A4F1F02"/>
    <w:rsid w:val="6A9A0475"/>
    <w:rsid w:val="6AAF0A00"/>
    <w:rsid w:val="6AB75B07"/>
    <w:rsid w:val="6AFE019A"/>
    <w:rsid w:val="6B43739A"/>
    <w:rsid w:val="6B697849"/>
    <w:rsid w:val="6C9C13DC"/>
    <w:rsid w:val="6CB74F6C"/>
    <w:rsid w:val="6CBA18DE"/>
    <w:rsid w:val="6D090170"/>
    <w:rsid w:val="6D192AA9"/>
    <w:rsid w:val="6D2F09A4"/>
    <w:rsid w:val="6D7B0AB4"/>
    <w:rsid w:val="6ED9751C"/>
    <w:rsid w:val="6F03756C"/>
    <w:rsid w:val="6F4D268D"/>
    <w:rsid w:val="6F5767A3"/>
    <w:rsid w:val="6F6124E5"/>
    <w:rsid w:val="6F83705A"/>
    <w:rsid w:val="701A4C7F"/>
    <w:rsid w:val="702E0D9C"/>
    <w:rsid w:val="70A26911"/>
    <w:rsid w:val="711041C2"/>
    <w:rsid w:val="72001B41"/>
    <w:rsid w:val="720B77EF"/>
    <w:rsid w:val="727811A8"/>
    <w:rsid w:val="727C58E9"/>
    <w:rsid w:val="72BF1FCE"/>
    <w:rsid w:val="72F93D68"/>
    <w:rsid w:val="73070F3B"/>
    <w:rsid w:val="73212BF1"/>
    <w:rsid w:val="734E2D90"/>
    <w:rsid w:val="73644352"/>
    <w:rsid w:val="757C3EC1"/>
    <w:rsid w:val="762F50EB"/>
    <w:rsid w:val="76B37348"/>
    <w:rsid w:val="772671E3"/>
    <w:rsid w:val="7730111A"/>
    <w:rsid w:val="786852CE"/>
    <w:rsid w:val="79BC5455"/>
    <w:rsid w:val="79C31852"/>
    <w:rsid w:val="7A4778AC"/>
    <w:rsid w:val="7A8772A3"/>
    <w:rsid w:val="7AF94753"/>
    <w:rsid w:val="7B606636"/>
    <w:rsid w:val="7B8F6FCF"/>
    <w:rsid w:val="7BB74513"/>
    <w:rsid w:val="7C6437F1"/>
    <w:rsid w:val="7C6F65ED"/>
    <w:rsid w:val="7CF57F09"/>
    <w:rsid w:val="7D201859"/>
    <w:rsid w:val="7DC14660"/>
    <w:rsid w:val="7DDB16B4"/>
    <w:rsid w:val="7E3E236F"/>
    <w:rsid w:val="7E540852"/>
    <w:rsid w:val="BFBFDA95"/>
    <w:rsid w:val="F8A6B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99" w:semiHidden="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style>
  <w:style w:type="paragraph" w:styleId="4">
    <w:name w:val="annotation text"/>
    <w:basedOn w:val="1"/>
    <w:semiHidden/>
    <w:unhideWhenUsed/>
    <w:qFormat/>
    <w:uiPriority w:val="0"/>
    <w:pPr>
      <w:jc w:val="left"/>
    </w:pPr>
  </w:style>
  <w:style w:type="paragraph" w:styleId="5">
    <w:name w:val="Body Text"/>
    <w:basedOn w:val="1"/>
    <w:semiHidden/>
    <w:qFormat/>
    <w:uiPriority w:val="0"/>
    <w:rPr>
      <w:rFonts w:ascii="仿宋" w:hAnsi="仿宋" w:eastAsia="仿宋" w:cs="仿宋"/>
      <w:sz w:val="31"/>
      <w:szCs w:val="31"/>
      <w:lang w:val="en-US" w:eastAsia="en-US" w:bidi="ar-SA"/>
    </w:rPr>
  </w:style>
  <w:style w:type="paragraph" w:styleId="6">
    <w:name w:val="Balloon Text"/>
    <w:basedOn w:val="1"/>
    <w:link w:val="15"/>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link w:val="8"/>
    <w:qFormat/>
    <w:uiPriority w:val="0"/>
    <w:rPr>
      <w:kern w:val="2"/>
      <w:sz w:val="18"/>
      <w:szCs w:val="18"/>
    </w:rPr>
  </w:style>
  <w:style w:type="character" w:customStyle="1" w:styleId="14">
    <w:name w:val="页脚 字符"/>
    <w:link w:val="7"/>
    <w:qFormat/>
    <w:uiPriority w:val="0"/>
    <w:rPr>
      <w:kern w:val="2"/>
      <w:sz w:val="18"/>
      <w:szCs w:val="18"/>
    </w:rPr>
  </w:style>
  <w:style w:type="character" w:customStyle="1" w:styleId="15">
    <w:name w:val="批注框文本 字符"/>
    <w:basedOn w:val="12"/>
    <w:link w:val="6"/>
    <w:qFormat/>
    <w:uiPriority w:val="0"/>
    <w:rPr>
      <w:kern w:val="2"/>
      <w:sz w:val="18"/>
      <w:szCs w:val="18"/>
    </w:rPr>
  </w:style>
  <w:style w:type="paragraph" w:customStyle="1" w:styleId="16">
    <w:name w:val="正文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3278</Words>
  <Characters>3792</Characters>
  <Lines>12</Lines>
  <Paragraphs>3</Paragraphs>
  <TotalTime>27</TotalTime>
  <ScaleCrop>false</ScaleCrop>
  <LinksUpToDate>false</LinksUpToDate>
  <CharactersWithSpaces>3792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2022-08-01T07:03:00Z</dcterms:created>
  <dc:creator>Administrator</dc:creator>
  <cp:lastModifiedBy>茵</cp:lastModifiedBy>
  <cp:lastPrinted>2022-07-07T02:42:00Z</cp:lastPrinted>
  <dcterms:modified xsi:type="dcterms:W3CDTF">2026-09-16T09:00:20Z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ribbonExt">
    <vt:lpwstr>{"WPSExtOfficeTab":{"OnGetEnabled":false,"OnGetVisible":false}}</vt:lpwstr>
  </property>
  <property fmtid="{D5CDD505-2E9C-101B-9397-08002B2CF9AE}" pid="4" name="ICV">
    <vt:lpwstr>34C35FA4B48640C59712B18A57ABA00B_13</vt:lpwstr>
  </property>
  <property fmtid="{D5CDD505-2E9C-101B-9397-08002B2CF9AE}" pid="5" name="KSOTemplateDocerSaveRecord">
    <vt:lpwstr>eyJoZGlkIjoiZGZhOTZhNmI5ZjBjM2M5MTBiZGY4OGNmM2U0ZDA1YjUiLCJ1c2VySWQiOiI4NDY2Njg5MjkifQ==</vt:lpwstr>
  </property>
</Properties>
</file>