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99454A">
      <w:pPr>
        <w:keepNext w:val="0"/>
        <w:keepLines w:val="0"/>
        <w:pageBreakBefore w:val="0"/>
        <w:widowControl/>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lang w:eastAsia="zh-CN"/>
        </w:rPr>
      </w:pPr>
      <w:bookmarkStart w:id="0" w:name="_Hlk161936648"/>
      <w:bookmarkStart w:id="7" w:name="_GoBack"/>
      <w:bookmarkEnd w:id="7"/>
      <w:r>
        <w:rPr>
          <w:rFonts w:hint="eastAsia" w:ascii="方正小标宋简体" w:hAnsi="方正小标宋简体" w:eastAsia="方正小标宋简体" w:cs="方正小标宋简体"/>
          <w:sz w:val="44"/>
          <w:szCs w:val="44"/>
          <w:lang w:eastAsia="zh-CN"/>
        </w:rPr>
        <w:t>韶关市武江区人民政府关于</w:t>
      </w:r>
      <w:bookmarkStart w:id="1" w:name="_Hlk161934441"/>
      <w:r>
        <w:rPr>
          <w:rFonts w:hint="eastAsia" w:ascii="方正小标宋简体" w:hAnsi="方正小标宋简体" w:eastAsia="方正小标宋简体" w:cs="方正小标宋简体"/>
          <w:sz w:val="44"/>
          <w:szCs w:val="44"/>
          <w:lang w:eastAsia="zh-CN"/>
        </w:rPr>
        <w:t>北江航道扩能升级上延工程（武江段）</w:t>
      </w:r>
      <w:bookmarkEnd w:id="1"/>
      <w:r>
        <w:rPr>
          <w:rFonts w:hint="eastAsia" w:ascii="方正小标宋简体" w:hAnsi="方正小标宋简体" w:eastAsia="方正小标宋简体" w:cs="方正小标宋简体"/>
          <w:sz w:val="44"/>
          <w:szCs w:val="44"/>
          <w:lang w:eastAsia="zh-CN"/>
        </w:rPr>
        <w:t>项目征地</w:t>
      </w:r>
    </w:p>
    <w:p w14:paraId="15E09F67">
      <w:pPr>
        <w:keepNext w:val="0"/>
        <w:keepLines w:val="0"/>
        <w:pageBreakBefore w:val="0"/>
        <w:widowControl/>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补偿安置方案的公告</w:t>
      </w:r>
      <w:bookmarkEnd w:id="0"/>
    </w:p>
    <w:p w14:paraId="064D750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p>
    <w:p w14:paraId="46F2DAE5">
      <w:pPr>
        <w:pStyle w:val="7"/>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仿宋_GB2312" w:hAnsi="仿宋_GB2312" w:eastAsia="仿宋_GB2312" w:cs="仿宋_GB2312"/>
          <w:color w:val="222222"/>
          <w:sz w:val="32"/>
          <w:szCs w:val="32"/>
          <w:shd w:val="clear" w:color="auto" w:fill="FFFFFF"/>
          <w:lang w:val="en-US" w:eastAsia="zh-CN"/>
        </w:rPr>
      </w:pPr>
      <w:r>
        <w:rPr>
          <w:rFonts w:hint="eastAsia" w:ascii="仿宋_GB2312" w:hAnsi="仿宋_GB2312" w:eastAsia="仿宋_GB2312" w:cs="仿宋_GB2312"/>
          <w:color w:val="222222"/>
          <w:sz w:val="32"/>
          <w:szCs w:val="32"/>
          <w:shd w:val="clear" w:color="auto" w:fill="FFFFFF"/>
          <w:lang w:val="en-US" w:eastAsia="zh-CN"/>
        </w:rPr>
        <w:t>韶武府〔2024〕2号</w:t>
      </w:r>
    </w:p>
    <w:p w14:paraId="60C73F68">
      <w:pPr>
        <w:keepNext w:val="0"/>
        <w:keepLines w:val="0"/>
        <w:pageBreakBefore w:val="0"/>
        <w:kinsoku/>
        <w:wordWrap/>
        <w:overflowPunct/>
        <w:topLinePunct w:val="0"/>
        <w:autoSpaceDE/>
        <w:autoSpaceDN/>
        <w:bidi w:val="0"/>
        <w:adjustRightInd/>
        <w:snapToGrid/>
        <w:spacing w:line="600" w:lineRule="exact"/>
        <w:jc w:val="both"/>
        <w:textAlignment w:val="auto"/>
        <w:rPr>
          <w:rFonts w:hint="eastAsia" w:ascii="方正小标宋_GBK" w:hAnsi="方正小标宋_GBK" w:eastAsia="方正小标宋_GBK" w:cs="方正小标宋_GBK"/>
          <w:sz w:val="40"/>
          <w:szCs w:val="40"/>
        </w:rPr>
      </w:pPr>
    </w:p>
    <w:p w14:paraId="30C1CC0D">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北江航道扩能升级上延工程（武江段）项目拟征收</w:t>
      </w:r>
      <w:bookmarkStart w:id="2" w:name="_Hlk161936000"/>
      <w:r>
        <w:rPr>
          <w:rFonts w:hint="eastAsia" w:ascii="仿宋_GB2312" w:hAnsi="仿宋_GB2312" w:eastAsia="仿宋_GB2312" w:cs="仿宋_GB2312"/>
          <w:sz w:val="32"/>
          <w:szCs w:val="32"/>
        </w:rPr>
        <w:t>韶关市武江区</w:t>
      </w:r>
      <w:bookmarkStart w:id="3" w:name="_Hlk161936021"/>
      <w:r>
        <w:rPr>
          <w:rFonts w:hint="eastAsia" w:ascii="仿宋_GB2312" w:hAnsi="仿宋_GB2312" w:eastAsia="仿宋_GB2312" w:cs="仿宋_GB2312"/>
          <w:sz w:val="32"/>
          <w:szCs w:val="32"/>
        </w:rPr>
        <w:t>西河镇塘湾</w:t>
      </w:r>
      <w:r>
        <w:rPr>
          <w:rFonts w:hint="eastAsia" w:ascii="仿宋_GB2312" w:hAnsi="仿宋_GB2312" w:eastAsia="仿宋_GB2312" w:cs="仿宋_GB2312"/>
          <w:sz w:val="32"/>
          <w:szCs w:val="32"/>
          <w:highlight w:val="none"/>
          <w:lang w:val="en-US" w:eastAsia="zh-CN"/>
        </w:rPr>
        <w:t>股份</w:t>
      </w:r>
      <w:r>
        <w:rPr>
          <w:rFonts w:hint="eastAsia" w:ascii="仿宋_GB2312" w:hAnsi="仿宋_GB2312" w:eastAsia="仿宋_GB2312" w:cs="仿宋_GB2312"/>
          <w:sz w:val="32"/>
          <w:szCs w:val="32"/>
        </w:rPr>
        <w:t>经济联合社</w:t>
      </w:r>
      <w:bookmarkEnd w:id="3"/>
      <w:r>
        <w:rPr>
          <w:rFonts w:hint="eastAsia" w:ascii="仿宋_GB2312" w:hAnsi="仿宋_GB2312" w:eastAsia="仿宋_GB2312" w:cs="仿宋_GB2312"/>
          <w:sz w:val="32"/>
          <w:szCs w:val="32"/>
        </w:rPr>
        <w:t>、</w:t>
      </w:r>
      <w:bookmarkStart w:id="4" w:name="_Hlk161936033"/>
      <w:r>
        <w:rPr>
          <w:rFonts w:hint="eastAsia" w:ascii="仿宋_GB2312" w:hAnsi="仿宋_GB2312" w:eastAsia="仿宋_GB2312" w:cs="仿宋_GB2312"/>
          <w:sz w:val="32"/>
          <w:szCs w:val="32"/>
        </w:rPr>
        <w:t>西河镇红星经济联合社</w:t>
      </w:r>
      <w:bookmarkEnd w:id="2"/>
      <w:bookmarkEnd w:id="4"/>
      <w:r>
        <w:rPr>
          <w:rFonts w:hint="eastAsia" w:ascii="仿宋_GB2312" w:hAnsi="仿宋_GB2312" w:eastAsia="仿宋_GB2312" w:cs="仿宋_GB2312"/>
          <w:sz w:val="32"/>
          <w:szCs w:val="32"/>
        </w:rPr>
        <w:t>属下的集体土地1.3191公顷（折合19.7865亩）。为切实做好征地补偿安置工作，根据《中华人民共和国土地管理法》《中华人民共和国土地管理法实施条例》《广东省土地管理条例》等规定，制定《北江航道扩能升级上延工程（武江段）项目征收土地补偿安置方案》（详见附件1）、《北江航道扩能升级上延工程（武江段）项目被征地农民养老保障方案》（详见附件2），现将有关事项公告如下：</w:t>
      </w:r>
    </w:p>
    <w:p w14:paraId="5749A892">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640" w:firstLineChars="200"/>
        <w:jc w:val="both"/>
        <w:textAlignment w:val="baseline"/>
        <w:rPr>
          <w:rFonts w:hint="eastAsia" w:ascii="黑体" w:hAnsi="黑体" w:eastAsia="黑体" w:cs="黑体"/>
          <w:sz w:val="32"/>
          <w:szCs w:val="32"/>
          <w:lang w:eastAsia="zh-CN"/>
        </w:rPr>
      </w:pPr>
      <w:r>
        <w:rPr>
          <w:rFonts w:hint="eastAsia" w:ascii="黑体" w:hAnsi="黑体" w:eastAsia="黑体" w:cs="黑体"/>
          <w:sz w:val="32"/>
          <w:szCs w:val="32"/>
          <w:lang w:eastAsia="zh-CN"/>
        </w:rPr>
        <w:t>一、拟征地位置及范围</w:t>
      </w:r>
    </w:p>
    <w:p w14:paraId="2C10FB90">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韶关市武江区西河镇塘湾</w:t>
      </w:r>
      <w:r>
        <w:rPr>
          <w:rFonts w:hint="eastAsia" w:ascii="仿宋_GB2312" w:hAnsi="仿宋_GB2312" w:eastAsia="仿宋_GB2312" w:cs="仿宋_GB2312"/>
          <w:sz w:val="32"/>
          <w:szCs w:val="32"/>
          <w:highlight w:val="none"/>
          <w:lang w:val="en-US" w:eastAsia="zh-CN"/>
        </w:rPr>
        <w:t>股份</w:t>
      </w:r>
      <w:r>
        <w:rPr>
          <w:rFonts w:hint="eastAsia" w:ascii="仿宋_GB2312" w:hAnsi="仿宋_GB2312" w:eastAsia="仿宋_GB2312" w:cs="仿宋_GB2312"/>
          <w:sz w:val="32"/>
          <w:szCs w:val="32"/>
        </w:rPr>
        <w:t>经济联合社、西河镇红星经济联合社（用地四至范围详见附件3）。</w:t>
      </w:r>
    </w:p>
    <w:p w14:paraId="2145D7C4">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640" w:firstLineChars="200"/>
        <w:jc w:val="both"/>
        <w:textAlignment w:val="baseline"/>
        <w:rPr>
          <w:rFonts w:hint="eastAsia" w:ascii="黑体" w:hAnsi="黑体" w:eastAsia="黑体" w:cs="黑体"/>
          <w:sz w:val="32"/>
          <w:szCs w:val="32"/>
          <w:lang w:eastAsia="zh-CN"/>
        </w:rPr>
      </w:pPr>
      <w:r>
        <w:rPr>
          <w:rFonts w:hint="eastAsia" w:ascii="黑体" w:hAnsi="黑体" w:eastAsia="黑体" w:cs="黑体"/>
          <w:sz w:val="32"/>
          <w:szCs w:val="32"/>
          <w:lang w:eastAsia="zh-CN"/>
        </w:rPr>
        <w:t>二、征收土地目的</w:t>
      </w:r>
    </w:p>
    <w:p w14:paraId="1D2DC76B">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政府储备用地。</w:t>
      </w:r>
    </w:p>
    <w:p w14:paraId="7E49DDF8">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640" w:firstLineChars="200"/>
        <w:jc w:val="both"/>
        <w:textAlignment w:val="baseline"/>
        <w:rPr>
          <w:rFonts w:hint="eastAsia" w:ascii="黑体" w:hAnsi="黑体" w:eastAsia="黑体" w:cs="黑体"/>
          <w:sz w:val="32"/>
          <w:szCs w:val="32"/>
          <w:lang w:eastAsia="zh-CN"/>
        </w:rPr>
      </w:pPr>
      <w:r>
        <w:rPr>
          <w:rFonts w:hint="eastAsia" w:ascii="黑体" w:hAnsi="黑体" w:eastAsia="黑体" w:cs="黑体"/>
          <w:sz w:val="32"/>
          <w:szCs w:val="32"/>
          <w:lang w:eastAsia="zh-CN"/>
        </w:rPr>
        <w:t>三、拟征收土地现状</w:t>
      </w:r>
    </w:p>
    <w:p w14:paraId="69CF221E">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经对现状地类踏勘调查核准，拟征收的1.3191</w:t>
      </w:r>
      <w:r>
        <w:rPr>
          <w:rFonts w:hint="eastAsia" w:ascii="仿宋_GB2312" w:hAnsi="仿宋_GB2312" w:eastAsia="仿宋_GB2312" w:cs="仿宋_GB2312"/>
          <w:sz w:val="32"/>
          <w:szCs w:val="32"/>
          <w:lang w:val="en-US" w:eastAsia="zh-CN"/>
        </w:rPr>
        <w:t>公顷</w:t>
      </w:r>
      <w:r>
        <w:rPr>
          <w:rFonts w:hint="eastAsia" w:ascii="仿宋_GB2312" w:hAnsi="仿宋_GB2312" w:eastAsia="仿宋_GB2312" w:cs="仿宋_GB2312"/>
          <w:sz w:val="32"/>
          <w:szCs w:val="32"/>
          <w:lang w:eastAsia="zh-CN"/>
        </w:rPr>
        <w:t>（19.7865亩）集体土地中，含农村集体所有农用地</w:t>
      </w:r>
      <w:r>
        <w:rPr>
          <w:rFonts w:hint="eastAsia" w:ascii="仿宋_GB2312" w:hAnsi="仿宋_GB2312" w:eastAsia="仿宋_GB2312" w:cs="仿宋_GB2312"/>
          <w:color w:val="FF0000"/>
          <w:sz w:val="32"/>
          <w:szCs w:val="32"/>
          <w:highlight w:val="none"/>
          <w:lang w:eastAsia="zh-CN"/>
        </w:rPr>
        <w:t>1.2837公顷（19.2555亩），其中林地1.2837公顷（19.2555亩），建设用地0.0354公顷（0.5310亩）。</w:t>
      </w:r>
    </w:p>
    <w:p w14:paraId="1C5A56E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黑体" w:hAnsi="黑体" w:eastAsia="黑体" w:cs="黑体"/>
          <w:sz w:val="32"/>
          <w:szCs w:val="32"/>
          <w:lang w:eastAsia="zh-CN"/>
        </w:rPr>
      </w:pPr>
      <w:r>
        <w:rPr>
          <w:rFonts w:hint="eastAsia" w:ascii="黑体" w:hAnsi="黑体" w:eastAsia="黑体" w:cs="黑体"/>
          <w:sz w:val="32"/>
          <w:szCs w:val="32"/>
          <w:lang w:eastAsia="zh-CN"/>
        </w:rPr>
        <w:t>四、征地补偿标准</w:t>
      </w:r>
    </w:p>
    <w:p w14:paraId="0C27212E">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韶关市人民政府办公室关于印发韶关市浈江区、武江区集体土地征地拆迁补偿标准的通知》（韶府办〔2016〕76号）和《韶关市人民政府关于公布实施征收农用地区片综合地价的公告》确定的土地补偿费及安置补助费的标准执行。</w:t>
      </w:r>
    </w:p>
    <w:p w14:paraId="6CE43BD4">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黑体" w:hAnsi="黑体" w:eastAsia="黑体" w:cs="黑体"/>
          <w:sz w:val="32"/>
          <w:szCs w:val="32"/>
          <w:lang w:eastAsia="zh-CN"/>
        </w:rPr>
      </w:pPr>
      <w:r>
        <w:rPr>
          <w:rFonts w:hint="eastAsia" w:ascii="黑体" w:hAnsi="黑体" w:eastAsia="黑体" w:cs="黑体"/>
          <w:sz w:val="32"/>
          <w:szCs w:val="32"/>
          <w:lang w:eastAsia="zh-CN"/>
        </w:rPr>
        <w:t>五、安置方式和社会保障</w:t>
      </w:r>
    </w:p>
    <w:p w14:paraId="749EF78A">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pacing w:val="-23"/>
          <w:sz w:val="32"/>
          <w:szCs w:val="32"/>
        </w:rPr>
      </w:pPr>
      <w:r>
        <w:rPr>
          <w:rFonts w:hint="eastAsia" w:ascii="楷体_GB2312" w:hAnsi="楷体_GB2312" w:eastAsia="楷体_GB2312" w:cs="楷体_GB2312"/>
          <w:sz w:val="32"/>
          <w:szCs w:val="32"/>
        </w:rPr>
        <w:t>（一）货币安置。</w:t>
      </w:r>
      <w:r>
        <w:rPr>
          <w:rFonts w:hint="eastAsia" w:ascii="仿宋_GB2312" w:hAnsi="仿宋_GB2312" w:eastAsia="仿宋_GB2312" w:cs="仿宋_GB2312"/>
          <w:spacing w:val="-23"/>
          <w:sz w:val="32"/>
          <w:szCs w:val="32"/>
        </w:rPr>
        <w:t>已包含在上述土地补偿费和安置补助费中。</w:t>
      </w:r>
    </w:p>
    <w:p w14:paraId="13546EB8">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（二）留用地安置。</w:t>
      </w:r>
      <w:r>
        <w:rPr>
          <w:rFonts w:hint="eastAsia" w:ascii="仿宋_GB2312" w:hAnsi="仿宋_GB2312" w:eastAsia="仿宋_GB2312" w:cs="仿宋_GB2312"/>
          <w:sz w:val="32"/>
          <w:szCs w:val="32"/>
        </w:rPr>
        <w:t>根据《广东省自然资源厅关于推进征收农村集体土地留用地高效开发利用的通知》（粤自然资规字〔2020〕4号）和《韶关市人民政府办公室关于加强韶关市浈江区、武江区征收农村集体土地留用地安置管理工作的意见》（韶府办〔2016〕82号）规定，待项目建设用地批准后按征地面积15%的比例以折算货币方式进行留用地安置。</w:t>
      </w:r>
    </w:p>
    <w:p w14:paraId="60D87707">
      <w:pPr>
        <w:keepNext w:val="0"/>
        <w:keepLines w:val="0"/>
        <w:pageBreakBefore w:val="0"/>
        <w:widowControl/>
        <w:kinsoku w:val="0"/>
        <w:wordWrap/>
        <w:overflowPunct/>
        <w:topLinePunct w:val="0"/>
        <w:autoSpaceDE w:val="0"/>
        <w:autoSpaceDN w:val="0"/>
        <w:bidi w:val="0"/>
        <w:adjustRightInd w:val="0"/>
        <w:snapToGrid w:val="0"/>
        <w:spacing w:line="52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（三）社会保障安置。</w:t>
      </w:r>
      <w:r>
        <w:rPr>
          <w:rFonts w:hint="eastAsia" w:ascii="仿宋_GB2312" w:hAnsi="仿宋_GB2312" w:eastAsia="仿宋_GB2312" w:cs="仿宋_GB2312"/>
          <w:sz w:val="32"/>
          <w:szCs w:val="32"/>
        </w:rPr>
        <w:t>根据《广东省人民政府办公厅转发省人力资源社会保障厅关于进一步完善我省被征地农民养老保障政策意见的通知》（粤府办〔2021〕22号）和《韶关市人民政府办公室关于进一步明确韶关市被征地农民养老保障工作的通知》（韶府办发函〔2021〕179号）等规定，落实北江航道扩能升级上延工程（武江段）项目被征地农民养老保障。</w:t>
      </w:r>
    </w:p>
    <w:p w14:paraId="608FA4D2">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rPr>
      </w:pPr>
      <w:bookmarkStart w:id="5" w:name="_Hlk161764395"/>
      <w:r>
        <w:rPr>
          <w:rFonts w:hint="eastAsia" w:ascii="仿宋_GB2312" w:hAnsi="仿宋_GB2312" w:eastAsia="仿宋_GB2312" w:cs="仿宋_GB2312"/>
          <w:sz w:val="32"/>
          <w:szCs w:val="32"/>
        </w:rPr>
        <w:t>1.对北江航道扩能升级上延工程（武江段）项目涉及的被征地农民实施社会养老保障。</w:t>
      </w:r>
    </w:p>
    <w:p w14:paraId="2271C27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2.征地社保费补贴对象：北江航道扩能升级上延工程（武江段）项目涉及农村集体经济组织实行集体统一经营土地。</w:t>
      </w:r>
    </w:p>
    <w:p w14:paraId="5A3B863D">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3.征地社保费筹集。征地面积19.7865亩，按全市平均每亩征收农用地区片综合地价2.8459万元的33%</w:t>
      </w:r>
      <w:r>
        <w:rPr>
          <w:rFonts w:hint="eastAsia" w:ascii="仿宋_GB2312" w:hAnsi="仿宋_GB2312" w:eastAsia="仿宋_GB2312" w:cs="仿宋_GB2312"/>
          <w:sz w:val="32"/>
          <w:szCs w:val="32"/>
          <w:highlight w:val="none"/>
          <w:lang w:val="en-US" w:eastAsia="zh-CN"/>
        </w:rPr>
        <w:t>比例</w:t>
      </w:r>
      <w:r>
        <w:rPr>
          <w:rFonts w:hint="eastAsia" w:ascii="仿宋_GB2312" w:hAnsi="仿宋_GB2312" w:eastAsia="仿宋_GB2312" w:cs="仿宋_GB2312"/>
          <w:sz w:val="32"/>
          <w:szCs w:val="32"/>
        </w:rPr>
        <w:t>计提征地社保费，即每征一亩地按0.94万元的标准计提征地社保费，需计提费用18.5993</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w:t>
      </w:r>
      <w:bookmarkEnd w:id="5"/>
    </w:p>
    <w:p w14:paraId="0D76C0A1">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黑体" w:hAnsi="黑体" w:eastAsia="黑体" w:cs="黑体"/>
          <w:sz w:val="32"/>
          <w:szCs w:val="32"/>
          <w:lang w:eastAsia="zh-CN"/>
        </w:rPr>
      </w:pPr>
      <w:r>
        <w:rPr>
          <w:rFonts w:hint="eastAsia" w:ascii="黑体" w:hAnsi="黑体" w:eastAsia="黑体" w:cs="黑体"/>
          <w:sz w:val="32"/>
          <w:szCs w:val="32"/>
          <w:lang w:eastAsia="zh-CN"/>
        </w:rPr>
        <w:t>六、补偿登记期限</w:t>
      </w:r>
    </w:p>
    <w:p w14:paraId="1EDACDBD">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被征收土地所有权人及相关权利人应当在本公告规定的期限内，持土地权属证书或其他有关证明材料，到指定的地点办理征地补偿登记手续。</w:t>
      </w:r>
      <w:r>
        <w:rPr>
          <w:rFonts w:hint="eastAsia" w:ascii="仿宋_GB2312" w:hAnsi="仿宋_GB2312" w:eastAsia="仿宋_GB2312" w:cs="仿宋_GB2312"/>
          <w:sz w:val="32"/>
          <w:szCs w:val="32"/>
          <w:lang w:val="en-US" w:eastAsia="zh-CN"/>
        </w:rPr>
        <w:t>凡</w:t>
      </w:r>
      <w:r>
        <w:rPr>
          <w:rFonts w:hint="eastAsia" w:ascii="仿宋_GB2312" w:hAnsi="仿宋_GB2312" w:eastAsia="仿宋_GB2312" w:cs="仿宋_GB2312"/>
          <w:sz w:val="32"/>
          <w:szCs w:val="32"/>
        </w:rPr>
        <w:t>未如期办理征地补偿登记手续的，其补偿内容以土地现状调查结果为准。凡从2023年9月20日《韶关市人民政府征收土地预公告》（韶府征启〔2023〕13号）发布之日起，被征地单位和个人抢栽抢种的农作物或抢建的建筑物，不列入补偿范围。</w:t>
      </w:r>
    </w:p>
    <w:tbl>
      <w:tblPr>
        <w:tblStyle w:val="12"/>
        <w:tblW w:w="90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2"/>
        <w:gridCol w:w="2258"/>
        <w:gridCol w:w="2259"/>
        <w:gridCol w:w="2263"/>
      </w:tblGrid>
      <w:tr w14:paraId="2B36A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2262" w:type="dxa"/>
            <w:vAlign w:val="center"/>
          </w:tcPr>
          <w:p w14:paraId="58C8A3E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被征地农村集体经济组织</w:t>
            </w:r>
          </w:p>
        </w:tc>
        <w:tc>
          <w:tcPr>
            <w:tcW w:w="2258" w:type="dxa"/>
            <w:vAlign w:val="center"/>
          </w:tcPr>
          <w:p w14:paraId="5ECDCB0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登记时间（15天）</w:t>
            </w:r>
          </w:p>
        </w:tc>
        <w:tc>
          <w:tcPr>
            <w:tcW w:w="2259" w:type="dxa"/>
            <w:vAlign w:val="center"/>
          </w:tcPr>
          <w:p w14:paraId="7626F77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登记地点</w:t>
            </w:r>
          </w:p>
        </w:tc>
        <w:tc>
          <w:tcPr>
            <w:tcW w:w="2263" w:type="dxa"/>
            <w:vAlign w:val="center"/>
          </w:tcPr>
          <w:p w14:paraId="66202C1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复核时间（5天）</w:t>
            </w:r>
          </w:p>
        </w:tc>
      </w:tr>
      <w:tr w14:paraId="3FF7C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0" w:hRule="atLeast"/>
        </w:trPr>
        <w:tc>
          <w:tcPr>
            <w:tcW w:w="2262" w:type="dxa"/>
            <w:vAlign w:val="center"/>
          </w:tcPr>
          <w:p w14:paraId="5DEE735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韶关市武江区西河镇塘湾</w:t>
            </w:r>
            <w:r>
              <w:rPr>
                <w:rFonts w:hint="eastAsia" w:ascii="仿宋_GB2312" w:hAnsi="仿宋_GB2312" w:eastAsia="仿宋_GB2312" w:cs="仿宋_GB2312"/>
                <w:sz w:val="28"/>
                <w:szCs w:val="28"/>
                <w:highlight w:val="none"/>
                <w:lang w:val="en-US" w:eastAsia="zh-CN"/>
              </w:rPr>
              <w:t>股份</w:t>
            </w:r>
            <w:r>
              <w:rPr>
                <w:rFonts w:hint="eastAsia" w:ascii="仿宋_GB2312" w:hAnsi="仿宋_GB2312" w:eastAsia="仿宋_GB2312" w:cs="仿宋_GB2312"/>
                <w:sz w:val="28"/>
                <w:szCs w:val="28"/>
                <w:lang w:eastAsia="zh-CN"/>
              </w:rPr>
              <w:t>经济联合社</w:t>
            </w:r>
          </w:p>
        </w:tc>
        <w:tc>
          <w:tcPr>
            <w:tcW w:w="2258" w:type="dxa"/>
            <w:vAlign w:val="center"/>
          </w:tcPr>
          <w:p w14:paraId="2B23632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日至202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日</w:t>
            </w:r>
          </w:p>
        </w:tc>
        <w:tc>
          <w:tcPr>
            <w:tcW w:w="2259" w:type="dxa"/>
            <w:vAlign w:val="center"/>
          </w:tcPr>
          <w:p w14:paraId="011CA94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西河</w:t>
            </w:r>
            <w:r>
              <w:rPr>
                <w:rFonts w:hint="eastAsia" w:ascii="仿宋_GB2312" w:hAnsi="仿宋_GB2312" w:eastAsia="仿宋_GB2312" w:cs="仿宋_GB2312"/>
                <w:sz w:val="28"/>
                <w:szCs w:val="28"/>
              </w:rPr>
              <w:t>镇人民政府</w:t>
            </w:r>
          </w:p>
        </w:tc>
        <w:tc>
          <w:tcPr>
            <w:tcW w:w="2263" w:type="dxa"/>
            <w:vAlign w:val="center"/>
          </w:tcPr>
          <w:p w14:paraId="69CA55D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21</w:t>
            </w:r>
            <w:r>
              <w:rPr>
                <w:rFonts w:hint="eastAsia" w:ascii="仿宋_GB2312" w:hAnsi="仿宋_GB2312" w:eastAsia="仿宋_GB2312" w:cs="仿宋_GB2312"/>
                <w:sz w:val="28"/>
                <w:szCs w:val="28"/>
              </w:rPr>
              <w:t>日至202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sz w:val="28"/>
                <w:szCs w:val="28"/>
              </w:rPr>
              <w:t>日</w:t>
            </w:r>
          </w:p>
        </w:tc>
      </w:tr>
      <w:tr w14:paraId="46E88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trPr>
        <w:tc>
          <w:tcPr>
            <w:tcW w:w="2262" w:type="dxa"/>
            <w:vAlign w:val="center"/>
          </w:tcPr>
          <w:p w14:paraId="1C03874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韶关市武江区西河镇红星经济联合社</w:t>
            </w:r>
          </w:p>
        </w:tc>
        <w:tc>
          <w:tcPr>
            <w:tcW w:w="2258" w:type="dxa"/>
            <w:vAlign w:val="center"/>
          </w:tcPr>
          <w:p w14:paraId="40E5D39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日至202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日</w:t>
            </w:r>
          </w:p>
        </w:tc>
        <w:tc>
          <w:tcPr>
            <w:tcW w:w="2259" w:type="dxa"/>
            <w:vAlign w:val="center"/>
          </w:tcPr>
          <w:p w14:paraId="5B5BCD3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西河</w:t>
            </w:r>
            <w:r>
              <w:rPr>
                <w:rFonts w:hint="eastAsia" w:ascii="仿宋_GB2312" w:hAnsi="仿宋_GB2312" w:eastAsia="仿宋_GB2312" w:cs="仿宋_GB2312"/>
                <w:sz w:val="28"/>
                <w:szCs w:val="28"/>
              </w:rPr>
              <w:t>镇人民政府</w:t>
            </w:r>
          </w:p>
        </w:tc>
        <w:tc>
          <w:tcPr>
            <w:tcW w:w="2263" w:type="dxa"/>
            <w:vAlign w:val="center"/>
          </w:tcPr>
          <w:p w14:paraId="3A272BF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21</w:t>
            </w:r>
            <w:r>
              <w:rPr>
                <w:rFonts w:hint="eastAsia" w:ascii="仿宋_GB2312" w:hAnsi="仿宋_GB2312" w:eastAsia="仿宋_GB2312" w:cs="仿宋_GB2312"/>
                <w:sz w:val="28"/>
                <w:szCs w:val="28"/>
              </w:rPr>
              <w:t>日至202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sz w:val="28"/>
                <w:szCs w:val="28"/>
              </w:rPr>
              <w:t>日</w:t>
            </w:r>
          </w:p>
        </w:tc>
      </w:tr>
    </w:tbl>
    <w:p w14:paraId="038CC438">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黑体" w:hAnsi="黑体" w:eastAsia="黑体" w:cs="黑体"/>
          <w:sz w:val="32"/>
          <w:szCs w:val="32"/>
          <w:lang w:eastAsia="zh-CN"/>
        </w:rPr>
      </w:pPr>
      <w:r>
        <w:rPr>
          <w:rFonts w:hint="eastAsia" w:ascii="黑体" w:hAnsi="黑体" w:eastAsia="黑体" w:cs="黑体"/>
          <w:sz w:val="32"/>
          <w:szCs w:val="32"/>
          <w:lang w:eastAsia="zh-CN"/>
        </w:rPr>
        <w:t>七、公告时间</w:t>
      </w:r>
    </w:p>
    <w:p w14:paraId="7B4B2242">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日至202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日(30日历天)。</w:t>
      </w:r>
    </w:p>
    <w:p w14:paraId="3373F1D9">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黑体" w:hAnsi="黑体" w:eastAsia="黑体" w:cs="黑体"/>
          <w:sz w:val="32"/>
          <w:szCs w:val="32"/>
          <w:lang w:eastAsia="zh-CN"/>
        </w:rPr>
      </w:pPr>
      <w:r>
        <w:rPr>
          <w:rFonts w:hint="eastAsia" w:ascii="黑体" w:hAnsi="黑体" w:eastAsia="黑体" w:cs="黑体"/>
          <w:sz w:val="32"/>
          <w:szCs w:val="32"/>
          <w:lang w:eastAsia="zh-CN"/>
        </w:rPr>
        <w:t>八、异议反馈渠道</w:t>
      </w:r>
    </w:p>
    <w:p w14:paraId="06DC1F7C">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告公示期间，如多数被征地的农村集体经济组织成员认为公告内容不符合法律、法规规定的，被征地村集体经济组织及其成员和其他利害关系人可在公示期限内，出具联合签名的申请书向武江区自然资源局书面提出意见（地址：韶关市武江区惠民南路42幢，联系人：李健，联系电话：0751-8776597），武江区政府将根据申请组织召开听证，并根据法律、法规的规定和听证会情况修改方案。</w:t>
      </w:r>
    </w:p>
    <w:p w14:paraId="1F7BB04E">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特此公告。</w:t>
      </w:r>
    </w:p>
    <w:p w14:paraId="173FFDAE">
      <w:pPr>
        <w:pStyle w:val="2"/>
        <w:rPr>
          <w:rFonts w:hint="eastAsia"/>
          <w:lang w:eastAsia="zh-CN"/>
        </w:rPr>
      </w:pPr>
    </w:p>
    <w:p w14:paraId="762F5260">
      <w:pPr>
        <w:keepNext w:val="0"/>
        <w:keepLines w:val="0"/>
        <w:pageBreakBefore w:val="0"/>
        <w:widowControl/>
        <w:kinsoku w:val="0"/>
        <w:wordWrap/>
        <w:overflowPunct/>
        <w:topLinePunct w:val="0"/>
        <w:autoSpaceDE w:val="0"/>
        <w:autoSpaceDN w:val="0"/>
        <w:bidi w:val="0"/>
        <w:adjustRightInd w:val="0"/>
        <w:snapToGrid w:val="0"/>
        <w:spacing w:line="560" w:lineRule="exact"/>
        <w:ind w:left="2116" w:leftChars="304" w:hanging="1478" w:hangingChars="462"/>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附件：1.北江航道扩能升级上延工程（武江段）项目征收土地补偿安置方案</w:t>
      </w:r>
    </w:p>
    <w:p w14:paraId="01319A44">
      <w:pPr>
        <w:keepNext w:val="0"/>
        <w:keepLines w:val="0"/>
        <w:pageBreakBefore w:val="0"/>
        <w:widowControl/>
        <w:kinsoku w:val="0"/>
        <w:wordWrap/>
        <w:overflowPunct/>
        <w:topLinePunct w:val="0"/>
        <w:autoSpaceDE w:val="0"/>
        <w:autoSpaceDN w:val="0"/>
        <w:bidi w:val="0"/>
        <w:adjustRightInd w:val="0"/>
        <w:snapToGrid w:val="0"/>
        <w:spacing w:line="560" w:lineRule="exact"/>
        <w:ind w:left="1916" w:leftChars="760" w:hanging="320" w:hangingChars="1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2.北江航道扩能升级上延工程（武江段）项目被征地农民养老保障方案</w:t>
      </w:r>
    </w:p>
    <w:p w14:paraId="318C9845">
      <w:pPr>
        <w:keepNext w:val="0"/>
        <w:keepLines w:val="0"/>
        <w:pageBreakBefore w:val="0"/>
        <w:widowControl/>
        <w:kinsoku w:val="0"/>
        <w:wordWrap/>
        <w:overflowPunct/>
        <w:topLinePunct w:val="0"/>
        <w:autoSpaceDE w:val="0"/>
        <w:autoSpaceDN w:val="0"/>
        <w:bidi w:val="0"/>
        <w:adjustRightInd w:val="0"/>
        <w:snapToGrid w:val="0"/>
        <w:spacing w:line="560" w:lineRule="exact"/>
        <w:ind w:left="1472" w:leftChars="701" w:firstLine="204" w:firstLineChars="64"/>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3.征地示意图</w:t>
      </w:r>
    </w:p>
    <w:p w14:paraId="61B4924F">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lang w:eastAsia="zh-CN"/>
        </w:rPr>
      </w:pPr>
    </w:p>
    <w:p w14:paraId="68038F1E">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lang w:eastAsia="zh-CN"/>
        </w:rPr>
      </w:pPr>
    </w:p>
    <w:p w14:paraId="18038727">
      <w:pPr>
        <w:pStyle w:val="2"/>
        <w:rPr>
          <w:rFonts w:hint="eastAsia"/>
          <w:lang w:eastAsia="zh-CN"/>
        </w:rPr>
      </w:pPr>
    </w:p>
    <w:p w14:paraId="01773FBB">
      <w:pPr>
        <w:keepNext w:val="0"/>
        <w:keepLines w:val="0"/>
        <w:pageBreakBefore w:val="0"/>
        <w:widowControl/>
        <w:kinsoku w:val="0"/>
        <w:wordWrap w:val="0"/>
        <w:overflowPunct/>
        <w:topLinePunct w:val="0"/>
        <w:autoSpaceDE w:val="0"/>
        <w:autoSpaceDN w:val="0"/>
        <w:bidi w:val="0"/>
        <w:adjustRightInd w:val="0"/>
        <w:snapToGrid w:val="0"/>
        <w:spacing w:line="560" w:lineRule="exact"/>
        <w:ind w:left="0" w:leftChars="0" w:firstLine="640" w:firstLineChars="200"/>
        <w:jc w:val="right"/>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韶关市武江区人民政府</w:t>
      </w:r>
      <w:r>
        <w:rPr>
          <w:rFonts w:hint="eastAsia" w:ascii="仿宋_GB2312" w:hAnsi="仿宋_GB2312" w:eastAsia="仿宋_GB2312" w:cs="仿宋_GB2312"/>
          <w:sz w:val="32"/>
          <w:szCs w:val="32"/>
          <w:lang w:val="en-US" w:eastAsia="zh-CN"/>
        </w:rPr>
        <w:t xml:space="preserve">    </w:t>
      </w:r>
    </w:p>
    <w:p w14:paraId="55CD8C5A">
      <w:pPr>
        <w:keepNext w:val="0"/>
        <w:keepLines w:val="0"/>
        <w:pageBreakBefore w:val="0"/>
        <w:widowControl/>
        <w:kinsoku w:val="0"/>
        <w:wordWrap w:val="0"/>
        <w:overflowPunct/>
        <w:topLinePunct w:val="0"/>
        <w:autoSpaceDE w:val="0"/>
        <w:autoSpaceDN w:val="0"/>
        <w:bidi w:val="0"/>
        <w:adjustRightInd w:val="0"/>
        <w:snapToGrid w:val="0"/>
        <w:spacing w:line="560" w:lineRule="exact"/>
        <w:ind w:left="0" w:leftChars="0" w:firstLine="640" w:firstLineChars="200"/>
        <w:jc w:val="righ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p w14:paraId="0D9B423D">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right"/>
        <w:textAlignment w:val="baseline"/>
        <w:rPr>
          <w:rFonts w:hint="eastAsia" w:ascii="仿宋_GB2312" w:hAnsi="仿宋_GB2312" w:eastAsia="仿宋_GB2312" w:cs="仿宋_GB2312"/>
          <w:sz w:val="32"/>
          <w:szCs w:val="32"/>
          <w:lang w:val="en-US" w:eastAsia="zh-CN"/>
        </w:rPr>
        <w:sectPr>
          <w:footerReference r:id="rId3" w:type="default"/>
          <w:pgSz w:w="11906" w:h="16839"/>
          <w:pgMar w:top="2098" w:right="1474" w:bottom="1757" w:left="1587" w:header="850" w:footer="1587" w:gutter="0"/>
          <w:pgNumType w:fmt="numberInDash"/>
          <w:cols w:space="0" w:num="1"/>
          <w:rtlGutter w:val="0"/>
          <w:docGrid w:linePitch="0" w:charSpace="0"/>
        </w:sectPr>
      </w:pPr>
    </w:p>
    <w:p w14:paraId="5E88C259">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ascii="黑体" w:hAnsi="黑体" w:eastAsia="黑体" w:cs="黑体"/>
          <w:bCs/>
          <w:sz w:val="32"/>
          <w:szCs w:val="32"/>
        </w:rPr>
      </w:pPr>
      <w:r>
        <w:rPr>
          <w:rFonts w:hint="eastAsia" w:ascii="黑体" w:hAnsi="黑体" w:eastAsia="黑体" w:cs="黑体"/>
          <w:bCs/>
          <w:sz w:val="32"/>
          <w:szCs w:val="32"/>
        </w:rPr>
        <w:t>附件1</w:t>
      </w:r>
    </w:p>
    <w:p w14:paraId="3909C4C9">
      <w:pPr>
        <w:keepNext w:val="0"/>
        <w:keepLines w:val="0"/>
        <w:pageBreakBefore w:val="0"/>
        <w:widowControl/>
        <w:kinsoku w:val="0"/>
        <w:wordWrap/>
        <w:overflowPunct/>
        <w:topLinePunct w:val="0"/>
        <w:autoSpaceDE w:val="0"/>
        <w:autoSpaceDN w:val="0"/>
        <w:bidi w:val="0"/>
        <w:adjustRightInd w:val="0"/>
        <w:snapToGrid w:val="0"/>
        <w:spacing w:line="600" w:lineRule="exact"/>
        <w:textAlignment w:val="baseline"/>
        <w:rPr>
          <w:rFonts w:ascii="宋体" w:hAnsi="宋体"/>
          <w:b/>
          <w:sz w:val="44"/>
          <w:szCs w:val="44"/>
        </w:rPr>
      </w:pPr>
    </w:p>
    <w:p w14:paraId="07FA7DBA">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宋体" w:eastAsia="方正小标宋简体" w:cs="宋体"/>
          <w:bCs/>
          <w:sz w:val="44"/>
          <w:szCs w:val="44"/>
        </w:rPr>
      </w:pPr>
      <w:r>
        <w:rPr>
          <w:rFonts w:hint="eastAsia" w:ascii="方正小标宋简体" w:hAnsi="宋体" w:eastAsia="方正小标宋简体" w:cs="宋体"/>
          <w:bCs/>
          <w:sz w:val="44"/>
          <w:szCs w:val="44"/>
        </w:rPr>
        <w:t>北江航道扩能升级上延工程（武江段）项目</w:t>
      </w:r>
    </w:p>
    <w:p w14:paraId="1C491309">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征收土地补偿安置方案</w:t>
      </w:r>
    </w:p>
    <w:p w14:paraId="2A5BC724">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ascii="仿宋_GB2312" w:hAnsi="仿宋_GB2312" w:eastAsia="仿宋_GB2312" w:cs="仿宋_GB2312"/>
          <w:b/>
          <w:sz w:val="32"/>
          <w:szCs w:val="32"/>
        </w:rPr>
      </w:pPr>
    </w:p>
    <w:p w14:paraId="2367F54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ascii="仿宋_GB2312" w:hAnsi="仿宋_GB2312" w:eastAsia="仿宋_GB2312" w:cs="仿宋_GB2312"/>
          <w:sz w:val="32"/>
          <w:szCs w:val="32"/>
        </w:rPr>
      </w:pPr>
      <w:r>
        <w:rPr>
          <w:rFonts w:hint="eastAsia" w:ascii="仿宋_GB2312" w:hAnsi="仿宋_GB2312" w:eastAsia="仿宋_GB2312" w:cs="仿宋_GB2312"/>
          <w:sz w:val="32"/>
          <w:szCs w:val="32"/>
        </w:rPr>
        <w:t>为实施韶关市武江区城镇建设规划，完善城市功能，改善城市环境，促进经济、文化发展，我区拟征收韶关市武江区西河镇塘湾</w:t>
      </w:r>
      <w:r>
        <w:rPr>
          <w:rFonts w:hint="eastAsia" w:ascii="仿宋_GB2312" w:hAnsi="仿宋_GB2312" w:eastAsia="仿宋_GB2312" w:cs="仿宋_GB2312"/>
          <w:sz w:val="32"/>
          <w:szCs w:val="32"/>
          <w:highlight w:val="none"/>
          <w:lang w:val="en-US" w:eastAsia="zh-CN"/>
        </w:rPr>
        <w:t>股份</w:t>
      </w:r>
      <w:r>
        <w:rPr>
          <w:rFonts w:hint="eastAsia" w:ascii="仿宋_GB2312" w:hAnsi="仿宋_GB2312" w:eastAsia="仿宋_GB2312" w:cs="仿宋_GB2312"/>
          <w:sz w:val="32"/>
          <w:szCs w:val="32"/>
        </w:rPr>
        <w:t>经济联合社，韶关市武江区西河镇红星经济联合社属下的集体土地1.319</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公顷。</w:t>
      </w:r>
      <w:r>
        <w:rPr>
          <w:rFonts w:ascii="仿宋_GB2312" w:hAnsi="仿宋_GB2312" w:eastAsia="仿宋_GB2312" w:cs="仿宋_GB2312"/>
          <w:sz w:val="32"/>
          <w:szCs w:val="32"/>
        </w:rPr>
        <w:t>依照《中华人民共和国土地管理法》第二条、第四十五条、第四十七条</w:t>
      </w:r>
      <w:r>
        <w:rPr>
          <w:rFonts w:hint="eastAsia" w:ascii="仿宋_GB2312" w:hAnsi="仿宋_GB2312" w:eastAsia="仿宋_GB2312" w:cs="仿宋_GB2312"/>
          <w:sz w:val="32"/>
          <w:szCs w:val="32"/>
        </w:rPr>
        <w:t>，以及《广东省土地管理</w:t>
      </w:r>
      <w:r>
        <w:rPr>
          <w:rFonts w:hint="eastAsia" w:ascii="仿宋_GB2312" w:hAnsi="仿宋_GB2312" w:eastAsia="仿宋_GB2312" w:cs="仿宋_GB2312"/>
          <w:sz w:val="32"/>
          <w:szCs w:val="32"/>
          <w:lang w:val="en-US" w:eastAsia="zh-CN"/>
        </w:rPr>
        <w:t>条例</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等有关规定精神，结合我市实际情况，</w:t>
      </w:r>
      <w:r>
        <w:rPr>
          <w:rFonts w:hint="eastAsia" w:ascii="仿宋_GB2312" w:hAnsi="仿宋_GB2312" w:eastAsia="仿宋_GB2312" w:cs="仿宋_GB2312"/>
          <w:sz w:val="32"/>
          <w:szCs w:val="32"/>
        </w:rPr>
        <w:t>制定本</w:t>
      </w:r>
      <w:r>
        <w:rPr>
          <w:rFonts w:ascii="仿宋_GB2312" w:hAnsi="仿宋_GB2312" w:eastAsia="仿宋_GB2312" w:cs="仿宋_GB2312"/>
          <w:sz w:val="32"/>
          <w:szCs w:val="32"/>
        </w:rPr>
        <w:t>征地补偿安置方案，具体如下：</w:t>
      </w:r>
    </w:p>
    <w:p w14:paraId="61DB162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一、征收集体土地情况</w:t>
      </w:r>
    </w:p>
    <w:p w14:paraId="4F02C805">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（一）拟征收韶关市武江区西河镇塘湾</w:t>
      </w:r>
      <w:r>
        <w:rPr>
          <w:rFonts w:hint="eastAsia" w:ascii="仿宋_GB2312" w:hAnsi="仿宋_GB2312" w:eastAsia="仿宋_GB2312" w:cs="仿宋_GB2312"/>
          <w:sz w:val="32"/>
          <w:szCs w:val="32"/>
          <w:highlight w:val="none"/>
          <w:lang w:val="en-US" w:eastAsia="zh-CN"/>
        </w:rPr>
        <w:t>股份</w:t>
      </w:r>
      <w:r>
        <w:rPr>
          <w:rFonts w:hint="eastAsia" w:ascii="仿宋_GB2312" w:hAnsi="仿宋_GB2312" w:eastAsia="仿宋_GB2312" w:cs="仿宋_GB2312"/>
          <w:sz w:val="32"/>
          <w:szCs w:val="32"/>
        </w:rPr>
        <w:t>经济联合社，韶关市武江区西河镇红星经济联合社属下集体土地总面积1.319</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公顷，现状地类为农用地1.</w:t>
      </w:r>
      <w:r>
        <w:rPr>
          <w:rFonts w:ascii="仿宋_GB2312" w:hAnsi="仿宋_GB2312" w:eastAsia="仿宋_GB2312" w:cs="仿宋_GB2312"/>
          <w:sz w:val="32"/>
          <w:szCs w:val="32"/>
        </w:rPr>
        <w:t>0407</w:t>
      </w:r>
      <w:r>
        <w:rPr>
          <w:rFonts w:hint="eastAsia" w:ascii="仿宋_GB2312" w:hAnsi="仿宋_GB2312" w:eastAsia="仿宋_GB2312" w:cs="仿宋_GB2312"/>
          <w:sz w:val="32"/>
          <w:szCs w:val="32"/>
        </w:rPr>
        <w:t>公顷</w:t>
      </w:r>
      <w:r>
        <w:rPr>
          <w:rFonts w:hint="eastAsia" w:ascii="仿宋_GB2312" w:hAnsi="仿宋_GB2312" w:eastAsia="仿宋_GB2312" w:cs="仿宋_GB2312"/>
          <w:sz w:val="32"/>
          <w:szCs w:val="32"/>
          <w:lang w:val="en"/>
        </w:rPr>
        <w:t>（</w:t>
      </w:r>
      <w:r>
        <w:rPr>
          <w:rFonts w:hint="eastAsia" w:ascii="仿宋_GB2312" w:hAnsi="仿宋_GB2312" w:eastAsia="仿宋_GB2312" w:cs="仿宋_GB2312"/>
          <w:sz w:val="32"/>
          <w:szCs w:val="32"/>
        </w:rPr>
        <w:t>其中林地1.</w:t>
      </w:r>
      <w:r>
        <w:rPr>
          <w:rFonts w:ascii="仿宋_GB2312" w:hAnsi="仿宋_GB2312" w:eastAsia="仿宋_GB2312" w:cs="仿宋_GB2312"/>
          <w:sz w:val="32"/>
          <w:szCs w:val="32"/>
        </w:rPr>
        <w:t>0407</w:t>
      </w:r>
      <w:r>
        <w:rPr>
          <w:rFonts w:hint="eastAsia" w:ascii="仿宋_GB2312" w:hAnsi="仿宋_GB2312" w:eastAsia="仿宋_GB2312" w:cs="仿宋_GB2312"/>
          <w:sz w:val="32"/>
          <w:szCs w:val="32"/>
        </w:rPr>
        <w:t>公顷）、建设用地0.</w:t>
      </w:r>
      <w:r>
        <w:rPr>
          <w:rFonts w:ascii="仿宋_GB2312" w:hAnsi="仿宋_GB2312" w:eastAsia="仿宋_GB2312" w:cs="仿宋_GB2312"/>
          <w:sz w:val="32"/>
          <w:szCs w:val="32"/>
        </w:rPr>
        <w:t>2784</w:t>
      </w:r>
      <w:r>
        <w:rPr>
          <w:rFonts w:hint="eastAsia" w:ascii="仿宋_GB2312" w:hAnsi="仿宋_GB2312" w:eastAsia="仿宋_GB2312" w:cs="仿宋_GB2312"/>
          <w:sz w:val="32"/>
          <w:szCs w:val="32"/>
        </w:rPr>
        <w:t>公顷</w:t>
      </w:r>
      <w:r>
        <w:rPr>
          <w:rFonts w:hint="eastAsia" w:ascii="仿宋_GB2312" w:hAnsi="仿宋_GB2312" w:eastAsia="仿宋_GB2312" w:cs="仿宋_GB2312"/>
          <w:sz w:val="32"/>
          <w:szCs w:val="32"/>
          <w:lang w:val="zh-CN"/>
        </w:rPr>
        <w:t>。</w:t>
      </w:r>
    </w:p>
    <w:p w14:paraId="202AAF4B">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（二）根据用地报批要求，</w:t>
      </w:r>
      <w:r>
        <w:rPr>
          <w:rFonts w:hint="eastAsia" w:ascii="仿宋_GB2312" w:hAnsi="仿宋_GB2312" w:eastAsia="仿宋_GB2312" w:cs="仿宋_GB2312"/>
          <w:color w:val="FF0000"/>
          <w:sz w:val="32"/>
          <w:szCs w:val="32"/>
        </w:rPr>
        <w:t>上述1.319</w:t>
      </w:r>
      <w:r>
        <w:rPr>
          <w:rFonts w:ascii="仿宋_GB2312" w:hAnsi="仿宋_GB2312" w:eastAsia="仿宋_GB2312" w:cs="仿宋_GB2312"/>
          <w:color w:val="FF0000"/>
          <w:sz w:val="32"/>
          <w:szCs w:val="32"/>
        </w:rPr>
        <w:t>1</w:t>
      </w:r>
      <w:r>
        <w:rPr>
          <w:rFonts w:hint="eastAsia" w:ascii="仿宋_GB2312" w:hAnsi="仿宋_GB2312" w:eastAsia="仿宋_GB2312" w:cs="仿宋_GB2312"/>
          <w:color w:val="FF0000"/>
          <w:sz w:val="32"/>
          <w:szCs w:val="32"/>
        </w:rPr>
        <w:t>公顷的报批地类为农用地1.2837公顷</w:t>
      </w:r>
      <w:r>
        <w:rPr>
          <w:rFonts w:hint="eastAsia" w:ascii="仿宋_GB2312" w:hAnsi="仿宋_GB2312" w:eastAsia="仿宋_GB2312" w:cs="仿宋_GB2312"/>
          <w:color w:val="FF0000"/>
          <w:sz w:val="32"/>
          <w:szCs w:val="32"/>
          <w:lang w:val="en"/>
        </w:rPr>
        <w:t>（</w:t>
      </w:r>
      <w:r>
        <w:rPr>
          <w:rFonts w:hint="eastAsia" w:ascii="仿宋_GB2312" w:hAnsi="仿宋_GB2312" w:eastAsia="仿宋_GB2312" w:cs="仿宋_GB2312"/>
          <w:color w:val="FF0000"/>
          <w:sz w:val="32"/>
          <w:szCs w:val="32"/>
        </w:rPr>
        <w:t>其中林地1.2837公顷）、建设用地0.0354公顷。</w:t>
      </w:r>
      <w:r>
        <w:rPr>
          <w:rFonts w:hint="eastAsia" w:ascii="仿宋_GB2312" w:hAnsi="仿宋_GB2312" w:eastAsia="仿宋_GB2312" w:cs="仿宋_GB2312"/>
          <w:sz w:val="32"/>
          <w:szCs w:val="32"/>
        </w:rPr>
        <w:t>征地补偿费用根据报批地类确定。</w:t>
      </w:r>
    </w:p>
    <w:p w14:paraId="7FE48B5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p>
    <w:p w14:paraId="31FBCCE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二、征地补偿标准及费用</w:t>
      </w:r>
    </w:p>
    <w:p w14:paraId="46B8540C">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ascii="仿宋_GB2312" w:hAnsi="仿宋_GB2312" w:eastAsia="仿宋_GB2312" w:cs="仿宋_GB2312"/>
          <w:color w:val="000000"/>
          <w:kern w:val="0"/>
          <w:sz w:val="22"/>
          <w:szCs w:val="22"/>
          <w:lang w:bidi="ar"/>
        </w:rPr>
      </w:pPr>
      <w:r>
        <w:rPr>
          <w:rFonts w:hint="eastAsia" w:ascii="仿宋_GB2312" w:hAnsi="仿宋_GB2312" w:eastAsia="仿宋_GB2312" w:cs="仿宋_GB2312"/>
          <w:sz w:val="32"/>
          <w:szCs w:val="32"/>
        </w:rPr>
        <w:t>韶关市武江区西河镇塘湾</w:t>
      </w:r>
      <w:r>
        <w:rPr>
          <w:rFonts w:hint="eastAsia" w:ascii="仿宋_GB2312" w:hAnsi="仿宋_GB2312" w:eastAsia="仿宋_GB2312" w:cs="仿宋_GB2312"/>
          <w:sz w:val="32"/>
          <w:szCs w:val="32"/>
          <w:highlight w:val="none"/>
          <w:lang w:val="en-US" w:eastAsia="zh-CN"/>
        </w:rPr>
        <w:t>股份</w:t>
      </w:r>
      <w:r>
        <w:rPr>
          <w:rFonts w:hint="eastAsia" w:ascii="仿宋_GB2312" w:hAnsi="仿宋_GB2312" w:eastAsia="仿宋_GB2312" w:cs="仿宋_GB2312"/>
          <w:sz w:val="32"/>
          <w:szCs w:val="32"/>
        </w:rPr>
        <w:t>经济联合社</w:t>
      </w:r>
    </w:p>
    <w:p w14:paraId="47F66196">
      <w:pPr>
        <w:ind w:firstLine="440" w:firstLineChars="200"/>
        <w:jc w:val="right"/>
        <w:rPr>
          <w:rFonts w:ascii="仿宋_GB2312" w:hAnsi="仿宋_GB2312" w:eastAsia="仿宋_GB2312" w:cs="仿宋_GB2312"/>
          <w:color w:val="000000"/>
          <w:kern w:val="0"/>
          <w:sz w:val="22"/>
          <w:szCs w:val="22"/>
          <w:lang w:bidi="ar"/>
        </w:rPr>
      </w:pPr>
    </w:p>
    <w:p w14:paraId="1326D9B4">
      <w:pPr>
        <w:ind w:firstLine="440" w:firstLineChars="200"/>
        <w:jc w:val="right"/>
      </w:pPr>
      <w:r>
        <w:rPr>
          <w:rFonts w:hint="eastAsia" w:ascii="仿宋_GB2312" w:hAnsi="仿宋_GB2312" w:eastAsia="仿宋_GB2312" w:cs="仿宋_GB2312"/>
          <w:color w:val="000000"/>
          <w:kern w:val="0"/>
          <w:sz w:val="22"/>
          <w:szCs w:val="22"/>
          <w:lang w:bidi="ar"/>
        </w:rPr>
        <w:t>单位：公顷、万元/公顷、万元</w:t>
      </w:r>
    </w:p>
    <w:tbl>
      <w:tblPr>
        <w:tblStyle w:val="9"/>
        <w:tblW w:w="9061" w:type="dxa"/>
        <w:jc w:val="center"/>
        <w:tblLayout w:type="fixed"/>
        <w:tblCellMar>
          <w:top w:w="0" w:type="dxa"/>
          <w:left w:w="108" w:type="dxa"/>
          <w:bottom w:w="0" w:type="dxa"/>
          <w:right w:w="108" w:type="dxa"/>
        </w:tblCellMar>
      </w:tblPr>
      <w:tblGrid>
        <w:gridCol w:w="649"/>
        <w:gridCol w:w="1339"/>
        <w:gridCol w:w="889"/>
        <w:gridCol w:w="1110"/>
        <w:gridCol w:w="1094"/>
        <w:gridCol w:w="1268"/>
        <w:gridCol w:w="1299"/>
        <w:gridCol w:w="1413"/>
      </w:tblGrid>
      <w:tr w14:paraId="1038DE27">
        <w:tblPrEx>
          <w:tblCellMar>
            <w:top w:w="0" w:type="dxa"/>
            <w:left w:w="108" w:type="dxa"/>
            <w:bottom w:w="0" w:type="dxa"/>
            <w:right w:w="108" w:type="dxa"/>
          </w:tblCellMar>
        </w:tblPrEx>
        <w:trPr>
          <w:tblHeader/>
          <w:jc w:val="center"/>
        </w:trPr>
        <w:tc>
          <w:tcPr>
            <w:tcW w:w="649" w:type="dxa"/>
            <w:tcBorders>
              <w:top w:val="single" w:color="000000" w:sz="4" w:space="0"/>
              <w:left w:val="single" w:color="000000" w:sz="4" w:space="0"/>
              <w:bottom w:val="single" w:color="auto" w:sz="4" w:space="0"/>
              <w:right w:val="single" w:color="000000" w:sz="4" w:space="0"/>
            </w:tcBorders>
            <w:shd w:val="clear" w:color="auto" w:fill="auto"/>
            <w:vAlign w:val="center"/>
          </w:tcPr>
          <w:p w14:paraId="57479D16">
            <w:pPr>
              <w:spacing w:line="400" w:lineRule="exact"/>
              <w:jc w:val="center"/>
              <w:rPr>
                <w:rFonts w:eastAsia="黑体"/>
                <w:szCs w:val="21"/>
                <w:highlight w:val="none"/>
              </w:rPr>
            </w:pPr>
            <w:r>
              <w:rPr>
                <w:rFonts w:eastAsia="黑体"/>
                <w:szCs w:val="21"/>
                <w:highlight w:val="none"/>
              </w:rPr>
              <w:t>单位</w:t>
            </w:r>
          </w:p>
        </w:tc>
        <w:tc>
          <w:tcPr>
            <w:tcW w:w="13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75302">
            <w:pPr>
              <w:spacing w:line="400" w:lineRule="exact"/>
              <w:jc w:val="center"/>
              <w:rPr>
                <w:rFonts w:eastAsia="黑体"/>
                <w:szCs w:val="21"/>
                <w:highlight w:val="none"/>
              </w:rPr>
            </w:pPr>
            <w:r>
              <w:rPr>
                <w:rFonts w:eastAsia="黑体"/>
                <w:szCs w:val="21"/>
                <w:highlight w:val="none"/>
              </w:rPr>
              <w:t>土地类别</w:t>
            </w:r>
          </w:p>
        </w:tc>
        <w:tc>
          <w:tcPr>
            <w:tcW w:w="8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74C92C">
            <w:pPr>
              <w:spacing w:line="400" w:lineRule="exact"/>
              <w:jc w:val="center"/>
              <w:rPr>
                <w:rFonts w:eastAsia="黑体"/>
                <w:szCs w:val="21"/>
                <w:highlight w:val="none"/>
              </w:rPr>
            </w:pPr>
            <w:r>
              <w:rPr>
                <w:rFonts w:eastAsia="黑体"/>
                <w:szCs w:val="21"/>
                <w:highlight w:val="none"/>
              </w:rPr>
              <w:t>面积</w:t>
            </w:r>
          </w:p>
        </w:tc>
        <w:tc>
          <w:tcPr>
            <w:tcW w:w="22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480B3">
            <w:pPr>
              <w:spacing w:line="400" w:lineRule="exact"/>
              <w:jc w:val="center"/>
              <w:rPr>
                <w:rFonts w:eastAsia="黑体"/>
                <w:szCs w:val="21"/>
                <w:highlight w:val="none"/>
              </w:rPr>
            </w:pPr>
            <w:r>
              <w:rPr>
                <w:rFonts w:eastAsia="黑体"/>
                <w:szCs w:val="21"/>
                <w:highlight w:val="none"/>
              </w:rPr>
              <w:t>土地补偿费</w:t>
            </w:r>
          </w:p>
        </w:tc>
        <w:tc>
          <w:tcPr>
            <w:tcW w:w="2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C4A37">
            <w:pPr>
              <w:spacing w:line="400" w:lineRule="exact"/>
              <w:jc w:val="center"/>
              <w:rPr>
                <w:rFonts w:eastAsia="黑体"/>
                <w:szCs w:val="21"/>
                <w:highlight w:val="none"/>
              </w:rPr>
            </w:pPr>
            <w:r>
              <w:rPr>
                <w:rFonts w:eastAsia="黑体"/>
                <w:szCs w:val="21"/>
                <w:highlight w:val="none"/>
              </w:rPr>
              <w:t>安置补助费</w:t>
            </w:r>
          </w:p>
        </w:tc>
        <w:tc>
          <w:tcPr>
            <w:tcW w:w="1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82F2D">
            <w:pPr>
              <w:spacing w:line="400" w:lineRule="exact"/>
              <w:jc w:val="center"/>
              <w:rPr>
                <w:rFonts w:eastAsia="黑体"/>
                <w:szCs w:val="21"/>
                <w:highlight w:val="none"/>
              </w:rPr>
            </w:pPr>
            <w:r>
              <w:rPr>
                <w:rFonts w:eastAsia="黑体"/>
                <w:szCs w:val="21"/>
                <w:highlight w:val="none"/>
              </w:rPr>
              <w:t>小计</w:t>
            </w:r>
          </w:p>
        </w:tc>
      </w:tr>
      <w:tr w14:paraId="705519AF">
        <w:tblPrEx>
          <w:tblCellMar>
            <w:top w:w="0" w:type="dxa"/>
            <w:left w:w="108" w:type="dxa"/>
            <w:bottom w:w="0" w:type="dxa"/>
            <w:right w:w="108" w:type="dxa"/>
          </w:tblCellMar>
        </w:tblPrEx>
        <w:trPr>
          <w:tblHeader/>
          <w:jc w:val="center"/>
        </w:trPr>
        <w:tc>
          <w:tcPr>
            <w:tcW w:w="64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453CF3">
            <w:pPr>
              <w:spacing w:line="400" w:lineRule="exact"/>
              <w:rPr>
                <w:rFonts w:eastAsia="黑体"/>
                <w:szCs w:val="21"/>
                <w:highlight w:val="none"/>
              </w:rPr>
            </w:pPr>
            <w:r>
              <w:rPr>
                <w:rFonts w:eastAsia="黑体"/>
                <w:szCs w:val="21"/>
                <w:highlight w:val="none"/>
              </w:rPr>
              <w:t>韶关市武江区西河镇塘湾</w:t>
            </w:r>
            <w:r>
              <w:rPr>
                <w:rFonts w:hint="eastAsia" w:eastAsia="黑体"/>
                <w:szCs w:val="21"/>
                <w:highlight w:val="none"/>
                <w:lang w:val="en-US" w:eastAsia="zh-CN"/>
              </w:rPr>
              <w:t>股份</w:t>
            </w:r>
            <w:r>
              <w:rPr>
                <w:rFonts w:eastAsia="黑体"/>
                <w:szCs w:val="21"/>
                <w:highlight w:val="none"/>
              </w:rPr>
              <w:t>经济联合社</w:t>
            </w:r>
          </w:p>
        </w:tc>
        <w:tc>
          <w:tcPr>
            <w:tcW w:w="1339" w:type="dxa"/>
            <w:vMerge w:val="continue"/>
            <w:tcBorders>
              <w:top w:val="single" w:color="000000" w:sz="4" w:space="0"/>
              <w:left w:val="single" w:color="auto" w:sz="4" w:space="0"/>
              <w:bottom w:val="single" w:color="000000" w:sz="4" w:space="0"/>
              <w:right w:val="single" w:color="000000" w:sz="4" w:space="0"/>
            </w:tcBorders>
            <w:vAlign w:val="center"/>
          </w:tcPr>
          <w:p w14:paraId="4843BB86">
            <w:pPr>
              <w:spacing w:line="400" w:lineRule="exact"/>
              <w:rPr>
                <w:rFonts w:eastAsia="黑体"/>
                <w:szCs w:val="21"/>
                <w:highlight w:val="none"/>
              </w:rPr>
            </w:pPr>
          </w:p>
        </w:tc>
        <w:tc>
          <w:tcPr>
            <w:tcW w:w="889" w:type="dxa"/>
            <w:vMerge w:val="continue"/>
            <w:tcBorders>
              <w:top w:val="single" w:color="000000" w:sz="4" w:space="0"/>
              <w:left w:val="single" w:color="000000" w:sz="4" w:space="0"/>
              <w:bottom w:val="single" w:color="000000" w:sz="4" w:space="0"/>
              <w:right w:val="single" w:color="000000" w:sz="4" w:space="0"/>
            </w:tcBorders>
            <w:vAlign w:val="center"/>
          </w:tcPr>
          <w:p w14:paraId="69660E26">
            <w:pPr>
              <w:spacing w:line="400" w:lineRule="exact"/>
              <w:rPr>
                <w:rFonts w:eastAsia="黑体"/>
                <w:szCs w:val="21"/>
                <w:highlight w:val="none"/>
              </w:rPr>
            </w:pP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3D63">
            <w:pPr>
              <w:spacing w:line="400" w:lineRule="exact"/>
              <w:rPr>
                <w:rFonts w:eastAsia="黑体"/>
                <w:szCs w:val="21"/>
                <w:highlight w:val="none"/>
              </w:rPr>
            </w:pPr>
            <w:r>
              <w:rPr>
                <w:rFonts w:eastAsia="黑体"/>
                <w:szCs w:val="21"/>
                <w:highlight w:val="none"/>
              </w:rPr>
              <w:t>补偿标准</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2BC9">
            <w:pPr>
              <w:spacing w:line="400" w:lineRule="exact"/>
              <w:rPr>
                <w:rFonts w:eastAsia="黑体"/>
                <w:szCs w:val="21"/>
                <w:highlight w:val="none"/>
              </w:rPr>
            </w:pPr>
            <w:r>
              <w:rPr>
                <w:rFonts w:eastAsia="黑体"/>
                <w:szCs w:val="21"/>
                <w:highlight w:val="none"/>
              </w:rPr>
              <w:t>补偿金额</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B847">
            <w:pPr>
              <w:spacing w:line="400" w:lineRule="exact"/>
              <w:rPr>
                <w:rFonts w:eastAsia="黑体"/>
                <w:szCs w:val="21"/>
                <w:highlight w:val="none"/>
              </w:rPr>
            </w:pPr>
            <w:r>
              <w:rPr>
                <w:rFonts w:eastAsia="黑体"/>
                <w:szCs w:val="21"/>
                <w:highlight w:val="none"/>
              </w:rPr>
              <w:t>补偿标准</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1F96">
            <w:pPr>
              <w:spacing w:line="400" w:lineRule="exact"/>
              <w:rPr>
                <w:rFonts w:eastAsia="黑体"/>
                <w:szCs w:val="21"/>
                <w:highlight w:val="none"/>
              </w:rPr>
            </w:pPr>
            <w:r>
              <w:rPr>
                <w:rFonts w:eastAsia="黑体"/>
                <w:szCs w:val="21"/>
                <w:highlight w:val="none"/>
              </w:rPr>
              <w:t>补偿金额</w:t>
            </w:r>
          </w:p>
        </w:tc>
        <w:tc>
          <w:tcPr>
            <w:tcW w:w="1413" w:type="dxa"/>
            <w:vMerge w:val="continue"/>
            <w:tcBorders>
              <w:top w:val="single" w:color="000000" w:sz="4" w:space="0"/>
              <w:left w:val="single" w:color="000000" w:sz="4" w:space="0"/>
              <w:bottom w:val="single" w:color="000000" w:sz="4" w:space="0"/>
              <w:right w:val="single" w:color="000000" w:sz="4" w:space="0"/>
            </w:tcBorders>
            <w:vAlign w:val="center"/>
          </w:tcPr>
          <w:p w14:paraId="3E80C7E5">
            <w:pPr>
              <w:spacing w:line="400" w:lineRule="exact"/>
              <w:rPr>
                <w:szCs w:val="21"/>
                <w:highlight w:val="none"/>
              </w:rPr>
            </w:pPr>
          </w:p>
        </w:tc>
      </w:tr>
      <w:tr w14:paraId="1C2EABCD">
        <w:tblPrEx>
          <w:tblCellMar>
            <w:top w:w="0" w:type="dxa"/>
            <w:left w:w="108" w:type="dxa"/>
            <w:bottom w:w="0" w:type="dxa"/>
            <w:right w:w="108" w:type="dxa"/>
          </w:tblCellMar>
        </w:tblPrEx>
        <w:trPr>
          <w:trHeight w:val="439" w:hRule="exact"/>
          <w:jc w:val="center"/>
        </w:trPr>
        <w:tc>
          <w:tcPr>
            <w:tcW w:w="649" w:type="dxa"/>
            <w:vMerge w:val="continue"/>
            <w:tcBorders>
              <w:top w:val="single" w:color="auto" w:sz="4" w:space="0"/>
              <w:left w:val="single" w:color="auto" w:sz="4" w:space="0"/>
              <w:bottom w:val="single" w:color="auto" w:sz="4" w:space="0"/>
              <w:right w:val="single" w:color="auto" w:sz="4" w:space="0"/>
            </w:tcBorders>
            <w:vAlign w:val="center"/>
          </w:tcPr>
          <w:p w14:paraId="726C59BB">
            <w:pPr>
              <w:rPr>
                <w:color w:val="auto"/>
                <w:szCs w:val="21"/>
                <w:highlight w:val="none"/>
              </w:rPr>
            </w:pPr>
          </w:p>
        </w:tc>
        <w:tc>
          <w:tcPr>
            <w:tcW w:w="1339" w:type="dxa"/>
            <w:tcBorders>
              <w:top w:val="single" w:color="000000" w:sz="4" w:space="0"/>
              <w:left w:val="single" w:color="auto" w:sz="4" w:space="0"/>
              <w:right w:val="single" w:color="000000" w:sz="4" w:space="0"/>
            </w:tcBorders>
            <w:shd w:val="clear" w:color="auto" w:fill="auto"/>
            <w:vAlign w:val="center"/>
          </w:tcPr>
          <w:p w14:paraId="51A1366B">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林地</w:t>
            </w:r>
          </w:p>
        </w:tc>
        <w:tc>
          <w:tcPr>
            <w:tcW w:w="889" w:type="dxa"/>
            <w:tcBorders>
              <w:top w:val="single" w:color="000000" w:sz="4" w:space="0"/>
              <w:left w:val="single" w:color="000000" w:sz="4" w:space="0"/>
              <w:right w:val="single" w:color="000000" w:sz="4" w:space="0"/>
            </w:tcBorders>
            <w:shd w:val="clear" w:color="auto" w:fill="auto"/>
            <w:vAlign w:val="center"/>
          </w:tcPr>
          <w:p w14:paraId="48E3D493">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FF0000"/>
                <w:szCs w:val="21"/>
                <w:highlight w:val="none"/>
              </w:rPr>
              <w:t>1.2837</w:t>
            </w:r>
          </w:p>
        </w:tc>
        <w:tc>
          <w:tcPr>
            <w:tcW w:w="1110" w:type="dxa"/>
            <w:tcBorders>
              <w:top w:val="single" w:color="000000" w:sz="4" w:space="0"/>
              <w:left w:val="single" w:color="000000" w:sz="4" w:space="0"/>
              <w:right w:val="single" w:color="000000" w:sz="4" w:space="0"/>
            </w:tcBorders>
            <w:shd w:val="clear" w:color="auto" w:fill="auto"/>
            <w:vAlign w:val="center"/>
          </w:tcPr>
          <w:p w14:paraId="38DD96BF">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FF0000"/>
                <w:szCs w:val="21"/>
                <w:highlight w:val="none"/>
              </w:rPr>
              <w:t>21.8025</w:t>
            </w:r>
          </w:p>
        </w:tc>
        <w:tc>
          <w:tcPr>
            <w:tcW w:w="1094" w:type="dxa"/>
            <w:tcBorders>
              <w:top w:val="single" w:color="000000" w:sz="4" w:space="0"/>
              <w:left w:val="single" w:color="000000" w:sz="4" w:space="0"/>
              <w:right w:val="single" w:color="000000" w:sz="4" w:space="0"/>
            </w:tcBorders>
            <w:shd w:val="clear" w:color="auto" w:fill="auto"/>
            <w:vAlign w:val="center"/>
          </w:tcPr>
          <w:p w14:paraId="4AD8786A">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FF0000"/>
                <w:szCs w:val="21"/>
                <w:highlight w:val="none"/>
              </w:rPr>
              <w:t xml:space="preserve">27.9879 </w:t>
            </w:r>
          </w:p>
        </w:tc>
        <w:tc>
          <w:tcPr>
            <w:tcW w:w="1268" w:type="dxa"/>
            <w:tcBorders>
              <w:top w:val="single" w:color="000000" w:sz="4" w:space="0"/>
              <w:left w:val="single" w:color="000000" w:sz="4" w:space="0"/>
              <w:right w:val="single" w:color="000000" w:sz="4" w:space="0"/>
            </w:tcBorders>
            <w:shd w:val="clear" w:color="auto" w:fill="auto"/>
            <w:vAlign w:val="center"/>
          </w:tcPr>
          <w:p w14:paraId="0BA412C1">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FF0000"/>
                <w:szCs w:val="21"/>
                <w:highlight w:val="none"/>
              </w:rPr>
              <w:t xml:space="preserve"> 21.87</w:t>
            </w:r>
          </w:p>
        </w:tc>
        <w:tc>
          <w:tcPr>
            <w:tcW w:w="1299" w:type="dxa"/>
            <w:tcBorders>
              <w:top w:val="single" w:color="000000" w:sz="4" w:space="0"/>
              <w:left w:val="single" w:color="000000" w:sz="4" w:space="0"/>
              <w:right w:val="single" w:color="000000" w:sz="4" w:space="0"/>
            </w:tcBorders>
            <w:shd w:val="clear" w:color="auto" w:fill="auto"/>
            <w:vAlign w:val="center"/>
          </w:tcPr>
          <w:p w14:paraId="5DDB92EE">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FF0000"/>
                <w:szCs w:val="21"/>
                <w:highlight w:val="none"/>
              </w:rPr>
              <w:t>28.0745</w:t>
            </w:r>
          </w:p>
        </w:tc>
        <w:tc>
          <w:tcPr>
            <w:tcW w:w="1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D37B">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FF0000"/>
                <w:szCs w:val="21"/>
                <w:highlight w:val="none"/>
              </w:rPr>
              <w:t>56.0624</w:t>
            </w:r>
          </w:p>
        </w:tc>
      </w:tr>
      <w:tr w14:paraId="2F22B416">
        <w:tblPrEx>
          <w:tblCellMar>
            <w:top w:w="0" w:type="dxa"/>
            <w:left w:w="108" w:type="dxa"/>
            <w:bottom w:w="0" w:type="dxa"/>
            <w:right w:w="108" w:type="dxa"/>
          </w:tblCellMar>
        </w:tblPrEx>
        <w:trPr>
          <w:trHeight w:val="460" w:hRule="atLeast"/>
          <w:jc w:val="center"/>
        </w:trPr>
        <w:tc>
          <w:tcPr>
            <w:tcW w:w="649" w:type="dxa"/>
            <w:vMerge w:val="continue"/>
            <w:tcBorders>
              <w:top w:val="single" w:color="auto" w:sz="4" w:space="0"/>
              <w:left w:val="single" w:color="auto" w:sz="4" w:space="0"/>
              <w:bottom w:val="single" w:color="auto" w:sz="4" w:space="0"/>
              <w:right w:val="single" w:color="auto" w:sz="4" w:space="0"/>
            </w:tcBorders>
            <w:vAlign w:val="center"/>
          </w:tcPr>
          <w:p w14:paraId="55EF3D77">
            <w:pPr>
              <w:rPr>
                <w:color w:val="auto"/>
                <w:szCs w:val="21"/>
                <w:highlight w:val="none"/>
              </w:rPr>
            </w:pPr>
          </w:p>
        </w:tc>
        <w:tc>
          <w:tcPr>
            <w:tcW w:w="2228"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3691F521">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土地补偿安置费</w:t>
            </w:r>
          </w:p>
          <w:p w14:paraId="5B3708E1">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与安置补助费</w:t>
            </w:r>
          </w:p>
        </w:tc>
        <w:tc>
          <w:tcPr>
            <w:tcW w:w="34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65181">
            <w:pPr>
              <w:spacing w:line="400" w:lineRule="exact"/>
              <w:jc w:val="center"/>
              <w:rPr>
                <w:rFonts w:hint="eastAsia" w:ascii="仿宋_GB2312" w:hAnsi="仿宋_GB2312" w:eastAsia="仿宋_GB2312" w:cs="仿宋_GB2312"/>
                <w:color w:val="FF0000"/>
                <w:szCs w:val="21"/>
                <w:highlight w:val="none"/>
              </w:rPr>
            </w:pPr>
            <w:r>
              <w:rPr>
                <w:rFonts w:hint="eastAsia" w:ascii="仿宋_GB2312" w:hAnsi="仿宋_GB2312" w:eastAsia="仿宋_GB2312" w:cs="仿宋_GB2312"/>
                <w:color w:val="FF0000"/>
                <w:szCs w:val="21"/>
                <w:highlight w:val="none"/>
              </w:rPr>
              <w:t>56.0624</w:t>
            </w:r>
          </w:p>
        </w:tc>
        <w:tc>
          <w:tcPr>
            <w:tcW w:w="2712" w:type="dxa"/>
            <w:gridSpan w:val="2"/>
            <w:vMerge w:val="restart"/>
            <w:tcBorders>
              <w:top w:val="single" w:color="000000" w:sz="4" w:space="0"/>
              <w:left w:val="single" w:color="000000" w:sz="4" w:space="0"/>
              <w:right w:val="single" w:color="000000" w:sz="4" w:space="0"/>
            </w:tcBorders>
            <w:shd w:val="clear" w:color="auto" w:fill="auto"/>
            <w:vAlign w:val="center"/>
          </w:tcPr>
          <w:p w14:paraId="16061BBE">
            <w:pPr>
              <w:spacing w:line="400" w:lineRule="exac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补偿方式为货币，土地补偿费补偿支付对象为韶关市武江区西河镇塘湾</w:t>
            </w:r>
            <w:r>
              <w:rPr>
                <w:rFonts w:hint="eastAsia" w:ascii="仿宋_GB2312" w:hAnsi="仿宋_GB2312" w:eastAsia="仿宋_GB2312" w:cs="仿宋_GB2312"/>
                <w:color w:val="auto"/>
                <w:szCs w:val="21"/>
                <w:highlight w:val="none"/>
                <w:lang w:val="en-US" w:eastAsia="zh-CN"/>
              </w:rPr>
              <w:t>股份</w:t>
            </w:r>
            <w:r>
              <w:rPr>
                <w:rFonts w:hint="eastAsia" w:ascii="仿宋_GB2312" w:hAnsi="仿宋_GB2312" w:eastAsia="仿宋_GB2312" w:cs="仿宋_GB2312"/>
                <w:color w:val="auto"/>
                <w:szCs w:val="21"/>
                <w:highlight w:val="none"/>
              </w:rPr>
              <w:t>经济联合社，其余补偿费用由被征地村委或村小组转付需安置补偿对象。</w:t>
            </w:r>
          </w:p>
        </w:tc>
      </w:tr>
      <w:tr w14:paraId="1FC191C3">
        <w:tblPrEx>
          <w:tblCellMar>
            <w:top w:w="0" w:type="dxa"/>
            <w:left w:w="108" w:type="dxa"/>
            <w:bottom w:w="0" w:type="dxa"/>
            <w:right w:w="108" w:type="dxa"/>
          </w:tblCellMar>
        </w:tblPrEx>
        <w:trPr>
          <w:trHeight w:val="464" w:hRule="atLeast"/>
          <w:jc w:val="center"/>
        </w:trPr>
        <w:tc>
          <w:tcPr>
            <w:tcW w:w="649" w:type="dxa"/>
            <w:vMerge w:val="continue"/>
            <w:tcBorders>
              <w:top w:val="single" w:color="auto" w:sz="4" w:space="0"/>
              <w:left w:val="single" w:color="auto" w:sz="4" w:space="0"/>
              <w:bottom w:val="single" w:color="auto" w:sz="4" w:space="0"/>
              <w:right w:val="single" w:color="auto" w:sz="4" w:space="0"/>
            </w:tcBorders>
            <w:vAlign w:val="center"/>
          </w:tcPr>
          <w:p w14:paraId="034B85E8">
            <w:pPr>
              <w:rPr>
                <w:color w:val="auto"/>
                <w:szCs w:val="21"/>
                <w:highlight w:val="none"/>
              </w:rPr>
            </w:pPr>
          </w:p>
        </w:tc>
        <w:tc>
          <w:tcPr>
            <w:tcW w:w="2228"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512EE285">
            <w:pPr>
              <w:spacing w:line="400" w:lineRule="exact"/>
              <w:jc w:val="center"/>
              <w:rPr>
                <w:rFonts w:eastAsia="仿宋_GB2312"/>
                <w:color w:val="auto"/>
                <w:szCs w:val="21"/>
                <w:highlight w:val="none"/>
              </w:rPr>
            </w:pPr>
            <w:r>
              <w:rPr>
                <w:rFonts w:eastAsia="仿宋_GB2312"/>
                <w:color w:val="auto"/>
                <w:szCs w:val="21"/>
                <w:highlight w:val="none"/>
              </w:rPr>
              <w:t>青苗补偿费</w:t>
            </w:r>
          </w:p>
        </w:tc>
        <w:tc>
          <w:tcPr>
            <w:tcW w:w="34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F25345">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以实际清点为准</w:t>
            </w:r>
          </w:p>
        </w:tc>
        <w:tc>
          <w:tcPr>
            <w:tcW w:w="2712" w:type="dxa"/>
            <w:gridSpan w:val="2"/>
            <w:vMerge w:val="continue"/>
            <w:tcBorders>
              <w:left w:val="single" w:color="000000" w:sz="4" w:space="0"/>
              <w:right w:val="single" w:color="000000" w:sz="4" w:space="0"/>
            </w:tcBorders>
            <w:vAlign w:val="center"/>
          </w:tcPr>
          <w:p w14:paraId="0054A997">
            <w:pPr>
              <w:spacing w:line="400" w:lineRule="exact"/>
              <w:rPr>
                <w:color w:val="auto"/>
                <w:szCs w:val="21"/>
                <w:highlight w:val="none"/>
              </w:rPr>
            </w:pPr>
          </w:p>
        </w:tc>
      </w:tr>
      <w:tr w14:paraId="0C266FC2">
        <w:tblPrEx>
          <w:tblCellMar>
            <w:top w:w="0" w:type="dxa"/>
            <w:left w:w="108" w:type="dxa"/>
            <w:bottom w:w="0" w:type="dxa"/>
            <w:right w:w="108" w:type="dxa"/>
          </w:tblCellMar>
        </w:tblPrEx>
        <w:trPr>
          <w:trHeight w:val="430" w:hRule="atLeast"/>
          <w:jc w:val="center"/>
        </w:trPr>
        <w:tc>
          <w:tcPr>
            <w:tcW w:w="649" w:type="dxa"/>
            <w:vMerge w:val="continue"/>
            <w:tcBorders>
              <w:top w:val="single" w:color="auto" w:sz="4" w:space="0"/>
              <w:left w:val="single" w:color="auto" w:sz="4" w:space="0"/>
              <w:bottom w:val="single" w:color="auto" w:sz="4" w:space="0"/>
              <w:right w:val="single" w:color="auto" w:sz="4" w:space="0"/>
            </w:tcBorders>
            <w:vAlign w:val="center"/>
          </w:tcPr>
          <w:p w14:paraId="505F15E7">
            <w:pPr>
              <w:rPr>
                <w:color w:val="auto"/>
                <w:szCs w:val="21"/>
                <w:highlight w:val="none"/>
              </w:rPr>
            </w:pPr>
          </w:p>
        </w:tc>
        <w:tc>
          <w:tcPr>
            <w:tcW w:w="2228"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7DD49A7F">
            <w:pPr>
              <w:spacing w:line="400" w:lineRule="exact"/>
              <w:jc w:val="center"/>
              <w:rPr>
                <w:rFonts w:eastAsia="仿宋_GB2312"/>
                <w:color w:val="auto"/>
                <w:szCs w:val="21"/>
                <w:highlight w:val="none"/>
              </w:rPr>
            </w:pPr>
            <w:r>
              <w:rPr>
                <w:rFonts w:eastAsia="仿宋_GB2312"/>
                <w:color w:val="auto"/>
                <w:szCs w:val="21"/>
                <w:highlight w:val="none"/>
              </w:rPr>
              <w:t>地上附着物补偿</w:t>
            </w:r>
          </w:p>
        </w:tc>
        <w:tc>
          <w:tcPr>
            <w:tcW w:w="34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F2723">
            <w:pPr>
              <w:spacing w:line="40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按政府由关规定进行补偿</w:t>
            </w:r>
          </w:p>
        </w:tc>
        <w:tc>
          <w:tcPr>
            <w:tcW w:w="2712" w:type="dxa"/>
            <w:gridSpan w:val="2"/>
            <w:vMerge w:val="continue"/>
            <w:tcBorders>
              <w:left w:val="single" w:color="000000" w:sz="4" w:space="0"/>
              <w:right w:val="single" w:color="000000" w:sz="4" w:space="0"/>
            </w:tcBorders>
            <w:vAlign w:val="center"/>
          </w:tcPr>
          <w:p w14:paraId="635EE3B0">
            <w:pPr>
              <w:spacing w:line="400" w:lineRule="exact"/>
              <w:rPr>
                <w:color w:val="auto"/>
                <w:szCs w:val="21"/>
                <w:highlight w:val="none"/>
              </w:rPr>
            </w:pPr>
          </w:p>
        </w:tc>
      </w:tr>
      <w:tr w14:paraId="209C0933">
        <w:tblPrEx>
          <w:tblCellMar>
            <w:top w:w="0" w:type="dxa"/>
            <w:left w:w="108" w:type="dxa"/>
            <w:bottom w:w="0" w:type="dxa"/>
            <w:right w:w="108" w:type="dxa"/>
          </w:tblCellMar>
        </w:tblPrEx>
        <w:trPr>
          <w:trHeight w:val="528" w:hRule="atLeast"/>
          <w:jc w:val="center"/>
        </w:trPr>
        <w:tc>
          <w:tcPr>
            <w:tcW w:w="649" w:type="dxa"/>
            <w:vMerge w:val="continue"/>
            <w:tcBorders>
              <w:top w:val="single" w:color="auto" w:sz="4" w:space="0"/>
              <w:left w:val="single" w:color="auto" w:sz="4" w:space="0"/>
              <w:bottom w:val="single" w:color="auto" w:sz="4" w:space="0"/>
              <w:right w:val="single" w:color="auto" w:sz="4" w:space="0"/>
            </w:tcBorders>
            <w:vAlign w:val="center"/>
          </w:tcPr>
          <w:p w14:paraId="48361435">
            <w:pPr>
              <w:rPr>
                <w:color w:val="auto"/>
                <w:szCs w:val="21"/>
                <w:highlight w:val="none"/>
              </w:rPr>
            </w:pPr>
          </w:p>
        </w:tc>
        <w:tc>
          <w:tcPr>
            <w:tcW w:w="2228"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538CB187">
            <w:pPr>
              <w:spacing w:line="400" w:lineRule="exact"/>
              <w:jc w:val="center"/>
              <w:rPr>
                <w:rFonts w:eastAsia="仿宋_GB2312"/>
                <w:color w:val="auto"/>
                <w:szCs w:val="21"/>
                <w:highlight w:val="none"/>
              </w:rPr>
            </w:pPr>
            <w:r>
              <w:rPr>
                <w:rFonts w:eastAsia="仿宋_GB2312"/>
                <w:color w:val="auto"/>
                <w:szCs w:val="21"/>
                <w:highlight w:val="none"/>
              </w:rPr>
              <w:t>以上土地面积合计</w:t>
            </w:r>
          </w:p>
        </w:tc>
        <w:tc>
          <w:tcPr>
            <w:tcW w:w="34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6129E2">
            <w:pPr>
              <w:spacing w:line="400" w:lineRule="exact"/>
              <w:jc w:val="center"/>
              <w:rPr>
                <w:rFonts w:hint="eastAsia" w:ascii="仿宋_GB2312" w:hAnsi="仿宋_GB2312" w:eastAsia="仿宋_GB2312" w:cs="仿宋_GB2312"/>
                <w:color w:val="FF0000"/>
                <w:szCs w:val="21"/>
                <w:highlight w:val="none"/>
              </w:rPr>
            </w:pPr>
            <w:r>
              <w:rPr>
                <w:rFonts w:hint="eastAsia" w:ascii="仿宋_GB2312" w:hAnsi="仿宋_GB2312" w:eastAsia="仿宋_GB2312" w:cs="仿宋_GB2312"/>
                <w:color w:val="FF0000"/>
                <w:szCs w:val="21"/>
                <w:highlight w:val="none"/>
              </w:rPr>
              <w:t>1.2837</w:t>
            </w:r>
          </w:p>
        </w:tc>
        <w:tc>
          <w:tcPr>
            <w:tcW w:w="2712" w:type="dxa"/>
            <w:gridSpan w:val="2"/>
            <w:vMerge w:val="continue"/>
            <w:tcBorders>
              <w:left w:val="single" w:color="000000" w:sz="4" w:space="0"/>
              <w:right w:val="single" w:color="000000" w:sz="4" w:space="0"/>
            </w:tcBorders>
            <w:vAlign w:val="center"/>
          </w:tcPr>
          <w:p w14:paraId="66396348">
            <w:pPr>
              <w:spacing w:line="400" w:lineRule="exact"/>
              <w:rPr>
                <w:color w:val="auto"/>
                <w:szCs w:val="21"/>
                <w:highlight w:val="none"/>
              </w:rPr>
            </w:pPr>
          </w:p>
        </w:tc>
      </w:tr>
      <w:tr w14:paraId="7DD5482A">
        <w:tblPrEx>
          <w:tblCellMar>
            <w:top w:w="0" w:type="dxa"/>
            <w:left w:w="108" w:type="dxa"/>
            <w:bottom w:w="0" w:type="dxa"/>
            <w:right w:w="108" w:type="dxa"/>
          </w:tblCellMar>
        </w:tblPrEx>
        <w:trPr>
          <w:trHeight w:val="548" w:hRule="atLeast"/>
          <w:jc w:val="center"/>
        </w:trPr>
        <w:tc>
          <w:tcPr>
            <w:tcW w:w="649" w:type="dxa"/>
            <w:vMerge w:val="continue"/>
            <w:tcBorders>
              <w:top w:val="single" w:color="auto" w:sz="4" w:space="0"/>
              <w:left w:val="single" w:color="auto" w:sz="4" w:space="0"/>
              <w:bottom w:val="single" w:color="auto" w:sz="4" w:space="0"/>
              <w:right w:val="single" w:color="auto" w:sz="4" w:space="0"/>
            </w:tcBorders>
            <w:vAlign w:val="center"/>
          </w:tcPr>
          <w:p w14:paraId="3B179F7D">
            <w:pPr>
              <w:rPr>
                <w:color w:val="auto"/>
                <w:szCs w:val="21"/>
                <w:highlight w:val="none"/>
              </w:rPr>
            </w:pPr>
          </w:p>
        </w:tc>
        <w:tc>
          <w:tcPr>
            <w:tcW w:w="2228" w:type="dxa"/>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702F111D">
            <w:pPr>
              <w:spacing w:line="400" w:lineRule="exact"/>
              <w:jc w:val="center"/>
              <w:rPr>
                <w:rFonts w:eastAsia="仿宋_GB2312"/>
                <w:color w:val="auto"/>
                <w:szCs w:val="21"/>
                <w:highlight w:val="none"/>
              </w:rPr>
            </w:pPr>
            <w:r>
              <w:rPr>
                <w:rFonts w:eastAsia="仿宋_GB2312"/>
                <w:color w:val="auto"/>
                <w:szCs w:val="21"/>
                <w:highlight w:val="none"/>
              </w:rPr>
              <w:t>以上补偿金额合计</w:t>
            </w:r>
          </w:p>
        </w:tc>
        <w:tc>
          <w:tcPr>
            <w:tcW w:w="34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B9DD9">
            <w:pPr>
              <w:spacing w:line="400" w:lineRule="exact"/>
              <w:jc w:val="center"/>
              <w:rPr>
                <w:rFonts w:hint="eastAsia" w:ascii="仿宋_GB2312" w:hAnsi="仿宋_GB2312" w:eastAsia="仿宋_GB2312" w:cs="仿宋_GB2312"/>
                <w:color w:val="FF0000"/>
                <w:szCs w:val="21"/>
                <w:highlight w:val="none"/>
              </w:rPr>
            </w:pPr>
            <w:r>
              <w:rPr>
                <w:rFonts w:hint="eastAsia" w:ascii="仿宋_GB2312" w:hAnsi="仿宋_GB2312" w:eastAsia="仿宋_GB2312" w:cs="仿宋_GB2312"/>
                <w:color w:val="FF0000"/>
                <w:szCs w:val="21"/>
                <w:highlight w:val="none"/>
              </w:rPr>
              <w:t>56.0624</w:t>
            </w:r>
          </w:p>
        </w:tc>
        <w:tc>
          <w:tcPr>
            <w:tcW w:w="2712" w:type="dxa"/>
            <w:gridSpan w:val="2"/>
            <w:vMerge w:val="continue"/>
            <w:tcBorders>
              <w:left w:val="single" w:color="000000" w:sz="4" w:space="0"/>
              <w:bottom w:val="single" w:color="000000" w:sz="4" w:space="0"/>
              <w:right w:val="single" w:color="000000" w:sz="4" w:space="0"/>
            </w:tcBorders>
            <w:vAlign w:val="center"/>
          </w:tcPr>
          <w:p w14:paraId="4BA5BF0D">
            <w:pPr>
              <w:spacing w:line="400" w:lineRule="exact"/>
              <w:rPr>
                <w:color w:val="auto"/>
                <w:szCs w:val="21"/>
                <w:highlight w:val="none"/>
              </w:rPr>
            </w:pPr>
          </w:p>
        </w:tc>
      </w:tr>
    </w:tbl>
    <w:p w14:paraId="18A741C0">
      <w:pPr>
        <w:spacing w:line="560" w:lineRule="exact"/>
        <w:jc w:val="center"/>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韶关市武江区西河镇红星经济联合社</w:t>
      </w:r>
    </w:p>
    <w:p w14:paraId="20152A6B">
      <w:pPr>
        <w:ind w:firstLine="440" w:firstLineChars="200"/>
        <w:jc w:val="right"/>
        <w:rPr>
          <w:color w:val="auto"/>
        </w:rPr>
      </w:pPr>
      <w:r>
        <w:rPr>
          <w:rFonts w:hint="eastAsia" w:ascii="仿宋_GB2312" w:hAnsi="仿宋_GB2312" w:eastAsia="仿宋_GB2312" w:cs="仿宋_GB2312"/>
          <w:color w:val="auto"/>
          <w:kern w:val="0"/>
          <w:sz w:val="22"/>
          <w:szCs w:val="22"/>
          <w:lang w:bidi="ar"/>
        </w:rPr>
        <w:t>单位：公顷、万元/公顷、万元</w:t>
      </w:r>
    </w:p>
    <w:tbl>
      <w:tblPr>
        <w:tblStyle w:val="9"/>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339"/>
        <w:gridCol w:w="889"/>
        <w:gridCol w:w="1110"/>
        <w:gridCol w:w="1094"/>
        <w:gridCol w:w="1125"/>
        <w:gridCol w:w="1442"/>
        <w:gridCol w:w="1413"/>
      </w:tblGrid>
      <w:tr w14:paraId="72BF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49" w:type="dxa"/>
            <w:shd w:val="clear" w:color="auto" w:fill="auto"/>
            <w:vAlign w:val="center"/>
          </w:tcPr>
          <w:p w14:paraId="115AAA99">
            <w:pPr>
              <w:spacing w:line="400" w:lineRule="exact"/>
              <w:jc w:val="center"/>
              <w:rPr>
                <w:rFonts w:ascii="黑体" w:hAnsi="黑体" w:eastAsia="黑体" w:cs="黑体"/>
                <w:color w:val="auto"/>
                <w:szCs w:val="21"/>
              </w:rPr>
            </w:pPr>
            <w:r>
              <w:rPr>
                <w:rFonts w:hint="eastAsia" w:ascii="黑体" w:hAnsi="黑体" w:eastAsia="黑体" w:cs="黑体"/>
                <w:color w:val="auto"/>
                <w:szCs w:val="21"/>
              </w:rPr>
              <w:t>单位</w:t>
            </w:r>
          </w:p>
        </w:tc>
        <w:tc>
          <w:tcPr>
            <w:tcW w:w="1339" w:type="dxa"/>
            <w:vMerge w:val="restart"/>
            <w:shd w:val="clear" w:color="auto" w:fill="auto"/>
            <w:vAlign w:val="center"/>
          </w:tcPr>
          <w:p w14:paraId="3A69A009">
            <w:pPr>
              <w:spacing w:line="400" w:lineRule="exact"/>
              <w:jc w:val="center"/>
              <w:rPr>
                <w:rFonts w:ascii="黑体" w:hAnsi="黑体" w:eastAsia="黑体" w:cs="黑体"/>
                <w:color w:val="auto"/>
                <w:szCs w:val="21"/>
              </w:rPr>
            </w:pPr>
            <w:r>
              <w:rPr>
                <w:rFonts w:hint="eastAsia" w:ascii="黑体" w:hAnsi="黑体" w:eastAsia="黑体" w:cs="黑体"/>
                <w:color w:val="auto"/>
                <w:szCs w:val="21"/>
              </w:rPr>
              <w:t>土地</w:t>
            </w:r>
          </w:p>
          <w:p w14:paraId="0829D9E4">
            <w:pPr>
              <w:spacing w:line="400" w:lineRule="exact"/>
              <w:jc w:val="center"/>
              <w:rPr>
                <w:rFonts w:ascii="黑体" w:hAnsi="黑体" w:eastAsia="黑体" w:cs="黑体"/>
                <w:color w:val="auto"/>
                <w:szCs w:val="21"/>
              </w:rPr>
            </w:pPr>
            <w:r>
              <w:rPr>
                <w:rFonts w:hint="eastAsia" w:ascii="黑体" w:hAnsi="黑体" w:eastAsia="黑体" w:cs="黑体"/>
                <w:color w:val="auto"/>
                <w:szCs w:val="21"/>
              </w:rPr>
              <w:t>类别</w:t>
            </w:r>
          </w:p>
        </w:tc>
        <w:tc>
          <w:tcPr>
            <w:tcW w:w="889" w:type="dxa"/>
            <w:vMerge w:val="restart"/>
            <w:shd w:val="clear" w:color="auto" w:fill="auto"/>
            <w:vAlign w:val="center"/>
          </w:tcPr>
          <w:p w14:paraId="7B6FE8D3">
            <w:pPr>
              <w:spacing w:line="400" w:lineRule="exact"/>
              <w:jc w:val="center"/>
              <w:rPr>
                <w:rFonts w:ascii="黑体" w:hAnsi="黑体" w:eastAsia="黑体" w:cs="黑体"/>
                <w:color w:val="auto"/>
                <w:szCs w:val="21"/>
              </w:rPr>
            </w:pPr>
            <w:r>
              <w:rPr>
                <w:rFonts w:hint="eastAsia" w:ascii="黑体" w:hAnsi="黑体" w:eastAsia="黑体" w:cs="黑体"/>
                <w:color w:val="auto"/>
                <w:szCs w:val="21"/>
              </w:rPr>
              <w:t>面积</w:t>
            </w:r>
          </w:p>
        </w:tc>
        <w:tc>
          <w:tcPr>
            <w:tcW w:w="2204" w:type="dxa"/>
            <w:gridSpan w:val="2"/>
            <w:shd w:val="clear" w:color="auto" w:fill="auto"/>
            <w:vAlign w:val="center"/>
          </w:tcPr>
          <w:p w14:paraId="200BCC18">
            <w:pPr>
              <w:spacing w:line="400" w:lineRule="exact"/>
              <w:jc w:val="center"/>
              <w:rPr>
                <w:rFonts w:ascii="黑体" w:hAnsi="黑体" w:eastAsia="黑体" w:cs="黑体"/>
                <w:color w:val="auto"/>
                <w:szCs w:val="21"/>
              </w:rPr>
            </w:pPr>
            <w:r>
              <w:rPr>
                <w:rFonts w:hint="eastAsia" w:ascii="黑体" w:hAnsi="黑体" w:eastAsia="黑体" w:cs="黑体"/>
                <w:color w:val="auto"/>
                <w:szCs w:val="21"/>
              </w:rPr>
              <w:t>土地补偿费</w:t>
            </w:r>
          </w:p>
        </w:tc>
        <w:tc>
          <w:tcPr>
            <w:tcW w:w="2567" w:type="dxa"/>
            <w:gridSpan w:val="2"/>
            <w:shd w:val="clear" w:color="auto" w:fill="auto"/>
            <w:vAlign w:val="center"/>
          </w:tcPr>
          <w:p w14:paraId="52C9A274">
            <w:pPr>
              <w:spacing w:line="400" w:lineRule="exact"/>
              <w:jc w:val="center"/>
              <w:rPr>
                <w:rFonts w:ascii="黑体" w:hAnsi="黑体" w:eastAsia="黑体" w:cs="黑体"/>
                <w:color w:val="auto"/>
                <w:szCs w:val="21"/>
              </w:rPr>
            </w:pPr>
            <w:r>
              <w:rPr>
                <w:rFonts w:hint="eastAsia" w:ascii="黑体" w:hAnsi="黑体" w:eastAsia="黑体" w:cs="黑体"/>
                <w:color w:val="auto"/>
                <w:szCs w:val="21"/>
              </w:rPr>
              <w:t>安置补助费</w:t>
            </w:r>
          </w:p>
        </w:tc>
        <w:tc>
          <w:tcPr>
            <w:tcW w:w="1413" w:type="dxa"/>
            <w:vMerge w:val="restart"/>
            <w:shd w:val="clear" w:color="auto" w:fill="auto"/>
            <w:vAlign w:val="center"/>
          </w:tcPr>
          <w:p w14:paraId="401B59B2">
            <w:pPr>
              <w:spacing w:line="400" w:lineRule="exact"/>
              <w:jc w:val="center"/>
              <w:rPr>
                <w:rFonts w:ascii="黑体" w:hAnsi="黑体" w:eastAsia="黑体" w:cs="黑体"/>
                <w:color w:val="auto"/>
                <w:szCs w:val="21"/>
              </w:rPr>
            </w:pPr>
            <w:r>
              <w:rPr>
                <w:rFonts w:hint="eastAsia" w:ascii="黑体" w:hAnsi="黑体" w:eastAsia="黑体" w:cs="黑体"/>
                <w:color w:val="auto"/>
                <w:szCs w:val="21"/>
              </w:rPr>
              <w:t>小计</w:t>
            </w:r>
          </w:p>
        </w:tc>
      </w:tr>
      <w:tr w14:paraId="1673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49" w:type="dxa"/>
            <w:vMerge w:val="restart"/>
            <w:shd w:val="clear" w:color="auto" w:fill="auto"/>
            <w:vAlign w:val="center"/>
          </w:tcPr>
          <w:p w14:paraId="6DB302F1">
            <w:pPr>
              <w:spacing w:line="400" w:lineRule="exact"/>
              <w:jc w:val="center"/>
              <w:rPr>
                <w:rFonts w:ascii="黑体" w:hAnsi="黑体" w:eastAsia="黑体" w:cs="黑体"/>
                <w:color w:val="auto"/>
                <w:szCs w:val="21"/>
              </w:rPr>
            </w:pPr>
            <w:r>
              <w:rPr>
                <w:rFonts w:hint="eastAsia" w:ascii="黑体" w:hAnsi="黑体" w:eastAsia="黑体" w:cs="黑体"/>
                <w:color w:val="auto"/>
                <w:szCs w:val="21"/>
              </w:rPr>
              <w:t>韶关市武江区西河镇红星经济联合社</w:t>
            </w:r>
          </w:p>
        </w:tc>
        <w:tc>
          <w:tcPr>
            <w:tcW w:w="1339" w:type="dxa"/>
            <w:vMerge w:val="continue"/>
            <w:vAlign w:val="center"/>
          </w:tcPr>
          <w:p w14:paraId="263346C0">
            <w:pPr>
              <w:spacing w:line="400" w:lineRule="exact"/>
              <w:jc w:val="center"/>
              <w:rPr>
                <w:rFonts w:ascii="黑体" w:hAnsi="黑体" w:eastAsia="黑体" w:cs="黑体"/>
                <w:color w:val="auto"/>
                <w:szCs w:val="21"/>
              </w:rPr>
            </w:pPr>
          </w:p>
        </w:tc>
        <w:tc>
          <w:tcPr>
            <w:tcW w:w="889" w:type="dxa"/>
            <w:vMerge w:val="continue"/>
            <w:vAlign w:val="center"/>
          </w:tcPr>
          <w:p w14:paraId="041BD4A9">
            <w:pPr>
              <w:spacing w:line="400" w:lineRule="exact"/>
              <w:jc w:val="center"/>
              <w:rPr>
                <w:rFonts w:ascii="黑体" w:hAnsi="黑体" w:eastAsia="黑体" w:cs="黑体"/>
                <w:color w:val="auto"/>
                <w:szCs w:val="21"/>
              </w:rPr>
            </w:pPr>
          </w:p>
        </w:tc>
        <w:tc>
          <w:tcPr>
            <w:tcW w:w="1110" w:type="dxa"/>
            <w:shd w:val="clear" w:color="auto" w:fill="auto"/>
            <w:vAlign w:val="center"/>
          </w:tcPr>
          <w:p w14:paraId="7BC701F0">
            <w:pPr>
              <w:spacing w:line="400" w:lineRule="exact"/>
              <w:jc w:val="center"/>
              <w:rPr>
                <w:rFonts w:ascii="黑体" w:hAnsi="黑体" w:eastAsia="黑体" w:cs="黑体"/>
                <w:color w:val="auto"/>
                <w:szCs w:val="21"/>
              </w:rPr>
            </w:pPr>
            <w:r>
              <w:rPr>
                <w:rFonts w:hint="eastAsia" w:ascii="黑体" w:hAnsi="黑体" w:eastAsia="黑体" w:cs="黑体"/>
                <w:color w:val="auto"/>
                <w:szCs w:val="21"/>
              </w:rPr>
              <w:t>补偿标准</w:t>
            </w:r>
          </w:p>
        </w:tc>
        <w:tc>
          <w:tcPr>
            <w:tcW w:w="1094" w:type="dxa"/>
            <w:shd w:val="clear" w:color="auto" w:fill="auto"/>
            <w:vAlign w:val="center"/>
          </w:tcPr>
          <w:p w14:paraId="24BB6623">
            <w:pPr>
              <w:spacing w:line="400" w:lineRule="exact"/>
              <w:jc w:val="center"/>
              <w:rPr>
                <w:rFonts w:ascii="黑体" w:hAnsi="黑体" w:eastAsia="黑体" w:cs="黑体"/>
                <w:color w:val="auto"/>
                <w:szCs w:val="21"/>
              </w:rPr>
            </w:pPr>
            <w:r>
              <w:rPr>
                <w:rFonts w:hint="eastAsia" w:ascii="黑体" w:hAnsi="黑体" w:eastAsia="黑体" w:cs="黑体"/>
                <w:color w:val="auto"/>
                <w:szCs w:val="21"/>
              </w:rPr>
              <w:t>补偿金额</w:t>
            </w:r>
          </w:p>
        </w:tc>
        <w:tc>
          <w:tcPr>
            <w:tcW w:w="1125" w:type="dxa"/>
            <w:shd w:val="clear" w:color="auto" w:fill="auto"/>
            <w:vAlign w:val="center"/>
          </w:tcPr>
          <w:p w14:paraId="1B6D28DE">
            <w:pPr>
              <w:spacing w:line="400" w:lineRule="exact"/>
              <w:jc w:val="center"/>
              <w:rPr>
                <w:rFonts w:ascii="黑体" w:hAnsi="黑体" w:eastAsia="黑体" w:cs="黑体"/>
                <w:color w:val="auto"/>
                <w:szCs w:val="21"/>
              </w:rPr>
            </w:pPr>
            <w:r>
              <w:rPr>
                <w:rFonts w:hint="eastAsia" w:ascii="黑体" w:hAnsi="黑体" w:eastAsia="黑体" w:cs="黑体"/>
                <w:color w:val="auto"/>
                <w:szCs w:val="21"/>
              </w:rPr>
              <w:t>补偿标准</w:t>
            </w:r>
          </w:p>
        </w:tc>
        <w:tc>
          <w:tcPr>
            <w:tcW w:w="1442" w:type="dxa"/>
            <w:shd w:val="clear" w:color="auto" w:fill="auto"/>
            <w:vAlign w:val="center"/>
          </w:tcPr>
          <w:p w14:paraId="5E3A0ACF">
            <w:pPr>
              <w:spacing w:line="400" w:lineRule="exact"/>
              <w:jc w:val="center"/>
              <w:rPr>
                <w:rFonts w:ascii="黑体" w:hAnsi="黑体" w:eastAsia="黑体" w:cs="黑体"/>
                <w:color w:val="auto"/>
                <w:szCs w:val="21"/>
              </w:rPr>
            </w:pPr>
            <w:r>
              <w:rPr>
                <w:rFonts w:hint="eastAsia" w:ascii="黑体" w:hAnsi="黑体" w:eastAsia="黑体" w:cs="黑体"/>
                <w:color w:val="auto"/>
                <w:szCs w:val="21"/>
              </w:rPr>
              <w:t>补偿金额</w:t>
            </w:r>
          </w:p>
        </w:tc>
        <w:tc>
          <w:tcPr>
            <w:tcW w:w="1413" w:type="dxa"/>
            <w:vMerge w:val="continue"/>
            <w:vAlign w:val="center"/>
          </w:tcPr>
          <w:p w14:paraId="1336A03B">
            <w:pPr>
              <w:spacing w:line="400" w:lineRule="exact"/>
              <w:jc w:val="center"/>
              <w:rPr>
                <w:color w:val="auto"/>
                <w:szCs w:val="21"/>
              </w:rPr>
            </w:pPr>
          </w:p>
        </w:tc>
      </w:tr>
      <w:tr w14:paraId="5673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649" w:type="dxa"/>
            <w:vMerge w:val="continue"/>
            <w:vAlign w:val="center"/>
          </w:tcPr>
          <w:p w14:paraId="33D5200E">
            <w:pPr>
              <w:jc w:val="center"/>
              <w:rPr>
                <w:color w:val="auto"/>
                <w:szCs w:val="21"/>
              </w:rPr>
            </w:pPr>
          </w:p>
        </w:tc>
        <w:tc>
          <w:tcPr>
            <w:tcW w:w="1339" w:type="dxa"/>
            <w:shd w:val="clear" w:color="auto" w:fill="auto"/>
            <w:vAlign w:val="center"/>
          </w:tcPr>
          <w:p w14:paraId="5E028DA5">
            <w:pPr>
              <w:spacing w:line="400" w:lineRule="exact"/>
              <w:jc w:val="center"/>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建设用地</w:t>
            </w:r>
          </w:p>
        </w:tc>
        <w:tc>
          <w:tcPr>
            <w:tcW w:w="889" w:type="dxa"/>
            <w:shd w:val="clear" w:color="auto" w:fill="auto"/>
            <w:vAlign w:val="center"/>
          </w:tcPr>
          <w:p w14:paraId="05144D2B">
            <w:pPr>
              <w:spacing w:line="400" w:lineRule="exact"/>
              <w:jc w:val="center"/>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0.0354</w:t>
            </w:r>
          </w:p>
        </w:tc>
        <w:tc>
          <w:tcPr>
            <w:tcW w:w="1110" w:type="dxa"/>
            <w:shd w:val="clear" w:color="auto" w:fill="auto"/>
            <w:vAlign w:val="center"/>
          </w:tcPr>
          <w:p w14:paraId="373BA609">
            <w:pPr>
              <w:spacing w:line="400" w:lineRule="exact"/>
              <w:jc w:val="center"/>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48.45</w:t>
            </w:r>
          </w:p>
        </w:tc>
        <w:tc>
          <w:tcPr>
            <w:tcW w:w="1094" w:type="dxa"/>
            <w:shd w:val="clear" w:color="auto" w:fill="auto"/>
            <w:vAlign w:val="center"/>
          </w:tcPr>
          <w:p w14:paraId="5DBFAF31">
            <w:pPr>
              <w:spacing w:line="400" w:lineRule="exact"/>
              <w:jc w:val="center"/>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rPr>
              <w:t>1.715</w:t>
            </w:r>
            <w:r>
              <w:rPr>
                <w:rFonts w:hint="eastAsia" w:ascii="仿宋_GB2312" w:hAnsi="仿宋_GB2312" w:eastAsia="仿宋_GB2312" w:cs="仿宋_GB2312"/>
                <w:color w:val="auto"/>
                <w:szCs w:val="21"/>
                <w:lang w:val="en-US" w:eastAsia="zh-CN"/>
              </w:rPr>
              <w:t>1</w:t>
            </w:r>
          </w:p>
        </w:tc>
        <w:tc>
          <w:tcPr>
            <w:tcW w:w="1125" w:type="dxa"/>
            <w:shd w:val="clear" w:color="auto" w:fill="auto"/>
            <w:vAlign w:val="center"/>
          </w:tcPr>
          <w:p w14:paraId="303CC1A0">
            <w:pPr>
              <w:spacing w:line="400" w:lineRule="exact"/>
              <w:jc w:val="center"/>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48.6</w:t>
            </w:r>
          </w:p>
        </w:tc>
        <w:tc>
          <w:tcPr>
            <w:tcW w:w="1442" w:type="dxa"/>
            <w:shd w:val="clear" w:color="auto" w:fill="auto"/>
            <w:vAlign w:val="center"/>
          </w:tcPr>
          <w:p w14:paraId="0A86C687">
            <w:pPr>
              <w:spacing w:line="400" w:lineRule="exact"/>
              <w:jc w:val="center"/>
              <w:rPr>
                <w:rFonts w:hint="eastAsia" w:ascii="仿宋_GB2312" w:hAnsi="仿宋_GB2312" w:eastAsia="仿宋_GB2312" w:cs="仿宋_GB2312"/>
                <w:color w:val="auto"/>
                <w:szCs w:val="21"/>
              </w:rPr>
            </w:pPr>
            <w:r>
              <w:rPr>
                <w:rFonts w:hint="eastAsia" w:ascii="仿宋_GB2312" w:hAnsi="仿宋_GB2312" w:eastAsia="仿宋_GB2312" w:cs="仿宋_GB2312"/>
                <w:color w:val="auto"/>
                <w:szCs w:val="21"/>
              </w:rPr>
              <w:t>1.7204</w:t>
            </w:r>
          </w:p>
        </w:tc>
        <w:tc>
          <w:tcPr>
            <w:tcW w:w="1413" w:type="dxa"/>
            <w:shd w:val="clear" w:color="auto" w:fill="auto"/>
            <w:vAlign w:val="center"/>
          </w:tcPr>
          <w:p w14:paraId="5141B18C">
            <w:pPr>
              <w:spacing w:line="400" w:lineRule="exact"/>
              <w:jc w:val="center"/>
              <w:rPr>
                <w:rFonts w:hint="eastAsia" w:ascii="仿宋_GB2312" w:hAnsi="仿宋_GB2312" w:eastAsia="仿宋_GB2312" w:cs="仿宋_GB2312"/>
                <w:color w:val="auto"/>
                <w:szCs w:val="21"/>
                <w:lang w:val="en-US" w:eastAsia="zh-CN"/>
              </w:rPr>
            </w:pPr>
            <w:r>
              <w:rPr>
                <w:rFonts w:hint="eastAsia" w:ascii="仿宋_GB2312" w:hAnsi="仿宋_GB2312" w:eastAsia="仿宋_GB2312" w:cs="仿宋_GB2312"/>
                <w:color w:val="auto"/>
                <w:szCs w:val="21"/>
              </w:rPr>
              <w:t>3.435</w:t>
            </w:r>
            <w:r>
              <w:rPr>
                <w:rFonts w:hint="eastAsia" w:ascii="仿宋_GB2312" w:hAnsi="仿宋_GB2312" w:eastAsia="仿宋_GB2312" w:cs="仿宋_GB2312"/>
                <w:color w:val="auto"/>
                <w:szCs w:val="21"/>
                <w:lang w:val="en-US" w:eastAsia="zh-CN"/>
              </w:rPr>
              <w:t>5</w:t>
            </w:r>
          </w:p>
        </w:tc>
      </w:tr>
      <w:tr w14:paraId="04EE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49" w:type="dxa"/>
            <w:vMerge w:val="continue"/>
            <w:vAlign w:val="center"/>
          </w:tcPr>
          <w:p w14:paraId="7E579A9B">
            <w:pPr>
              <w:jc w:val="center"/>
              <w:rPr>
                <w:color w:val="auto"/>
                <w:szCs w:val="21"/>
              </w:rPr>
            </w:pPr>
          </w:p>
        </w:tc>
        <w:tc>
          <w:tcPr>
            <w:tcW w:w="2228" w:type="dxa"/>
            <w:gridSpan w:val="2"/>
            <w:shd w:val="clear" w:color="auto" w:fill="auto"/>
            <w:vAlign w:val="center"/>
          </w:tcPr>
          <w:p w14:paraId="0B163425">
            <w:pPr>
              <w:spacing w:line="400" w:lineRule="exact"/>
              <w:jc w:val="center"/>
              <w:rPr>
                <w:rFonts w:ascii="仿宋_GB2312" w:hAnsi="仿宋_GB2312" w:eastAsia="仿宋_GB2312" w:cs="仿宋_GB2312"/>
                <w:color w:val="auto"/>
                <w:szCs w:val="21"/>
              </w:rPr>
            </w:pPr>
            <w:r>
              <w:rPr>
                <w:rFonts w:hint="eastAsia" w:ascii="仿宋_GB2312" w:hAnsi="仿宋_GB2312" w:eastAsia="仿宋_GB2312" w:cs="仿宋_GB2312"/>
                <w:color w:val="auto"/>
                <w:szCs w:val="21"/>
              </w:rPr>
              <w:t>土地补偿安置费</w:t>
            </w:r>
          </w:p>
          <w:p w14:paraId="476C85D2">
            <w:pPr>
              <w:spacing w:line="400" w:lineRule="exact"/>
              <w:jc w:val="center"/>
              <w:rPr>
                <w:rFonts w:ascii="仿宋_GB2312" w:hAnsi="仿宋_GB2312" w:eastAsia="仿宋_GB2312" w:cs="仿宋_GB2312"/>
                <w:color w:val="auto"/>
                <w:szCs w:val="21"/>
              </w:rPr>
            </w:pPr>
            <w:r>
              <w:rPr>
                <w:rFonts w:hint="eastAsia" w:ascii="仿宋_GB2312" w:hAnsi="仿宋_GB2312" w:eastAsia="仿宋_GB2312" w:cs="仿宋_GB2312"/>
                <w:color w:val="auto"/>
                <w:szCs w:val="21"/>
              </w:rPr>
              <w:t>与安置补助费</w:t>
            </w:r>
          </w:p>
        </w:tc>
        <w:tc>
          <w:tcPr>
            <w:tcW w:w="3329" w:type="dxa"/>
            <w:gridSpan w:val="3"/>
            <w:shd w:val="clear" w:color="auto" w:fill="auto"/>
            <w:vAlign w:val="center"/>
          </w:tcPr>
          <w:p w14:paraId="0C0A6723">
            <w:pPr>
              <w:widowControl/>
              <w:jc w:val="center"/>
              <w:textAlignment w:val="center"/>
              <w:rPr>
                <w:rFonts w:hint="eastAsia" w:ascii="仿宋_GB2312" w:hAnsi="仿宋_GB2312" w:eastAsia="仿宋_GB2312" w:cs="仿宋_GB2312"/>
                <w:color w:val="auto"/>
                <w:sz w:val="24"/>
                <w:lang w:val="en-US" w:eastAsia="zh-CN"/>
              </w:rPr>
            </w:pPr>
            <w:r>
              <w:rPr>
                <w:rFonts w:hint="eastAsia" w:ascii="仿宋_GB2312" w:hAnsi="仿宋_GB2312" w:eastAsia="仿宋_GB2312" w:cs="仿宋_GB2312"/>
                <w:color w:val="auto"/>
                <w:szCs w:val="21"/>
              </w:rPr>
              <w:t>3.435</w:t>
            </w:r>
            <w:r>
              <w:rPr>
                <w:rFonts w:hint="eastAsia" w:ascii="仿宋_GB2312" w:hAnsi="仿宋_GB2312" w:eastAsia="仿宋_GB2312" w:cs="仿宋_GB2312"/>
                <w:color w:val="auto"/>
                <w:szCs w:val="21"/>
                <w:lang w:val="en-US" w:eastAsia="zh-CN"/>
              </w:rPr>
              <w:t>5</w:t>
            </w:r>
          </w:p>
        </w:tc>
        <w:tc>
          <w:tcPr>
            <w:tcW w:w="2855" w:type="dxa"/>
            <w:gridSpan w:val="2"/>
            <w:vMerge w:val="restart"/>
            <w:shd w:val="clear" w:color="auto" w:fill="auto"/>
            <w:vAlign w:val="center"/>
          </w:tcPr>
          <w:p w14:paraId="701A8D4E">
            <w:pPr>
              <w:spacing w:line="400" w:lineRule="exact"/>
              <w:jc w:val="center"/>
              <w:rPr>
                <w:rFonts w:ascii="仿宋_GB2312" w:hAnsi="仿宋_GB2312" w:eastAsia="仿宋_GB2312" w:cs="仿宋_GB2312"/>
                <w:color w:val="auto"/>
                <w:szCs w:val="21"/>
              </w:rPr>
            </w:pPr>
            <w:r>
              <w:rPr>
                <w:rFonts w:hint="eastAsia" w:ascii="仿宋_GB2312" w:hAnsi="仿宋_GB2312" w:eastAsia="仿宋_GB2312" w:cs="仿宋_GB2312"/>
                <w:color w:val="auto"/>
                <w:szCs w:val="21"/>
              </w:rPr>
              <w:t>补偿方式为货币，土地补偿费补偿支付对象为韶关市武江区西河镇红星经济联合社，其余补偿费用由被征地村委或村小组转付需安置补偿对象。</w:t>
            </w:r>
          </w:p>
        </w:tc>
      </w:tr>
      <w:tr w14:paraId="004DD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49" w:type="dxa"/>
            <w:vMerge w:val="continue"/>
            <w:vAlign w:val="center"/>
          </w:tcPr>
          <w:p w14:paraId="5F887DE4">
            <w:pPr>
              <w:jc w:val="center"/>
              <w:rPr>
                <w:szCs w:val="21"/>
              </w:rPr>
            </w:pPr>
          </w:p>
        </w:tc>
        <w:tc>
          <w:tcPr>
            <w:tcW w:w="2228" w:type="dxa"/>
            <w:gridSpan w:val="2"/>
            <w:shd w:val="clear" w:color="auto" w:fill="auto"/>
            <w:vAlign w:val="center"/>
          </w:tcPr>
          <w:p w14:paraId="75073B31">
            <w:pPr>
              <w:spacing w:line="400" w:lineRule="exact"/>
              <w:jc w:val="center"/>
              <w:rPr>
                <w:rFonts w:ascii="仿宋_GB2312" w:hAnsi="仿宋_GB2312" w:eastAsia="仿宋_GB2312" w:cs="仿宋_GB2312"/>
                <w:szCs w:val="21"/>
              </w:rPr>
            </w:pPr>
            <w:r>
              <w:rPr>
                <w:rFonts w:hint="eastAsia" w:ascii="仿宋_GB2312" w:hAnsi="仿宋_GB2312" w:eastAsia="仿宋_GB2312" w:cs="仿宋_GB2312"/>
                <w:szCs w:val="21"/>
              </w:rPr>
              <w:t>青苗补偿费</w:t>
            </w:r>
          </w:p>
        </w:tc>
        <w:tc>
          <w:tcPr>
            <w:tcW w:w="3329" w:type="dxa"/>
            <w:gridSpan w:val="3"/>
            <w:shd w:val="clear" w:color="auto" w:fill="auto"/>
            <w:vAlign w:val="center"/>
          </w:tcPr>
          <w:p w14:paraId="113698A2">
            <w:pPr>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以实际清点为准</w:t>
            </w:r>
          </w:p>
        </w:tc>
        <w:tc>
          <w:tcPr>
            <w:tcW w:w="2855" w:type="dxa"/>
            <w:gridSpan w:val="2"/>
            <w:vMerge w:val="continue"/>
            <w:vAlign w:val="center"/>
          </w:tcPr>
          <w:p w14:paraId="4BF00B64">
            <w:pPr>
              <w:spacing w:line="400" w:lineRule="exact"/>
              <w:jc w:val="center"/>
              <w:rPr>
                <w:szCs w:val="21"/>
              </w:rPr>
            </w:pPr>
          </w:p>
        </w:tc>
      </w:tr>
      <w:tr w14:paraId="4059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649" w:type="dxa"/>
            <w:vMerge w:val="continue"/>
            <w:vAlign w:val="center"/>
          </w:tcPr>
          <w:p w14:paraId="058B391A">
            <w:pPr>
              <w:jc w:val="center"/>
              <w:rPr>
                <w:szCs w:val="21"/>
              </w:rPr>
            </w:pPr>
          </w:p>
        </w:tc>
        <w:tc>
          <w:tcPr>
            <w:tcW w:w="2228" w:type="dxa"/>
            <w:gridSpan w:val="2"/>
            <w:shd w:val="clear" w:color="auto" w:fill="auto"/>
            <w:vAlign w:val="center"/>
          </w:tcPr>
          <w:p w14:paraId="17AC268A">
            <w:pPr>
              <w:spacing w:line="400" w:lineRule="exact"/>
              <w:jc w:val="center"/>
              <w:rPr>
                <w:rFonts w:ascii="仿宋_GB2312" w:hAnsi="仿宋_GB2312" w:eastAsia="仿宋_GB2312" w:cs="仿宋_GB2312"/>
                <w:szCs w:val="21"/>
              </w:rPr>
            </w:pPr>
            <w:r>
              <w:rPr>
                <w:rFonts w:hint="eastAsia" w:ascii="仿宋_GB2312" w:hAnsi="仿宋_GB2312" w:eastAsia="仿宋_GB2312" w:cs="仿宋_GB2312"/>
                <w:szCs w:val="21"/>
              </w:rPr>
              <w:t>地上附着物补偿</w:t>
            </w:r>
          </w:p>
        </w:tc>
        <w:tc>
          <w:tcPr>
            <w:tcW w:w="3329" w:type="dxa"/>
            <w:gridSpan w:val="3"/>
            <w:shd w:val="clear" w:color="auto" w:fill="auto"/>
            <w:vAlign w:val="center"/>
          </w:tcPr>
          <w:p w14:paraId="5FE29016">
            <w:pPr>
              <w:spacing w:line="4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按政府由关规定进行补偿</w:t>
            </w:r>
          </w:p>
        </w:tc>
        <w:tc>
          <w:tcPr>
            <w:tcW w:w="2855" w:type="dxa"/>
            <w:gridSpan w:val="2"/>
            <w:vMerge w:val="continue"/>
            <w:vAlign w:val="center"/>
          </w:tcPr>
          <w:p w14:paraId="5469F484">
            <w:pPr>
              <w:spacing w:line="400" w:lineRule="exact"/>
              <w:jc w:val="center"/>
              <w:rPr>
                <w:szCs w:val="21"/>
              </w:rPr>
            </w:pPr>
          </w:p>
        </w:tc>
      </w:tr>
      <w:tr w14:paraId="68F8D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649" w:type="dxa"/>
            <w:vMerge w:val="continue"/>
            <w:vAlign w:val="center"/>
          </w:tcPr>
          <w:p w14:paraId="532EBA71">
            <w:pPr>
              <w:jc w:val="center"/>
              <w:rPr>
                <w:szCs w:val="21"/>
              </w:rPr>
            </w:pPr>
          </w:p>
        </w:tc>
        <w:tc>
          <w:tcPr>
            <w:tcW w:w="2228" w:type="dxa"/>
            <w:gridSpan w:val="2"/>
            <w:shd w:val="clear" w:color="auto" w:fill="auto"/>
            <w:vAlign w:val="center"/>
          </w:tcPr>
          <w:p w14:paraId="180C441E">
            <w:pPr>
              <w:spacing w:line="400" w:lineRule="exact"/>
              <w:jc w:val="center"/>
              <w:rPr>
                <w:rFonts w:ascii="仿宋_GB2312" w:hAnsi="仿宋_GB2312" w:eastAsia="仿宋_GB2312" w:cs="仿宋_GB2312"/>
                <w:szCs w:val="21"/>
              </w:rPr>
            </w:pPr>
            <w:r>
              <w:rPr>
                <w:rFonts w:hint="eastAsia" w:ascii="仿宋_GB2312" w:hAnsi="仿宋_GB2312" w:eastAsia="仿宋_GB2312" w:cs="仿宋_GB2312"/>
                <w:szCs w:val="21"/>
              </w:rPr>
              <w:t>以上土地面积合计</w:t>
            </w:r>
          </w:p>
        </w:tc>
        <w:tc>
          <w:tcPr>
            <w:tcW w:w="3329" w:type="dxa"/>
            <w:gridSpan w:val="3"/>
            <w:shd w:val="clear" w:color="auto" w:fill="auto"/>
            <w:vAlign w:val="center"/>
          </w:tcPr>
          <w:p w14:paraId="3142F332">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color w:val="000000"/>
                <w:szCs w:val="21"/>
              </w:rPr>
              <w:t>0.0354</w:t>
            </w:r>
          </w:p>
        </w:tc>
        <w:tc>
          <w:tcPr>
            <w:tcW w:w="2855" w:type="dxa"/>
            <w:gridSpan w:val="2"/>
            <w:vMerge w:val="continue"/>
            <w:vAlign w:val="center"/>
          </w:tcPr>
          <w:p w14:paraId="5008E21A">
            <w:pPr>
              <w:spacing w:line="400" w:lineRule="exact"/>
              <w:jc w:val="center"/>
              <w:rPr>
                <w:szCs w:val="21"/>
              </w:rPr>
            </w:pPr>
          </w:p>
        </w:tc>
      </w:tr>
      <w:tr w14:paraId="6412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649" w:type="dxa"/>
            <w:vMerge w:val="continue"/>
            <w:vAlign w:val="center"/>
          </w:tcPr>
          <w:p w14:paraId="28892AD4">
            <w:pPr>
              <w:jc w:val="center"/>
              <w:rPr>
                <w:szCs w:val="21"/>
              </w:rPr>
            </w:pPr>
          </w:p>
        </w:tc>
        <w:tc>
          <w:tcPr>
            <w:tcW w:w="2228" w:type="dxa"/>
            <w:gridSpan w:val="2"/>
            <w:shd w:val="clear" w:color="auto" w:fill="auto"/>
            <w:vAlign w:val="center"/>
          </w:tcPr>
          <w:p w14:paraId="71C50F5E">
            <w:pPr>
              <w:spacing w:line="400" w:lineRule="exact"/>
              <w:jc w:val="center"/>
              <w:rPr>
                <w:rFonts w:ascii="仿宋_GB2312" w:hAnsi="仿宋_GB2312" w:eastAsia="仿宋_GB2312" w:cs="仿宋_GB2312"/>
                <w:szCs w:val="21"/>
              </w:rPr>
            </w:pPr>
            <w:r>
              <w:rPr>
                <w:rFonts w:hint="eastAsia" w:ascii="仿宋_GB2312" w:hAnsi="仿宋_GB2312" w:eastAsia="仿宋_GB2312" w:cs="仿宋_GB2312"/>
                <w:szCs w:val="21"/>
              </w:rPr>
              <w:t>以上补偿金额合计</w:t>
            </w:r>
          </w:p>
        </w:tc>
        <w:tc>
          <w:tcPr>
            <w:tcW w:w="3329" w:type="dxa"/>
            <w:gridSpan w:val="3"/>
            <w:shd w:val="clear" w:color="auto" w:fill="auto"/>
            <w:vAlign w:val="center"/>
          </w:tcPr>
          <w:p w14:paraId="6915000B">
            <w:pPr>
              <w:spacing w:line="400" w:lineRule="exact"/>
              <w:jc w:val="center"/>
              <w:rPr>
                <w:rFonts w:hint="eastAsia" w:ascii="仿宋_GB2312" w:hAnsi="仿宋_GB2312" w:eastAsia="仿宋_GB2312" w:cs="仿宋_GB2312"/>
                <w:szCs w:val="21"/>
                <w:lang w:val="en-US" w:eastAsia="zh-CN"/>
              </w:rPr>
            </w:pPr>
            <w:r>
              <w:rPr>
                <w:rFonts w:hint="eastAsia" w:ascii="仿宋_GB2312" w:hAnsi="仿宋_GB2312" w:eastAsia="仿宋_GB2312" w:cs="仿宋_GB2312"/>
                <w:color w:val="000000"/>
                <w:szCs w:val="21"/>
              </w:rPr>
              <w:t>3.435</w:t>
            </w:r>
            <w:r>
              <w:rPr>
                <w:rFonts w:hint="eastAsia" w:ascii="仿宋_GB2312" w:hAnsi="仿宋_GB2312" w:eastAsia="仿宋_GB2312" w:cs="仿宋_GB2312"/>
                <w:color w:val="000000"/>
                <w:szCs w:val="21"/>
                <w:lang w:val="en-US" w:eastAsia="zh-CN"/>
              </w:rPr>
              <w:t>5</w:t>
            </w:r>
          </w:p>
        </w:tc>
        <w:tc>
          <w:tcPr>
            <w:tcW w:w="2855" w:type="dxa"/>
            <w:gridSpan w:val="2"/>
            <w:vMerge w:val="continue"/>
            <w:vAlign w:val="center"/>
          </w:tcPr>
          <w:p w14:paraId="390C2E85">
            <w:pPr>
              <w:spacing w:line="400" w:lineRule="exact"/>
              <w:jc w:val="center"/>
              <w:rPr>
                <w:szCs w:val="21"/>
              </w:rPr>
            </w:pPr>
          </w:p>
        </w:tc>
      </w:tr>
    </w:tbl>
    <w:p w14:paraId="1D486911">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三、安置措施情况</w:t>
      </w:r>
    </w:p>
    <w:p w14:paraId="646328EC">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ascii="仿宋_GB2312" w:hAnsi="仿宋_GB2312" w:eastAsia="仿宋_GB2312" w:cs="仿宋_GB2312"/>
          <w:sz w:val="32"/>
          <w:szCs w:val="32"/>
        </w:rPr>
      </w:pPr>
      <w:bookmarkStart w:id="6" w:name="OLE_LINK2"/>
      <w:r>
        <w:rPr>
          <w:rFonts w:hint="eastAsia" w:ascii="仿宋_GB2312" w:hAnsi="仿宋_GB2312" w:eastAsia="仿宋_GB2312" w:cs="仿宋_GB2312"/>
          <w:sz w:val="32"/>
          <w:szCs w:val="32"/>
        </w:rPr>
        <w:t>为妥善安置被征地农民，切实解决被征地农民的生产生活问题，本项目将根据</w:t>
      </w:r>
      <w:bookmarkEnd w:id="6"/>
      <w:r>
        <w:rPr>
          <w:rFonts w:hint="eastAsia" w:ascii="仿宋_GB2312" w:hAnsi="仿宋_GB2312" w:eastAsia="仿宋_GB2312" w:cs="仿宋_GB2312"/>
          <w:sz w:val="32"/>
          <w:szCs w:val="32"/>
        </w:rPr>
        <w:t>《韶关市人民政府办公室关于加强韶关市浈江区、武江区征收农村集体土地留用地安置管理工作的意见</w:t>
      </w:r>
      <w:r>
        <w:rPr>
          <w:rFonts w:hint="eastAsia" w:ascii="仿宋_GB2312" w:hAnsi="仿宋_GB2312" w:eastAsia="仿宋_GB2312" w:cs="仿宋_GB2312"/>
          <w:sz w:val="32"/>
          <w:szCs w:val="32"/>
          <w:lang w:val="zh-CN"/>
        </w:rPr>
        <w:t>的规定</w:t>
      </w:r>
      <w:r>
        <w:rPr>
          <w:rFonts w:hint="eastAsia" w:ascii="仿宋_GB2312" w:hAnsi="仿宋_GB2312" w:eastAsia="仿宋_GB2312" w:cs="仿宋_GB2312"/>
          <w:sz w:val="32"/>
          <w:szCs w:val="32"/>
        </w:rPr>
        <w:t>》（韶府办</w:t>
      </w:r>
      <w:r>
        <w:rPr>
          <w:rFonts w:hint="eastAsia" w:ascii="仿宋_GB2312" w:hAnsi="仿宋_GB2312" w:eastAsia="仿宋_GB2312" w:cs="仿宋_GB2312"/>
          <w:color w:val="000000"/>
          <w:sz w:val="32"/>
          <w:szCs w:val="32"/>
        </w:rPr>
        <w:t>〔2016〕82号</w:t>
      </w:r>
      <w:r>
        <w:rPr>
          <w:rFonts w:hint="eastAsia" w:ascii="仿宋_GB2312" w:hAnsi="仿宋_GB2312" w:eastAsia="仿宋_GB2312" w:cs="仿宋_GB2312"/>
          <w:sz w:val="32"/>
          <w:szCs w:val="32"/>
        </w:rPr>
        <w:t>）的规定，在建设用地批准后按征地面积15%的比例以折算货币方式进行留用地安置，以确保被征地农民的原有生活水平不降低，长远生计有保障。</w:t>
      </w:r>
    </w:p>
    <w:p w14:paraId="74D31E30">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right"/>
        <w:textAlignment w:val="baseline"/>
        <w:rPr>
          <w:rFonts w:hint="default" w:ascii="仿宋_GB2312" w:hAnsi="仿宋_GB2312" w:eastAsia="仿宋_GB2312" w:cs="仿宋_GB2312"/>
          <w:sz w:val="32"/>
          <w:szCs w:val="32"/>
          <w:lang w:val="en-US" w:eastAsia="zh-CN"/>
        </w:rPr>
        <w:sectPr>
          <w:pgSz w:w="11906" w:h="16839"/>
          <w:pgMar w:top="2098" w:right="1474" w:bottom="1757" w:left="1587" w:header="850" w:footer="1587" w:gutter="0"/>
          <w:pgNumType w:fmt="numberInDash"/>
          <w:cols w:space="0" w:num="1"/>
          <w:rtlGutter w:val="0"/>
          <w:docGrid w:linePitch="0" w:charSpace="0"/>
        </w:sectPr>
      </w:pPr>
    </w:p>
    <w:p w14:paraId="3D7839EE">
      <w:pPr>
        <w:pStyle w:val="18"/>
        <w:keepNext w:val="0"/>
        <w:keepLines w:val="0"/>
        <w:pageBreakBefore w:val="0"/>
        <w:wordWrap/>
        <w:overflowPunct/>
        <w:topLinePunct w:val="0"/>
        <w:bidi w:val="0"/>
        <w:spacing w:line="600" w:lineRule="exact"/>
        <w:rPr>
          <w:rFonts w:ascii="黑体" w:hAnsi="黑体" w:eastAsia="黑体" w:cs="黑体"/>
          <w:color w:val="000000"/>
          <w:sz w:val="32"/>
          <w:szCs w:val="32"/>
        </w:rPr>
      </w:pPr>
      <w:r>
        <w:rPr>
          <w:rFonts w:hint="eastAsia" w:ascii="黑体" w:hAnsi="黑体" w:eastAsia="黑体" w:cs="黑体"/>
          <w:color w:val="000000"/>
          <w:sz w:val="32"/>
          <w:szCs w:val="32"/>
        </w:rPr>
        <w:t>附件2</w:t>
      </w:r>
    </w:p>
    <w:p w14:paraId="4C76DE82">
      <w:pPr>
        <w:pStyle w:val="18"/>
        <w:keepNext w:val="0"/>
        <w:keepLines w:val="0"/>
        <w:pageBreakBefore w:val="0"/>
        <w:wordWrap/>
        <w:overflowPunct/>
        <w:topLinePunct w:val="0"/>
        <w:bidi w:val="0"/>
        <w:spacing w:line="600" w:lineRule="exact"/>
        <w:rPr>
          <w:rFonts w:ascii="仿宋_GB2312" w:eastAsia="仿宋_GB2312"/>
          <w:color w:val="000000"/>
          <w:sz w:val="32"/>
          <w:szCs w:val="32"/>
        </w:rPr>
      </w:pPr>
    </w:p>
    <w:p w14:paraId="579DA3D3">
      <w:pPr>
        <w:pStyle w:val="18"/>
        <w:spacing w:line="56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北江航道扩能升级上延工程（武江段）项目</w:t>
      </w:r>
    </w:p>
    <w:p w14:paraId="6850076C">
      <w:pPr>
        <w:pStyle w:val="18"/>
        <w:spacing w:line="560" w:lineRule="exact"/>
        <w:jc w:val="center"/>
        <w:rPr>
          <w:rFonts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被征地农民养老保障方案</w:t>
      </w:r>
    </w:p>
    <w:p w14:paraId="6928F163">
      <w:pPr>
        <w:pStyle w:val="18"/>
        <w:spacing w:line="560" w:lineRule="exact"/>
        <w:ind w:firstLine="640" w:firstLineChars="200"/>
        <w:rPr>
          <w:rFonts w:ascii="方正小标宋_GBK" w:hAnsi="方正小标宋_GBK" w:eastAsia="方正小标宋_GBK" w:cs="方正小标宋_GBK"/>
          <w:color w:val="000000"/>
          <w:kern w:val="0"/>
          <w:sz w:val="32"/>
          <w:szCs w:val="32"/>
        </w:rPr>
      </w:pPr>
    </w:p>
    <w:p w14:paraId="4250BA46">
      <w:pPr>
        <w:spacing w:line="520" w:lineRule="exact"/>
        <w:ind w:firstLine="640" w:firstLineChars="200"/>
        <w:rPr>
          <w:rFonts w:ascii="仿宋_GB2312" w:eastAsia="仿宋_GB2312"/>
          <w:color w:val="000000"/>
          <w:kern w:val="0"/>
          <w:sz w:val="32"/>
          <w:szCs w:val="32"/>
          <w:shd w:val="clear" w:color="auto" w:fill="FFFFFF"/>
        </w:rPr>
      </w:pPr>
      <w:r>
        <w:rPr>
          <w:rFonts w:hint="eastAsia" w:ascii="仿宋_GB2312" w:eastAsia="仿宋_GB2312"/>
          <w:color w:val="000000"/>
          <w:kern w:val="0"/>
          <w:sz w:val="32"/>
          <w:szCs w:val="32"/>
          <w:shd w:val="clear" w:color="auto" w:fill="FFFFFF"/>
        </w:rPr>
        <w:t>依照《中华人民共和国土地管理法》、《关于切实做好被征地农民社会保障工作有关问题的通知》（劳社部发〔2007〕14号）、《广东省人民政府办公厅转发省人力资源社会保障厅关于进一步完善我省被征地农民养老保障政策意见的通知》（粤府办〔2021〕22号）和《韶关市人民政府办公室关于进一步明确韶关市被征地农民养老保障工作的通知》（韶府办发函〔2021〕179号）等有关规定精神，拟定北江航道扩能升级上延工程（武江段）项目被征地农民养老保障方案如下：</w:t>
      </w:r>
    </w:p>
    <w:p w14:paraId="674EE7D4">
      <w:pPr>
        <w:spacing w:line="520" w:lineRule="exact"/>
        <w:ind w:firstLine="640" w:firstLineChars="200"/>
        <w:rPr>
          <w:rFonts w:ascii="仿宋_GB2312" w:eastAsia="仿宋_GB2312"/>
          <w:color w:val="000000"/>
          <w:kern w:val="0"/>
          <w:sz w:val="32"/>
          <w:szCs w:val="32"/>
          <w:shd w:val="clear" w:color="auto" w:fill="FFFFFF"/>
        </w:rPr>
      </w:pPr>
      <w:r>
        <w:rPr>
          <w:rFonts w:hint="eastAsia" w:ascii="仿宋_GB2312" w:eastAsia="仿宋_GB2312"/>
          <w:color w:val="000000"/>
          <w:kern w:val="0"/>
          <w:sz w:val="32"/>
          <w:szCs w:val="32"/>
          <w:shd w:val="clear" w:color="auto" w:fill="FFFFFF"/>
        </w:rPr>
        <w:t>一、对北江航道扩能升级上延工程（武江段）项目涉及的被征地农民实施社会养老保障。</w:t>
      </w:r>
    </w:p>
    <w:p w14:paraId="0359674D">
      <w:pPr>
        <w:spacing w:line="520" w:lineRule="exact"/>
        <w:ind w:firstLine="640" w:firstLineChars="200"/>
        <w:rPr>
          <w:rFonts w:ascii="仿宋_GB2312" w:eastAsia="仿宋_GB2312"/>
          <w:color w:val="000000"/>
          <w:kern w:val="0"/>
          <w:sz w:val="32"/>
          <w:szCs w:val="32"/>
          <w:shd w:val="clear" w:color="auto" w:fill="FFFFFF"/>
        </w:rPr>
      </w:pPr>
      <w:r>
        <w:rPr>
          <w:rFonts w:hint="eastAsia" w:ascii="仿宋_GB2312" w:eastAsia="仿宋_GB2312"/>
          <w:color w:val="000000"/>
          <w:kern w:val="0"/>
          <w:sz w:val="32"/>
          <w:szCs w:val="32"/>
          <w:shd w:val="clear" w:color="auto" w:fill="FFFFFF"/>
        </w:rPr>
        <w:t>二、征地社保费补贴对象：北江航道扩能升级上延工程（武江段）项目涉及农村集体经济组织实行集体统一经营土地。</w:t>
      </w:r>
    </w:p>
    <w:p w14:paraId="62F34616">
      <w:pPr>
        <w:spacing w:line="520" w:lineRule="exact"/>
        <w:ind w:firstLine="640" w:firstLineChars="200"/>
        <w:rPr>
          <w:rFonts w:ascii="仿宋_GB2312" w:hAnsi="仿宋_GB2312" w:eastAsia="仿宋_GB2312" w:cs="仿宋_GB2312"/>
          <w:color w:val="000000"/>
          <w:kern w:val="0"/>
          <w:sz w:val="32"/>
          <w:szCs w:val="32"/>
          <w:shd w:val="clear" w:color="auto" w:fill="FFFFFF"/>
        </w:rPr>
      </w:pPr>
      <w:r>
        <w:rPr>
          <w:rFonts w:hint="eastAsia" w:ascii="仿宋_GB2312" w:eastAsia="仿宋_GB2312"/>
          <w:color w:val="000000"/>
          <w:kern w:val="0"/>
          <w:sz w:val="32"/>
          <w:szCs w:val="32"/>
          <w:shd w:val="clear" w:color="auto" w:fill="FFFFFF"/>
        </w:rPr>
        <w:t>三、征地社保费筹集。征地面积19.7865亩，按全市平均每亩征收农用地区片综合地价2.8459万元的33%比例计提征地社保费，即每征一亩地按0.94万元的标准计提征地社保费，需计提费用18.59931万元。</w:t>
      </w:r>
    </w:p>
    <w:p w14:paraId="6D7F7400">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hint="default" w:ascii="仿宋_GB2312" w:hAnsi="仿宋_GB2312" w:eastAsia="仿宋_GB2312" w:cs="仿宋_GB2312"/>
          <w:sz w:val="32"/>
          <w:szCs w:val="32"/>
          <w:lang w:val="en-US" w:eastAsia="zh-CN"/>
        </w:rPr>
        <w:sectPr>
          <w:footerReference r:id="rId4" w:type="default"/>
          <w:pgSz w:w="11906" w:h="16838"/>
          <w:pgMar w:top="2098" w:right="1474" w:bottom="1984" w:left="1587" w:header="851" w:footer="1474" w:gutter="0"/>
          <w:pgNumType w:fmt="numberInDash"/>
          <w:cols w:space="0" w:num="1"/>
          <w:rtlGutter w:val="0"/>
          <w:docGrid w:type="lines" w:linePitch="579" w:charSpace="0"/>
        </w:sectPr>
      </w:pPr>
    </w:p>
    <w:p w14:paraId="5EDEA539">
      <w:pPr>
        <w:pStyle w:val="2"/>
        <w:ind w:left="0" w:leftChars="0" w:firstLine="0" w:firstLineChars="0"/>
        <w:rPr>
          <w:rFonts w:hint="eastAsia" w:ascii="黑体" w:hAnsi="黑体" w:eastAsia="黑体" w:cs="黑体"/>
          <w:lang w:val="en-US" w:eastAsia="zh-CN"/>
        </w:rPr>
      </w:pPr>
      <w:r>
        <w:rPr>
          <w:rFonts w:hint="eastAsia" w:ascii="黑体" w:hAnsi="黑体" w:eastAsia="黑体" w:cs="黑体"/>
          <w:lang w:val="en-US" w:eastAsia="zh-CN"/>
        </w:rPr>
        <w:t>附件3</w:t>
      </w:r>
    </w:p>
    <w:p w14:paraId="69A3CC4D">
      <w:pPr>
        <w:pStyle w:val="2"/>
        <w:ind w:left="0" w:leftChars="0" w:firstLine="0" w:firstLineChars="0"/>
        <w:rPr>
          <w:rFonts w:hint="eastAsia"/>
          <w:lang w:val="en-US" w:eastAsia="zh-CN"/>
        </w:rPr>
      </w:pPr>
    </w:p>
    <w:p w14:paraId="1E938300">
      <w:pPr>
        <w:pStyle w:val="2"/>
        <w:ind w:left="0" w:leftChars="0" w:firstLine="0" w:firstLineChars="0"/>
        <w:jc w:val="center"/>
        <w:rPr>
          <w:rFonts w:hint="default"/>
          <w:lang w:val="en-US" w:eastAsia="zh-CN"/>
        </w:rPr>
      </w:pPr>
      <w:r>
        <w:rPr>
          <w:rFonts w:hint="default"/>
          <w:lang w:val="en-US" w:eastAsia="zh-CN"/>
        </w:rPr>
        <w:drawing>
          <wp:inline distT="0" distB="0" distL="114300" distR="114300">
            <wp:extent cx="5235575" cy="7399655"/>
            <wp:effectExtent l="0" t="0" r="3175" b="10795"/>
            <wp:docPr id="3" name="图片 3" descr="位置示意图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位置示意图_页面_1"/>
                    <pic:cNvPicPr>
                      <a:picLocks noChangeAspect="1"/>
                    </pic:cNvPicPr>
                  </pic:nvPicPr>
                  <pic:blipFill>
                    <a:blip r:embed="rId6"/>
                    <a:stretch>
                      <a:fillRect/>
                    </a:stretch>
                  </pic:blipFill>
                  <pic:spPr>
                    <a:xfrm>
                      <a:off x="0" y="0"/>
                      <a:ext cx="5235575" cy="7399655"/>
                    </a:xfrm>
                    <a:prstGeom prst="rect">
                      <a:avLst/>
                    </a:prstGeom>
                  </pic:spPr>
                </pic:pic>
              </a:graphicData>
            </a:graphic>
          </wp:inline>
        </w:drawing>
      </w:r>
    </w:p>
    <w:p w14:paraId="27996DB3">
      <w:pPr>
        <w:pStyle w:val="2"/>
        <w:ind w:left="0" w:leftChars="0" w:firstLine="0" w:firstLineChars="0"/>
        <w:jc w:val="center"/>
        <w:rPr>
          <w:rFonts w:hint="default"/>
          <w:lang w:val="en-US" w:eastAsia="zh-CN"/>
        </w:rPr>
      </w:pPr>
      <w:r>
        <w:rPr>
          <w:rFonts w:hint="default"/>
          <w:lang w:val="en-US" w:eastAsia="zh-CN"/>
        </w:rPr>
        <w:drawing>
          <wp:inline distT="0" distB="0" distL="114300" distR="114300">
            <wp:extent cx="5253990" cy="7425055"/>
            <wp:effectExtent l="0" t="0" r="3810" b="4445"/>
            <wp:docPr id="4" name="图片 4" descr="位置示意图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位置示意图_页面_2"/>
                    <pic:cNvPicPr>
                      <a:picLocks noChangeAspect="1"/>
                    </pic:cNvPicPr>
                  </pic:nvPicPr>
                  <pic:blipFill>
                    <a:blip r:embed="rId7"/>
                    <a:stretch>
                      <a:fillRect/>
                    </a:stretch>
                  </pic:blipFill>
                  <pic:spPr>
                    <a:xfrm>
                      <a:off x="0" y="0"/>
                      <a:ext cx="5253990" cy="7425055"/>
                    </a:xfrm>
                    <a:prstGeom prst="rect">
                      <a:avLst/>
                    </a:prstGeom>
                  </pic:spPr>
                </pic:pic>
              </a:graphicData>
            </a:graphic>
          </wp:inline>
        </w:drawing>
      </w:r>
    </w:p>
    <w:sectPr>
      <w:pgSz w:w="11906" w:h="16838"/>
      <w:pgMar w:top="2098" w:right="1474" w:bottom="1984" w:left="1587" w:header="851" w:footer="1474" w:gutter="0"/>
      <w:pgNumType w:fmt="numberInDash"/>
      <w:cols w:space="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AD6380-A6F6-4CB5-9531-2E3BD5D673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7ECECAE3-4FC2-4108-9817-922718C9F615}"/>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3" w:fontKey="{018C0421-9D6F-4C04-B256-2F5F97E48540}"/>
  </w:font>
  <w:font w:name="楷体_GB2312">
    <w:panose1 w:val="02010609030101010101"/>
    <w:charset w:val="86"/>
    <w:family w:val="auto"/>
    <w:pitch w:val="default"/>
    <w:sig w:usb0="00000001" w:usb1="080E0000" w:usb2="00000000" w:usb3="00000000" w:csb0="00040000" w:csb1="00000000"/>
    <w:embedRegular r:id="rId4" w:fontKey="{4CD4D0E4-51E9-4FC1-AADD-DFE405C6C998}"/>
  </w:font>
  <w:font w:name="WPSEMBED1">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3A17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66EEF">
                          <w:pPr>
                            <w:pStyle w:val="5"/>
                            <w:rPr>
                              <w:sz w:val="22"/>
                              <w:szCs w:val="22"/>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B966EEF">
                    <w:pPr>
                      <w:pStyle w:val="5"/>
                      <w:rPr>
                        <w:sz w:val="22"/>
                        <w:szCs w:val="22"/>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7773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66F68">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D966F68">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displayBackgroundShape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0NmIzMWNhNWFkODk0ZjFmMGU3NTc0MjA5OWI5ZDgifQ=="/>
  </w:docVars>
  <w:rsids>
    <w:rsidRoot w:val="0031169E"/>
    <w:rsid w:val="000145C7"/>
    <w:rsid w:val="000D6102"/>
    <w:rsid w:val="0031169E"/>
    <w:rsid w:val="00604AC9"/>
    <w:rsid w:val="0061440B"/>
    <w:rsid w:val="00634C14"/>
    <w:rsid w:val="006F0D37"/>
    <w:rsid w:val="006F3AD5"/>
    <w:rsid w:val="00784463"/>
    <w:rsid w:val="007B67E2"/>
    <w:rsid w:val="008509AC"/>
    <w:rsid w:val="0092351E"/>
    <w:rsid w:val="00A359A7"/>
    <w:rsid w:val="00A70689"/>
    <w:rsid w:val="00BF1A79"/>
    <w:rsid w:val="00E95016"/>
    <w:rsid w:val="00ED6DDA"/>
    <w:rsid w:val="00F06E1F"/>
    <w:rsid w:val="00F27CCB"/>
    <w:rsid w:val="00FD405D"/>
    <w:rsid w:val="05D761B3"/>
    <w:rsid w:val="07CDF20D"/>
    <w:rsid w:val="17FC696E"/>
    <w:rsid w:val="1E4B489B"/>
    <w:rsid w:val="209626D7"/>
    <w:rsid w:val="26C0289C"/>
    <w:rsid w:val="28D56637"/>
    <w:rsid w:val="31086664"/>
    <w:rsid w:val="376E1B59"/>
    <w:rsid w:val="469C61A7"/>
    <w:rsid w:val="5A877DB3"/>
    <w:rsid w:val="635C762E"/>
    <w:rsid w:val="669F9283"/>
    <w:rsid w:val="76F7507C"/>
    <w:rsid w:val="7F5FB3F6"/>
    <w:rsid w:val="B7CB13E0"/>
    <w:rsid w:val="DEBFFE57"/>
    <w:rsid w:val="DFFBE092"/>
    <w:rsid w:val="EF871F5E"/>
    <w:rsid w:val="EFFF12ED"/>
    <w:rsid w:val="F6FBC7BE"/>
    <w:rsid w:val="FFB08E8D"/>
    <w:rsid w:val="FFB3F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eastAsia="仿宋_GB2312"/>
      <w:sz w:val="32"/>
      <w:szCs w:val="32"/>
    </w:rPr>
  </w:style>
  <w:style w:type="paragraph" w:styleId="3">
    <w:name w:val="annotation text"/>
    <w:basedOn w:val="1"/>
    <w:link w:val="16"/>
    <w:qFormat/>
    <w:uiPriority w:val="0"/>
  </w:style>
  <w:style w:type="paragraph" w:styleId="4">
    <w:name w:val="Body Text"/>
    <w:basedOn w:val="1"/>
    <w:qFormat/>
    <w:uiPriority w:val="0"/>
    <w:pPr>
      <w:kinsoku/>
      <w:spacing w:line="560" w:lineRule="exact"/>
      <w:ind w:firstLine="658"/>
      <w:jc w:val="both"/>
    </w:pPr>
    <w:rPr>
      <w:rFonts w:ascii="仿宋" w:hAnsi="仿宋" w:eastAsia="仿宋" w:cs="仿宋"/>
      <w:spacing w:val="8"/>
      <w:sz w:val="32"/>
      <w:szCs w:val="32"/>
      <w:lang w:eastAsia="zh-CN"/>
    </w:rPr>
  </w:style>
  <w:style w:type="paragraph" w:styleId="5">
    <w:name w:val="footer"/>
    <w:basedOn w:val="1"/>
    <w:link w:val="15"/>
    <w:qFormat/>
    <w:uiPriority w:val="0"/>
    <w:pPr>
      <w:tabs>
        <w:tab w:val="center" w:pos="4153"/>
        <w:tab w:val="right" w:pos="8306"/>
      </w:tabs>
    </w:pPr>
    <w:rPr>
      <w:sz w:val="18"/>
      <w:szCs w:val="18"/>
    </w:rPr>
  </w:style>
  <w:style w:type="paragraph" w:styleId="6">
    <w:name w:val="header"/>
    <w:basedOn w:val="1"/>
    <w:link w:val="14"/>
    <w:qFormat/>
    <w:uiPriority w:val="0"/>
    <w:pPr>
      <w:tabs>
        <w:tab w:val="center" w:pos="4153"/>
        <w:tab w:val="right" w:pos="8306"/>
      </w:tabs>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8">
    <w:name w:val="annotation subject"/>
    <w:basedOn w:val="3"/>
    <w:next w:val="3"/>
    <w:link w:val="17"/>
    <w:qFormat/>
    <w:uiPriority w:val="0"/>
    <w:rPr>
      <w:b/>
      <w:bCs/>
    </w:rPr>
  </w:style>
  <w:style w:type="character" w:styleId="11">
    <w:name w:val="annotation reference"/>
    <w:basedOn w:val="10"/>
    <w:qFormat/>
    <w:uiPriority w:val="0"/>
    <w:rPr>
      <w:sz w:val="21"/>
      <w:szCs w:val="21"/>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仿宋" w:hAnsi="仿宋" w:eastAsia="仿宋" w:cs="仿宋"/>
      <w:sz w:val="28"/>
      <w:szCs w:val="28"/>
    </w:rPr>
  </w:style>
  <w:style w:type="character" w:customStyle="1" w:styleId="14">
    <w:name w:val="页眉 字符"/>
    <w:basedOn w:val="10"/>
    <w:link w:val="6"/>
    <w:qFormat/>
    <w:uiPriority w:val="0"/>
    <w:rPr>
      <w:rFonts w:eastAsia="Arial"/>
      <w:snapToGrid w:val="0"/>
      <w:color w:val="000000"/>
      <w:sz w:val="18"/>
      <w:szCs w:val="18"/>
      <w:lang w:eastAsia="en-US"/>
    </w:rPr>
  </w:style>
  <w:style w:type="character" w:customStyle="1" w:styleId="15">
    <w:name w:val="页脚 字符"/>
    <w:basedOn w:val="10"/>
    <w:link w:val="5"/>
    <w:qFormat/>
    <w:uiPriority w:val="0"/>
    <w:rPr>
      <w:rFonts w:eastAsia="Arial"/>
      <w:snapToGrid w:val="0"/>
      <w:color w:val="000000"/>
      <w:sz w:val="18"/>
      <w:szCs w:val="18"/>
      <w:lang w:eastAsia="en-US"/>
    </w:rPr>
  </w:style>
  <w:style w:type="character" w:customStyle="1" w:styleId="16">
    <w:name w:val="批注文字 字符"/>
    <w:basedOn w:val="10"/>
    <w:link w:val="3"/>
    <w:qFormat/>
    <w:uiPriority w:val="0"/>
    <w:rPr>
      <w:rFonts w:eastAsia="Arial"/>
      <w:snapToGrid w:val="0"/>
      <w:color w:val="000000"/>
      <w:sz w:val="21"/>
      <w:szCs w:val="21"/>
      <w:lang w:eastAsia="en-US"/>
    </w:rPr>
  </w:style>
  <w:style w:type="character" w:customStyle="1" w:styleId="17">
    <w:name w:val="批注主题 字符"/>
    <w:basedOn w:val="16"/>
    <w:link w:val="8"/>
    <w:qFormat/>
    <w:uiPriority w:val="0"/>
    <w:rPr>
      <w:rFonts w:eastAsia="Arial"/>
      <w:b/>
      <w:bCs/>
      <w:snapToGrid w:val="0"/>
      <w:color w:val="000000"/>
      <w:sz w:val="21"/>
      <w:szCs w:val="21"/>
      <w:lang w:eastAsia="en-US"/>
    </w:rPr>
  </w:style>
  <w:style w:type="paragraph" w:customStyle="1" w:styleId="18">
    <w:name w:val="正文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3724</Words>
  <Characters>4248</Characters>
  <Lines>12</Lines>
  <Paragraphs>3</Paragraphs>
  <TotalTime>0</TotalTime>
  <ScaleCrop>false</ScaleCrop>
  <LinksUpToDate>false</LinksUpToDate>
  <CharactersWithSpaces>4264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2024-03-23T10:29:00Z</dcterms:created>
  <dc:creator>ht706</dc:creator>
  <cp:lastModifiedBy>茵</cp:lastModifiedBy>
  <cp:lastPrinted>2024-04-11T18:35:00Z</cp:lastPrinted>
  <dcterms:modified xsi:type="dcterms:W3CDTF">2026-09-16T09:23:40Z</dcterms:modified>
  <dc:title>韶关市武江区人民政府关于韶关市武江区2023年度第十批次城镇建设用地项目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2024-03-08T09:30:17Z</vt:filetime>
  </property>
  <property fmtid="{D5CDD505-2E9C-101B-9397-08002B2CF9AE}" pid="4" name="KSOProductBuildVer">
    <vt:lpwstr>2052-12.1.0.28505</vt:lpwstr>
  </property>
  <property fmtid="{D5CDD505-2E9C-101B-9397-08002B2CF9AE}" pid="5" name="ICV">
    <vt:lpwstr>66B17C3AAD46471082A5F3B61B3F6162_13</vt:lpwstr>
  </property>
  <property fmtid="{D5CDD505-2E9C-101B-9397-08002B2CF9AE}" pid="6" name="KSOTemplateDocerSaveRecord">
    <vt:lpwstr>eyJoZGlkIjoiZGZhOTZhNmI5ZjBjM2M5MTBiZGY4OGNmM2U0ZDA1YjUiLCJ1c2VySWQiOiI4NDY2Njg5MjkifQ==</vt:lpwstr>
  </property>
</Properties>
</file>