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E0FAB">
      <w:pPr>
        <w:pStyle w:val="2"/>
        <w:spacing w:before="332" w:line="419" w:lineRule="exact"/>
        <w:ind w:left="5228"/>
      </w:pPr>
      <w:r>
        <w:rPr>
          <w:spacing w:val="2"/>
          <w:position w:val="1"/>
        </w:rPr>
        <w:t>自然资函〔</w:t>
      </w:r>
      <w:r>
        <w:rPr>
          <w:rFonts w:ascii="Times New Roman" w:hAnsi="Times New Roman" w:eastAsia="Times New Roman" w:cs="Times New Roman"/>
          <w:spacing w:val="2"/>
          <w:position w:val="1"/>
        </w:rPr>
        <w:t>2026</w:t>
      </w:r>
      <w:r>
        <w:rPr>
          <w:spacing w:val="2"/>
          <w:position w:val="1"/>
        </w:rPr>
        <w:t>〕</w:t>
      </w:r>
      <w:r>
        <w:rPr>
          <w:rFonts w:ascii="Times New Roman" w:hAnsi="Times New Roman" w:eastAsia="Times New Roman" w:cs="Times New Roman"/>
          <w:spacing w:val="2"/>
          <w:position w:val="1"/>
        </w:rPr>
        <w:t>205</w:t>
      </w:r>
      <w:r>
        <w:rPr>
          <w:spacing w:val="2"/>
          <w:position w:val="1"/>
        </w:rPr>
        <w:t>号</w:t>
      </w:r>
    </w:p>
    <w:p w14:paraId="26766029">
      <w:pPr>
        <w:spacing w:line="470" w:lineRule="auto"/>
        <w:rPr>
          <w:rFonts w:ascii="Arial"/>
          <w:sz w:val="21"/>
        </w:rPr>
      </w:pPr>
    </w:p>
    <w:p w14:paraId="1F5C2AB8">
      <w:pPr>
        <w:spacing w:before="164" w:line="206" w:lineRule="auto"/>
        <w:ind w:left="193"/>
        <w:outlineLvl w:val="0"/>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6"/>
          <w:sz w:val="43"/>
          <w:szCs w:val="43"/>
        </w:rPr>
        <w:t>自然资源部关于京港澳高速公路粤境韶关武江</w:t>
      </w:r>
    </w:p>
    <w:p w14:paraId="02CAA113">
      <w:pPr>
        <w:spacing w:before="2" w:line="205" w:lineRule="auto"/>
        <w:ind w:left="1017"/>
        <w:outlineLvl w:val="0"/>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8"/>
          <w:sz w:val="43"/>
          <w:szCs w:val="43"/>
        </w:rPr>
        <w:t>至清远佛冈段改扩建工程项目韶关段</w:t>
      </w:r>
    </w:p>
    <w:p w14:paraId="67B5302B">
      <w:pPr>
        <w:spacing w:line="213" w:lineRule="auto"/>
        <w:ind w:left="2989"/>
        <w:outlineLvl w:val="0"/>
        <w:rPr>
          <w:rFonts w:ascii="Arial"/>
          <w:sz w:val="21"/>
        </w:rPr>
      </w:pPr>
      <w:r>
        <w:rPr>
          <w:rFonts w:ascii="方正小标宋_GBK" w:hAnsi="方正小标宋_GBK" w:eastAsia="方正小标宋_GBK" w:cs="方正小标宋_GBK"/>
          <w:spacing w:val="8"/>
          <w:sz w:val="43"/>
          <w:szCs w:val="43"/>
        </w:rPr>
        <w:t>建设用地的批复</w:t>
      </w:r>
    </w:p>
    <w:p w14:paraId="3C144F19">
      <w:pPr>
        <w:spacing w:line="271" w:lineRule="auto"/>
        <w:rPr>
          <w:rFonts w:ascii="Arial"/>
          <w:sz w:val="21"/>
        </w:rPr>
      </w:pPr>
    </w:p>
    <w:p w14:paraId="4D2E3515">
      <w:pPr>
        <w:pStyle w:val="2"/>
        <w:spacing w:before="101" w:line="219" w:lineRule="auto"/>
        <w:ind w:left="50"/>
      </w:pPr>
      <w:r>
        <w:rPr>
          <w:spacing w:val="7"/>
        </w:rPr>
        <w:t>广东省人民政府：</w:t>
      </w:r>
    </w:p>
    <w:p w14:paraId="1F2BB042">
      <w:pPr>
        <w:pStyle w:val="2"/>
        <w:spacing w:before="192" w:line="318" w:lineRule="auto"/>
        <w:ind w:left="57" w:right="8" w:firstLine="626"/>
        <w:jc w:val="both"/>
      </w:pPr>
      <w:r>
        <w:rPr>
          <w:spacing w:val="22"/>
        </w:rPr>
        <w:t>《关于审批京港澳高速公路粤境韶关武江至清远佛冈段改</w:t>
      </w:r>
      <w:r>
        <w:rPr>
          <w:spacing w:val="13"/>
        </w:rPr>
        <w:t>扩建工程项目韶关段用地的请示》</w:t>
      </w:r>
      <w:r>
        <w:rPr>
          <w:rFonts w:hint="eastAsia"/>
          <w:spacing w:val="13"/>
          <w:lang w:val="en-US" w:eastAsia="zh-CN"/>
        </w:rPr>
        <w:t>（粤</w:t>
      </w:r>
      <w:r>
        <w:rPr>
          <w:spacing w:val="13"/>
        </w:rPr>
        <w:t>府〔</w:t>
      </w:r>
      <w:r>
        <w:rPr>
          <w:rFonts w:ascii="Times New Roman" w:hAnsi="Times New Roman" w:eastAsia="Times New Roman" w:cs="Times New Roman"/>
          <w:spacing w:val="13"/>
        </w:rPr>
        <w:t>2026</w:t>
      </w:r>
      <w:r>
        <w:rPr>
          <w:spacing w:val="12"/>
        </w:rPr>
        <w:t>〕</w:t>
      </w:r>
      <w:r>
        <w:rPr>
          <w:rFonts w:ascii="Times New Roman" w:hAnsi="Times New Roman" w:eastAsia="Times New Roman" w:cs="Times New Roman"/>
          <w:spacing w:val="12"/>
        </w:rPr>
        <w:t>3</w:t>
      </w:r>
      <w:r>
        <w:rPr>
          <w:spacing w:val="12"/>
        </w:rPr>
        <w:t>号）业经国</w:t>
      </w:r>
      <w:r>
        <w:rPr>
          <w:spacing w:val="1"/>
        </w:rPr>
        <w:t>务院批准，现批复如下：</w:t>
      </w:r>
    </w:p>
    <w:p w14:paraId="494411A1">
      <w:pPr>
        <w:pStyle w:val="2"/>
        <w:spacing w:before="78" w:line="328" w:lineRule="auto"/>
        <w:ind w:left="44" w:right="7" w:firstLine="668"/>
        <w:jc w:val="both"/>
      </w:pPr>
      <w:r>
        <w:rPr>
          <w:spacing w:val="8"/>
        </w:rPr>
        <w:t>一、同意韶关市翁源县、武江区、曲江区、浈江区将农民集</w:t>
      </w:r>
      <w:r>
        <w:rPr>
          <w:spacing w:val="12"/>
        </w:rPr>
        <w:t>体所有农用地</w:t>
      </w:r>
      <w:r>
        <w:rPr>
          <w:rFonts w:ascii="Times New Roman" w:hAnsi="Times New Roman" w:eastAsia="Times New Roman" w:cs="Times New Roman"/>
          <w:spacing w:val="12"/>
        </w:rPr>
        <w:t>85</w:t>
      </w:r>
      <w:r>
        <w:rPr>
          <w:rFonts w:hint="eastAsia" w:ascii="Times New Roman" w:hAnsi="Times New Roman" w:eastAsia="宋体" w:cs="Times New Roman"/>
          <w:spacing w:val="12"/>
          <w:lang w:val="en-US" w:eastAsia="zh-CN"/>
        </w:rPr>
        <w:t>.</w:t>
      </w:r>
      <w:r>
        <w:rPr>
          <w:rFonts w:ascii="Times New Roman" w:hAnsi="Times New Roman" w:eastAsia="Times New Roman" w:cs="Times New Roman"/>
          <w:spacing w:val="12"/>
        </w:rPr>
        <w:t>1597</w:t>
      </w:r>
      <w:r>
        <w:rPr>
          <w:spacing w:val="12"/>
        </w:rPr>
        <w:t>公顷（其中耕地</w:t>
      </w:r>
      <w:r>
        <w:rPr>
          <w:rFonts w:ascii="Times New Roman" w:hAnsi="Times New Roman" w:eastAsia="Times New Roman" w:cs="Times New Roman"/>
          <w:spacing w:val="12"/>
        </w:rPr>
        <w:t>12</w:t>
      </w:r>
      <w:r>
        <w:rPr>
          <w:rFonts w:hint="eastAsia" w:ascii="Times New Roman" w:hAnsi="Times New Roman" w:eastAsia="宋体" w:cs="Times New Roman"/>
          <w:spacing w:val="12"/>
          <w:lang w:val="en-US" w:eastAsia="zh-CN"/>
        </w:rPr>
        <w:t>.</w:t>
      </w:r>
      <w:r>
        <w:rPr>
          <w:rFonts w:ascii="Times New Roman" w:hAnsi="Times New Roman" w:eastAsia="Times New Roman" w:cs="Times New Roman"/>
          <w:spacing w:val="12"/>
        </w:rPr>
        <w:t>79</w:t>
      </w:r>
      <w:r>
        <w:rPr>
          <w:rFonts w:ascii="Times New Roman" w:hAnsi="Times New Roman" w:eastAsia="Times New Roman" w:cs="Times New Roman"/>
          <w:spacing w:val="11"/>
        </w:rPr>
        <w:t>83</w:t>
      </w:r>
      <w:r>
        <w:rPr>
          <w:spacing w:val="11"/>
        </w:rPr>
        <w:t>公顷，含永久基本</w:t>
      </w:r>
      <w:r>
        <w:rPr>
          <w:spacing w:val="12"/>
        </w:rPr>
        <w:t>农田</w:t>
      </w:r>
      <w:r>
        <w:rPr>
          <w:rFonts w:ascii="Times New Roman" w:hAnsi="Times New Roman" w:eastAsia="Times New Roman" w:cs="Times New Roman"/>
          <w:spacing w:val="12"/>
        </w:rPr>
        <w:t>2</w:t>
      </w:r>
      <w:r>
        <w:rPr>
          <w:rFonts w:hint="eastAsia" w:ascii="Times New Roman" w:hAnsi="Times New Roman" w:eastAsia="宋体" w:cs="Times New Roman"/>
          <w:spacing w:val="12"/>
          <w:lang w:val="en-US" w:eastAsia="zh-CN"/>
        </w:rPr>
        <w:t>.</w:t>
      </w:r>
      <w:r>
        <w:rPr>
          <w:rFonts w:ascii="Times New Roman" w:hAnsi="Times New Roman" w:eastAsia="Times New Roman" w:cs="Times New Roman"/>
          <w:spacing w:val="12"/>
        </w:rPr>
        <w:t>7544</w:t>
      </w:r>
      <w:r>
        <w:rPr>
          <w:spacing w:val="12"/>
        </w:rPr>
        <w:t>公顷）、未利用地</w:t>
      </w:r>
      <w:r>
        <w:rPr>
          <w:rFonts w:ascii="Times New Roman" w:hAnsi="Times New Roman" w:eastAsia="Times New Roman" w:cs="Times New Roman"/>
          <w:spacing w:val="12"/>
        </w:rPr>
        <w:t>0</w:t>
      </w:r>
      <w:r>
        <w:rPr>
          <w:rFonts w:hint="eastAsia" w:ascii="Times New Roman" w:hAnsi="Times New Roman" w:eastAsia="宋体" w:cs="Times New Roman"/>
          <w:spacing w:val="12"/>
          <w:lang w:val="en-US" w:eastAsia="zh-CN"/>
        </w:rPr>
        <w:t>.</w:t>
      </w:r>
      <w:r>
        <w:rPr>
          <w:rFonts w:ascii="Times New Roman" w:hAnsi="Times New Roman" w:eastAsia="Times New Roman" w:cs="Times New Roman"/>
          <w:spacing w:val="12"/>
        </w:rPr>
        <w:t>7716</w:t>
      </w:r>
      <w:r>
        <w:rPr>
          <w:spacing w:val="12"/>
        </w:rPr>
        <w:t>公顷转为建设用地并办理征</w:t>
      </w:r>
      <w:r>
        <w:rPr>
          <w:spacing w:val="11"/>
        </w:rPr>
        <w:t>地手续，另征收农民集体所有建设用地</w:t>
      </w:r>
      <w:r>
        <w:rPr>
          <w:rFonts w:ascii="Times New Roman" w:hAnsi="Times New Roman" w:eastAsia="Times New Roman" w:cs="Times New Roman"/>
          <w:spacing w:val="11"/>
        </w:rPr>
        <w:t>2</w:t>
      </w:r>
      <w:r>
        <w:rPr>
          <w:rFonts w:hint="eastAsia" w:ascii="Times New Roman" w:hAnsi="Times New Roman" w:eastAsia="宋体" w:cs="Times New Roman"/>
          <w:spacing w:val="11"/>
          <w:lang w:val="en-US" w:eastAsia="zh-CN"/>
        </w:rPr>
        <w:t>.</w:t>
      </w:r>
      <w:r>
        <w:rPr>
          <w:rFonts w:ascii="Times New Roman" w:hAnsi="Times New Roman" w:eastAsia="Times New Roman" w:cs="Times New Roman"/>
          <w:spacing w:val="11"/>
        </w:rPr>
        <w:t>6058</w:t>
      </w:r>
      <w:r>
        <w:rPr>
          <w:spacing w:val="11"/>
        </w:rPr>
        <w:t>公顷；同意将国有</w:t>
      </w:r>
      <w:r>
        <w:t>农用地</w:t>
      </w:r>
      <w:r>
        <w:rPr>
          <w:rFonts w:ascii="Times New Roman" w:hAnsi="Times New Roman" w:eastAsia="Times New Roman" w:cs="Times New Roman"/>
        </w:rPr>
        <w:t>32</w:t>
      </w:r>
      <w:r>
        <w:rPr>
          <w:rFonts w:hint="eastAsia" w:ascii="Times New Roman" w:hAnsi="Times New Roman" w:eastAsia="宋体" w:cs="Times New Roman"/>
          <w:lang w:val="en-US" w:eastAsia="zh-CN"/>
        </w:rPr>
        <w:t>.</w:t>
      </w:r>
      <w:r>
        <w:rPr>
          <w:rFonts w:ascii="Times New Roman" w:hAnsi="Times New Roman" w:eastAsia="Times New Roman" w:cs="Times New Roman"/>
        </w:rPr>
        <w:t>9125</w:t>
      </w:r>
      <w:r>
        <w:t>公顷（其中耕地</w:t>
      </w:r>
      <w:r>
        <w:rPr>
          <w:rFonts w:ascii="Times New Roman" w:hAnsi="Times New Roman" w:eastAsia="Times New Roman" w:cs="Times New Roman"/>
        </w:rPr>
        <w:t>2</w:t>
      </w:r>
      <w:r>
        <w:rPr>
          <w:rFonts w:hint="eastAsia" w:ascii="Times New Roman" w:hAnsi="Times New Roman" w:eastAsia="宋体" w:cs="Times New Roman"/>
          <w:lang w:val="en-US" w:eastAsia="zh-CN"/>
        </w:rPr>
        <w:t>.</w:t>
      </w:r>
      <w:r>
        <w:rPr>
          <w:rFonts w:ascii="Times New Roman" w:hAnsi="Times New Roman" w:eastAsia="Times New Roman" w:cs="Times New Roman"/>
        </w:rPr>
        <w:t>9061</w:t>
      </w:r>
      <w:r>
        <w:t>公顷，含永久基本农田</w:t>
      </w:r>
      <w:r>
        <w:rPr>
          <w:rFonts w:ascii="Times New Roman" w:hAnsi="Times New Roman" w:eastAsia="Times New Roman" w:cs="Times New Roman"/>
        </w:rPr>
        <w:t>0</w:t>
      </w:r>
      <w:r>
        <w:rPr>
          <w:rFonts w:hint="eastAsia" w:ascii="Times New Roman" w:hAnsi="Times New Roman" w:eastAsia="宋体" w:cs="Times New Roman"/>
          <w:lang w:val="en-US" w:eastAsia="zh-CN"/>
        </w:rPr>
        <w:t>.</w:t>
      </w:r>
      <w:r>
        <w:rPr>
          <w:rFonts w:ascii="Times New Roman" w:hAnsi="Times New Roman" w:eastAsia="Times New Roman" w:cs="Times New Roman"/>
        </w:rPr>
        <w:t>0010</w:t>
      </w:r>
      <w:r>
        <w:rPr>
          <w:spacing w:val="9"/>
        </w:rPr>
        <w:t>公顷）、未利用地</w:t>
      </w:r>
      <w:r>
        <w:rPr>
          <w:rFonts w:ascii="Times New Roman" w:hAnsi="Times New Roman" w:eastAsia="Times New Roman" w:cs="Times New Roman"/>
          <w:spacing w:val="9"/>
        </w:rPr>
        <w:t>6</w:t>
      </w:r>
      <w:r>
        <w:rPr>
          <w:rFonts w:hint="eastAsia" w:ascii="Times New Roman" w:hAnsi="Times New Roman" w:eastAsia="宋体" w:cs="Times New Roman"/>
          <w:spacing w:val="9"/>
          <w:lang w:val="en-US" w:eastAsia="zh-CN"/>
        </w:rPr>
        <w:t>.</w:t>
      </w:r>
      <w:r>
        <w:rPr>
          <w:rFonts w:ascii="Times New Roman" w:hAnsi="Times New Roman" w:eastAsia="Times New Roman" w:cs="Times New Roman"/>
          <w:spacing w:val="9"/>
        </w:rPr>
        <w:t>2321</w:t>
      </w:r>
      <w:r>
        <w:rPr>
          <w:spacing w:val="9"/>
        </w:rPr>
        <w:t>公顷转为建设用地，同时使用国有</w:t>
      </w:r>
      <w:r>
        <w:rPr>
          <w:spacing w:val="8"/>
        </w:rPr>
        <w:t>建设</w:t>
      </w:r>
      <w:r>
        <w:rPr>
          <w:spacing w:val="4"/>
        </w:rPr>
        <w:t>用地</w:t>
      </w:r>
      <w:r>
        <w:rPr>
          <w:rFonts w:ascii="Times New Roman" w:hAnsi="Times New Roman" w:eastAsia="Times New Roman" w:cs="Times New Roman"/>
          <w:spacing w:val="4"/>
        </w:rPr>
        <w:t>4</w:t>
      </w:r>
      <w:r>
        <w:rPr>
          <w:rFonts w:hint="eastAsia" w:ascii="Times New Roman" w:hAnsi="Times New Roman" w:eastAsia="宋体" w:cs="Times New Roman"/>
          <w:spacing w:val="4"/>
          <w:lang w:val="en-US" w:eastAsia="zh-CN"/>
        </w:rPr>
        <w:t>.</w:t>
      </w:r>
      <w:r>
        <w:rPr>
          <w:rFonts w:ascii="Times New Roman" w:hAnsi="Times New Roman" w:eastAsia="Times New Roman" w:cs="Times New Roman"/>
          <w:spacing w:val="4"/>
        </w:rPr>
        <w:t>0088</w:t>
      </w:r>
      <w:r>
        <w:rPr>
          <w:spacing w:val="4"/>
        </w:rPr>
        <w:t>公顷。</w:t>
      </w:r>
    </w:p>
    <w:p w14:paraId="1301BF0F">
      <w:pPr>
        <w:pStyle w:val="2"/>
        <w:spacing w:before="18" w:line="338" w:lineRule="auto"/>
        <w:ind w:left="46" w:right="7" w:firstLine="689"/>
        <w:jc w:val="both"/>
      </w:pPr>
      <w:r>
        <w:rPr>
          <w:spacing w:val="6"/>
        </w:rPr>
        <w:t>以上共计批准建设用地</w:t>
      </w:r>
      <w:r>
        <w:rPr>
          <w:rFonts w:ascii="Times New Roman" w:hAnsi="Times New Roman" w:eastAsia="Times New Roman" w:cs="Times New Roman"/>
          <w:spacing w:val="6"/>
        </w:rPr>
        <w:t>131</w:t>
      </w:r>
      <w:r>
        <w:rPr>
          <w:rFonts w:hint="eastAsia" w:ascii="Times New Roman" w:hAnsi="Times New Roman" w:eastAsia="宋体" w:cs="Times New Roman"/>
          <w:spacing w:val="6"/>
          <w:lang w:val="en-US" w:eastAsia="zh-CN"/>
        </w:rPr>
        <w:t>.</w:t>
      </w:r>
      <w:r>
        <w:rPr>
          <w:rFonts w:ascii="Times New Roman" w:hAnsi="Times New Roman" w:eastAsia="Times New Roman" w:cs="Times New Roman"/>
          <w:spacing w:val="6"/>
        </w:rPr>
        <w:t>6905</w:t>
      </w:r>
      <w:r>
        <w:rPr>
          <w:spacing w:val="6"/>
        </w:rPr>
        <w:t>公顷，由当地人民政府依法</w:t>
      </w:r>
      <w:r>
        <w:rPr>
          <w:spacing w:val="9"/>
        </w:rPr>
        <w:t>依规提供，作为京港澳高速公路粤境韶关武江至清远佛冈段改扩建工程项目韶关段建设用地，并纳入国土空间规划“一张图”实施监督。当地自然资源主管部门要及时核发划拨供地文件或签订</w:t>
      </w:r>
      <w:r>
        <w:rPr>
          <w:spacing w:val="7"/>
        </w:rPr>
        <w:t>有偿使用合同，并上传土地市场监测与监管系统。</w:t>
      </w:r>
    </w:p>
    <w:p w14:paraId="4D37B540">
      <w:pPr>
        <w:pStyle w:val="2"/>
        <w:spacing w:before="8" w:line="213" w:lineRule="auto"/>
        <w:ind w:right="8"/>
        <w:jc w:val="right"/>
        <w:sectPr>
          <w:footerReference r:id="rId5" w:type="default"/>
          <w:pgSz w:w="11906" w:h="16838"/>
          <w:pgMar w:top="1267" w:right="1465" w:bottom="1502" w:left="1434" w:header="0" w:footer="1404" w:gutter="0"/>
          <w:cols w:space="720" w:num="1"/>
        </w:sectPr>
      </w:pPr>
      <w:r>
        <w:rPr>
          <w:spacing w:val="8"/>
        </w:rPr>
        <w:t>二、你省应督促有关县级以上地方人民政府依法落实征地补</w:t>
      </w:r>
    </w:p>
    <w:p w14:paraId="3A09F9D7">
      <w:pPr>
        <w:pStyle w:val="2"/>
        <w:spacing w:before="100" w:line="333" w:lineRule="auto"/>
        <w:ind w:right="315"/>
        <w:jc w:val="both"/>
      </w:pPr>
      <w:r>
        <w:rPr>
          <w:spacing w:val="7"/>
        </w:rPr>
        <w:t>偿费用和安置措施，将被征地农民纳入相应的养老等保障体系，</w:t>
      </w:r>
      <w:r>
        <w:rPr>
          <w:spacing w:val="6"/>
        </w:rPr>
        <w:t>妥善解决好被征地农民的生产生活，保证原有生活水平不降低，</w:t>
      </w:r>
      <w:r>
        <w:rPr>
          <w:spacing w:val="7"/>
        </w:rPr>
        <w:t>长远生计有保障。征地补偿安置不落实的，不得动工用地。</w:t>
      </w:r>
    </w:p>
    <w:p w14:paraId="6B8B8EF1">
      <w:pPr>
        <w:pStyle w:val="2"/>
        <w:spacing w:before="1" w:line="220" w:lineRule="auto"/>
        <w:ind w:left="674"/>
      </w:pPr>
      <w:r>
        <w:rPr>
          <w:spacing w:val="8"/>
        </w:rPr>
        <w:t>三、你省要督促补充耕地责任单位认真按照补充耕地方案，</w:t>
      </w:r>
    </w:p>
    <w:p w14:paraId="2498F7FF">
      <w:pPr>
        <w:pStyle w:val="2"/>
        <w:spacing w:before="192" w:line="332" w:lineRule="auto"/>
        <w:ind w:left="13" w:firstLine="6"/>
        <w:rPr>
          <w:spacing w:val="6"/>
        </w:rPr>
      </w:pPr>
      <w:r>
        <w:rPr>
          <w:spacing w:val="9"/>
        </w:rPr>
        <w:t>补充数量相等、质量相当的耕地，落实建设占用耕地耕作层土壤</w:t>
      </w:r>
      <w:r>
        <w:rPr>
          <w:spacing w:val="6"/>
        </w:rPr>
        <w:t>剥离利用。要督促有关市县人民政府落实补划永久基本农田方案，</w:t>
      </w:r>
      <w:r>
        <w:rPr>
          <w:spacing w:val="5"/>
        </w:rPr>
        <w:t>将永久基本农田</w:t>
      </w:r>
      <w:r>
        <w:rPr>
          <w:spacing w:val="6"/>
        </w:rPr>
        <w:t>落实到地块。</w:t>
      </w:r>
    </w:p>
    <w:p w14:paraId="2A600260">
      <w:pPr>
        <w:pStyle w:val="2"/>
        <w:spacing w:before="192" w:line="332" w:lineRule="auto"/>
        <w:ind w:left="13" w:firstLine="647" w:firstLineChars="201"/>
        <w:rPr>
          <w:spacing w:val="6"/>
        </w:rPr>
      </w:pPr>
      <w:r>
        <w:rPr>
          <w:rFonts w:hint="eastAsia"/>
          <w:spacing w:val="6"/>
          <w:lang w:val="en-US" w:eastAsia="zh-CN"/>
        </w:rPr>
        <w:t>四、</w:t>
      </w:r>
      <w:r>
        <w:rPr>
          <w:spacing w:val="6"/>
        </w:rPr>
        <w:t>严格按照国家有关规定缴纳新增建设用地土地有偿使用费。由省级自然资源主管部门向有关市、县人民政府下发缴费单并督促完成缴费工作；省级自然资源主管部门应当在收到市、县人民政府已足额缴纳新增建设用地土地有偿使用费的有效凭证后，再依法办理后续用地手续。</w:t>
      </w:r>
    </w:p>
    <w:p w14:paraId="5D05E88B">
      <w:pPr>
        <w:pStyle w:val="2"/>
        <w:spacing w:before="192" w:line="332" w:lineRule="auto"/>
        <w:ind w:left="13" w:firstLine="6"/>
        <w:rPr>
          <w:spacing w:val="6"/>
        </w:rPr>
      </w:pPr>
    </w:p>
    <w:p w14:paraId="3D7852C9">
      <w:pPr>
        <w:pStyle w:val="2"/>
        <w:spacing w:before="192" w:line="332" w:lineRule="auto"/>
        <w:ind w:left="13" w:firstLine="6"/>
        <w:rPr>
          <w:spacing w:val="6"/>
        </w:rPr>
      </w:pPr>
    </w:p>
    <w:p w14:paraId="1E440839">
      <w:pPr>
        <w:pStyle w:val="2"/>
        <w:spacing w:before="192" w:line="332" w:lineRule="auto"/>
        <w:ind w:left="13" w:firstLine="6"/>
        <w:rPr>
          <w:spacing w:val="6"/>
        </w:rPr>
      </w:pPr>
    </w:p>
    <w:p w14:paraId="391113F4">
      <w:pPr>
        <w:pStyle w:val="2"/>
        <w:spacing w:before="192" w:line="332" w:lineRule="auto"/>
        <w:ind w:left="13" w:firstLine="6"/>
        <w:rPr>
          <w:spacing w:val="6"/>
        </w:rPr>
      </w:pPr>
    </w:p>
    <w:p w14:paraId="0367304F">
      <w:pPr>
        <w:pStyle w:val="2"/>
        <w:spacing w:before="192" w:line="332" w:lineRule="auto"/>
        <w:ind w:left="13" w:firstLine="6"/>
        <w:rPr>
          <w:spacing w:val="6"/>
        </w:rPr>
      </w:pPr>
    </w:p>
    <w:p w14:paraId="6AD1C0E6">
      <w:pPr>
        <w:spacing w:line="249" w:lineRule="auto"/>
        <w:rPr>
          <w:rFonts w:ascii="Arial"/>
          <w:sz w:val="21"/>
        </w:rPr>
      </w:pPr>
    </w:p>
    <w:p w14:paraId="1512A1C7">
      <w:pPr>
        <w:spacing w:line="250" w:lineRule="auto"/>
        <w:rPr>
          <w:rFonts w:ascii="Arial"/>
          <w:sz w:val="21"/>
        </w:rPr>
      </w:pPr>
    </w:p>
    <w:p w14:paraId="13239FC9">
      <w:pPr>
        <w:spacing w:before="101" w:line="231" w:lineRule="auto"/>
        <w:ind w:left="12"/>
        <w:rPr>
          <w:rFonts w:ascii="楷体" w:hAnsi="楷体" w:eastAsia="楷体" w:cs="楷体"/>
          <w:sz w:val="31"/>
          <w:szCs w:val="31"/>
        </w:rPr>
      </w:pPr>
      <w:r>
        <w:rPr>
          <w:rFonts w:ascii="黑体" w:hAnsi="黑体" w:eastAsia="黑体" w:cs="黑体"/>
          <w:spacing w:val="8"/>
          <w:sz w:val="31"/>
          <w:szCs w:val="31"/>
        </w:rPr>
        <w:t>公开方式：</w:t>
      </w:r>
      <w:r>
        <w:rPr>
          <w:rFonts w:ascii="楷体" w:hAnsi="楷体" w:eastAsia="楷体" w:cs="楷体"/>
          <w:spacing w:val="8"/>
          <w:sz w:val="31"/>
          <w:szCs w:val="31"/>
        </w:rPr>
        <w:t>主动公开</w:t>
      </w:r>
    </w:p>
    <w:p w14:paraId="25B5CA14">
      <w:pPr>
        <w:pStyle w:val="2"/>
        <w:spacing w:before="174" w:line="219" w:lineRule="auto"/>
        <w:ind w:left="311"/>
      </w:pPr>
      <w:r>
        <w:rPr>
          <w:spacing w:val="4"/>
        </w:rPr>
        <w:t>抄送：国务院办公厅、国家发展改革委、财政部、交通运输</w:t>
      </w:r>
      <w:r>
        <w:rPr>
          <w:spacing w:val="3"/>
        </w:rPr>
        <w:t>部、</w:t>
      </w:r>
    </w:p>
    <w:p w14:paraId="67E6EE5C">
      <w:pPr>
        <w:pStyle w:val="2"/>
        <w:spacing w:before="189" w:line="337" w:lineRule="auto"/>
        <w:ind w:left="1266" w:right="260" w:firstLine="3"/>
        <w:jc w:val="both"/>
      </w:pPr>
      <w:r>
        <w:rPr>
          <w:spacing w:val="6"/>
        </w:rPr>
        <w:t>农业农村部、中国人民银行，</w:t>
      </w:r>
      <w:bookmarkStart w:id="0" w:name="_GoBack"/>
      <w:bookmarkEnd w:id="0"/>
      <w:r>
        <w:rPr>
          <w:spacing w:val="6"/>
        </w:rPr>
        <w:t>国务院国资委，国家林草</w:t>
      </w:r>
      <w:r>
        <w:rPr>
          <w:spacing w:val="9"/>
        </w:rPr>
        <w:t>局，国家自然资源督察广州局，国家自然资源总督察办</w:t>
      </w:r>
      <w:r>
        <w:rPr>
          <w:spacing w:val="2"/>
        </w:rPr>
        <w:t>公室。</w:t>
      </w:r>
    </w:p>
    <w:sectPr>
      <w:footerReference r:id="rId6" w:type="default"/>
      <w:pgSz w:w="11906" w:h="16838"/>
      <w:pgMar w:top="1431" w:right="1234" w:bottom="1181" w:left="1476" w:header="0" w:footer="7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B13487F-2844-472D-99E9-23DCBB2DEBC2}"/>
  </w:font>
  <w:font w:name="黑体">
    <w:panose1 w:val="02010609060101010101"/>
    <w:charset w:val="86"/>
    <w:family w:val="auto"/>
    <w:pitch w:val="default"/>
    <w:sig w:usb0="800002BF" w:usb1="38CF7CFA" w:usb2="00000016" w:usb3="00000000" w:csb0="00040001" w:csb1="00000000"/>
    <w:embedRegular r:id="rId2" w:fontKey="{F6A73163-6FEF-482D-8173-FF34DD0DDC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3" w:fontKey="{900E2EA3-A7EA-47D6-8940-5964B4FB048A}"/>
  </w:font>
  <w:font w:name="楷体">
    <w:panose1 w:val="02010609060101010101"/>
    <w:charset w:val="86"/>
    <w:family w:val="auto"/>
    <w:pitch w:val="default"/>
    <w:sig w:usb0="800002BF" w:usb1="38CF7CFA" w:usb2="00000016" w:usb3="00000000" w:csb0="00040001" w:csb1="00000000"/>
    <w:embedRegular r:id="rId4" w:fontKey="{D1B7E9E6-E984-4D35-9C4E-EAE03225E98C}"/>
  </w:font>
  <w:font w:name="仿宋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428F4">
    <w:pPr>
      <w:spacing w:line="87"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08195">
    <w:pPr>
      <w:spacing w:before="1"/>
      <w:ind w:left="6"/>
      <w:rPr>
        <w:rFonts w:ascii="宋体" w:hAnsi="宋体" w:eastAsia="宋体" w:cs="宋体"/>
        <w:sz w:val="29"/>
        <w:szCs w:val="29"/>
      </w:rPr>
    </w:pPr>
    <w:r>
      <w:rPr>
        <w:rFonts w:ascii="宋体" w:hAnsi="宋体" w:eastAsia="宋体" w:cs="宋体"/>
        <w:spacing w:val="-3"/>
        <w:sz w:val="29"/>
        <w:szCs w:val="29"/>
      </w:rPr>
      <w:t>—</w:t>
    </w:r>
    <w:r>
      <w:rPr>
        <w:rFonts w:ascii="宋体" w:hAnsi="宋体" w:eastAsia="宋体" w:cs="宋体"/>
        <w:spacing w:val="21"/>
        <w:sz w:val="29"/>
        <w:szCs w:val="29"/>
      </w:rPr>
      <w:t xml:space="preserve"> </w:t>
    </w:r>
    <w:r>
      <w:rPr>
        <w:rFonts w:ascii="宋体" w:hAnsi="宋体" w:eastAsia="宋体" w:cs="宋体"/>
        <w:spacing w:val="-3"/>
        <w:sz w:val="29"/>
        <w:szCs w:val="29"/>
      </w:rPr>
      <w:t>2</w:t>
    </w:r>
    <w:r>
      <w:rPr>
        <w:rFonts w:ascii="宋体" w:hAnsi="宋体" w:eastAsia="宋体" w:cs="宋体"/>
        <w:spacing w:val="14"/>
        <w:sz w:val="29"/>
        <w:szCs w:val="29"/>
      </w:rPr>
      <w:t xml:space="preserve"> </w:t>
    </w:r>
    <w:r>
      <w:rPr>
        <w:rFonts w:ascii="宋体" w:hAnsi="宋体" w:eastAsia="宋体" w:cs="宋体"/>
        <w:spacing w:val="-3"/>
        <w:sz w:val="29"/>
        <w:szCs w:val="29"/>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94009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4808e512-1b39-4794-8d85-29edb481e8d0}">
  <ds:schemaRefs/>
</ds:datastoreItem>
</file>

<file path=docProps/app.xml><?xml version="1.0" encoding="utf-8"?>
<Properties xmlns="http://schemas.openxmlformats.org/officeDocument/2006/extended-properties" xmlns:vt="http://schemas.openxmlformats.org/officeDocument/2006/docPropsVTypes">
  <Pages>2</Pages>
  <Words>526</Words>
  <Characters>594</Characters>
  <TotalTime>8</TotalTime>
  <ScaleCrop>false</ScaleCrop>
  <LinksUpToDate>false</LinksUpToDate>
  <CharactersWithSpaces>597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2026-03-26T04:04:00Z</dcterms:created>
  <dc:creator>text</dc:creator>
  <cp:lastModifiedBy>李健</cp:lastModifiedBy>
  <dcterms:modified xsi:type="dcterms:W3CDTF">2026-10-08T09:25:09Z</dcterms:modified>
  <dc:title>自然资函〔2026〕205号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2026-10-08T17:16:10Z</vt:filetime>
  </property>
  <property fmtid="{D5CDD505-2E9C-101B-9397-08002B2CF9AE}" pid="4" name="KSOTemplateDocerSaveRecord">
    <vt:lpwstr>eyJoZGlkIjoiZGZhOTZhNmI5ZjBjM2M5MTBiZGY4OGNmM2U0ZDA1YjUiLCJ1c2VySWQiOiI3MTIxMzczNzAifQ==</vt:lpwstr>
  </property>
  <property fmtid="{D5CDD505-2E9C-101B-9397-08002B2CF9AE}" pid="5" name="KSOProductBuildVer">
    <vt:lpwstr>2052-12.1.0.28505</vt:lpwstr>
  </property>
  <property fmtid="{D5CDD505-2E9C-101B-9397-08002B2CF9AE}" pid="6" name="ICV">
    <vt:lpwstr>3971398B063947C68EFA74E8FEA06D14_12</vt:lpwstr>
  </property>
</Properties>
</file>