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C561F">
      <w:pPr>
        <w:pStyle w:val="4"/>
        <w:shd w:val="clear" w:color="auto" w:fill="FFFFFF"/>
        <w:spacing w:before="0" w:beforeAutospacing="0" w:after="0" w:afterAutospacing="0" w:line="560" w:lineRule="exact"/>
        <w:jc w:val="center"/>
        <w:rPr>
          <w:rFonts w:ascii="方正小标宋简体" w:hAnsi="微软雅黑" w:eastAsia="方正小标宋简体"/>
          <w:color w:val="2B2B2B"/>
          <w:sz w:val="44"/>
          <w:szCs w:val="44"/>
        </w:rPr>
      </w:pPr>
      <w:r>
        <w:rPr>
          <w:rFonts w:hint="eastAsia" w:ascii="方正小标宋简体" w:hAnsi="微软雅黑" w:eastAsia="方正小标宋简体"/>
          <w:color w:val="2B2B2B"/>
          <w:sz w:val="44"/>
          <w:szCs w:val="44"/>
        </w:rPr>
        <w:t>武江区自然资源局2019年法治政府建设</w:t>
      </w:r>
    </w:p>
    <w:p w14:paraId="494526C8">
      <w:pPr>
        <w:pStyle w:val="4"/>
        <w:shd w:val="clear" w:color="auto" w:fill="FFFFFF"/>
        <w:spacing w:before="0" w:beforeAutospacing="0" w:after="0" w:afterAutospacing="0" w:line="560" w:lineRule="exact"/>
        <w:jc w:val="center"/>
        <w:rPr>
          <w:rFonts w:ascii="微软雅黑" w:hAnsi="微软雅黑" w:eastAsia="微软雅黑"/>
          <w:color w:val="2B2B2B"/>
          <w:sz w:val="44"/>
          <w:szCs w:val="44"/>
        </w:rPr>
      </w:pPr>
      <w:r>
        <w:rPr>
          <w:rFonts w:hint="eastAsia" w:ascii="方正小标宋简体" w:hAnsi="微软雅黑" w:eastAsia="方正小标宋简体"/>
          <w:color w:val="2B2B2B"/>
          <w:sz w:val="44"/>
          <w:szCs w:val="44"/>
        </w:rPr>
        <w:t>工作报告</w:t>
      </w:r>
    </w:p>
    <w:p w14:paraId="235E844A">
      <w:pPr>
        <w:pStyle w:val="4"/>
        <w:shd w:val="clear" w:color="auto" w:fill="FFFFFF"/>
        <w:spacing w:before="0" w:beforeAutospacing="0" w:after="0" w:afterAutospacing="0" w:line="560" w:lineRule="exact"/>
        <w:jc w:val="center"/>
        <w:rPr>
          <w:rFonts w:ascii="微软雅黑" w:hAnsi="微软雅黑" w:eastAsia="微软雅黑"/>
          <w:color w:val="2B2B2B"/>
          <w:sz w:val="32"/>
          <w:szCs w:val="32"/>
        </w:rPr>
      </w:pPr>
    </w:p>
    <w:p w14:paraId="5838FF94">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2B2B2B"/>
          <w:sz w:val="32"/>
          <w:szCs w:val="32"/>
        </w:rPr>
        <w:t>2019年，为深入推进依法行政，加快法治政府建设，我局紧密围绕《武江区2019年依法行政工作要点》的通知，突出重点，扎实推进，通过加强法制培训、规范执法行为、落实行政执法责任制、健全完善行政执法制度等一系列措施，不断提高依法行政水平，法治政府建设工作取得明显的成效。现将具体工作情况总结如下：</w:t>
      </w:r>
    </w:p>
    <w:p w14:paraId="2ACD2CE9">
      <w:pPr>
        <w:pStyle w:val="4"/>
        <w:shd w:val="clear" w:color="auto" w:fill="FFFFFF"/>
        <w:spacing w:before="0" w:beforeAutospacing="0" w:after="0" w:afterAutospacing="0" w:line="560" w:lineRule="exact"/>
        <w:ind w:firstLine="640"/>
        <w:jc w:val="both"/>
        <w:rPr>
          <w:rFonts w:ascii="仿宋_GB2312" w:eastAsia="仿宋_GB2312" w:hAnsiTheme="majorEastAsia"/>
          <w:b/>
          <w:color w:val="2B2B2B"/>
          <w:sz w:val="32"/>
          <w:szCs w:val="32"/>
        </w:rPr>
      </w:pPr>
      <w:r>
        <w:rPr>
          <w:rFonts w:hint="eastAsia" w:ascii="仿宋_GB2312" w:eastAsia="仿宋_GB2312" w:hAnsiTheme="majorEastAsia"/>
          <w:b/>
          <w:color w:val="2B2B2B"/>
          <w:sz w:val="32"/>
          <w:szCs w:val="32"/>
        </w:rPr>
        <w:t>一、强化领导，健全机构，统筹部署法治政府建设工作</w:t>
      </w:r>
    </w:p>
    <w:p w14:paraId="3E5312FA">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2B2B2B"/>
          <w:sz w:val="32"/>
          <w:szCs w:val="32"/>
        </w:rPr>
        <w:t>在工作中，我们始终把贯彻法治政府建设理念，当作衡量自然资源工作质量好坏的标准之一。成立了以局长为组长，其他班子成员为副组长，各所和局各股室负责人为成员的法治政府建设工作领导小组。确立了主要领导负总责，分管领导专门抓，稳步推进法治政府建设和依法行政的运行机制；确定了工作目标、主要任务和具体措施，并纳入局年度目标考核内容；实行目标责任制。将行政执法责任层层分解到每个股室和局属各单位，做到执法目标任务明确，责任分工具体，各司其职。通过严格的执法目标责任制分工，进一步增强全系统人员的责任感和紧迫感。</w:t>
      </w:r>
    </w:p>
    <w:p w14:paraId="42203196">
      <w:pPr>
        <w:pStyle w:val="4"/>
        <w:shd w:val="clear" w:color="auto" w:fill="FFFFFF"/>
        <w:spacing w:before="0" w:beforeAutospacing="0" w:after="0" w:afterAutospacing="0" w:line="560" w:lineRule="exact"/>
        <w:ind w:firstLine="640"/>
        <w:jc w:val="both"/>
        <w:rPr>
          <w:rFonts w:ascii="仿宋_GB2312" w:eastAsia="仿宋_GB2312" w:hAnsiTheme="majorEastAsia"/>
          <w:b/>
          <w:color w:val="2B2B2B"/>
          <w:sz w:val="32"/>
          <w:szCs w:val="32"/>
        </w:rPr>
      </w:pPr>
      <w:r>
        <w:rPr>
          <w:rFonts w:hint="eastAsia" w:ascii="仿宋_GB2312" w:eastAsia="仿宋_GB2312" w:hAnsiTheme="majorEastAsia"/>
          <w:b/>
          <w:color w:val="2B2B2B"/>
          <w:sz w:val="32"/>
          <w:szCs w:val="32"/>
        </w:rPr>
        <w:t>二、完善制度，规范流程，有序开展法治政府建设活动</w:t>
      </w:r>
    </w:p>
    <w:p w14:paraId="67A1DEE5">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2B2B2B"/>
          <w:sz w:val="32"/>
          <w:szCs w:val="32"/>
        </w:rPr>
        <w:t>（一）健全完善管理制度，建立规范流程。为规范依法行政，提高行政效率，制定了一系列相关行政管理制度。</w:t>
      </w:r>
      <w:r>
        <w:rPr>
          <w:rFonts w:hint="eastAsia" w:ascii="仿宋_GB2312" w:eastAsia="仿宋_GB2312" w:hAnsiTheme="majorEastAsia"/>
          <w:b/>
          <w:bCs/>
          <w:color w:val="2B2B2B"/>
          <w:sz w:val="32"/>
          <w:szCs w:val="32"/>
        </w:rPr>
        <w:t>一是</w:t>
      </w:r>
      <w:r>
        <w:rPr>
          <w:rFonts w:hint="eastAsia" w:ascii="仿宋_GB2312" w:eastAsia="仿宋_GB2312" w:hAnsiTheme="majorEastAsia"/>
          <w:color w:val="2B2B2B"/>
          <w:sz w:val="32"/>
          <w:szCs w:val="32"/>
        </w:rPr>
        <w:t>制定了《首问负责制度》、《服务承诺制度》、《限时办结制度》以及《领导干部学法用法制度》、《三重一大事项决策制度》、《财务管理制度》等行政管理制度，对行政执法人员的着装礼仪、言语举止、举报受理、廉洁自律、日常学习等方面做出了详细的要求；</w:t>
      </w:r>
      <w:r>
        <w:rPr>
          <w:rFonts w:hint="eastAsia" w:ascii="仿宋_GB2312" w:eastAsia="仿宋_GB2312" w:hAnsiTheme="majorEastAsia"/>
          <w:b/>
          <w:bCs/>
          <w:color w:val="2B2B2B"/>
          <w:sz w:val="32"/>
          <w:szCs w:val="32"/>
        </w:rPr>
        <w:t>二是</w:t>
      </w:r>
      <w:r>
        <w:rPr>
          <w:rFonts w:hint="eastAsia" w:ascii="仿宋_GB2312" w:eastAsia="仿宋_GB2312" w:hAnsiTheme="majorEastAsia"/>
          <w:color w:val="2B2B2B"/>
          <w:sz w:val="32"/>
          <w:szCs w:val="32"/>
        </w:rPr>
        <w:t>严格执行《广东省国土资源行政处罚自由裁量权适用标准（试行）》以及《省林业行政处罚自由裁量权适用标准》，防止滥用自由裁量权，杜绝行政执法随意性；</w:t>
      </w:r>
      <w:r>
        <w:rPr>
          <w:rFonts w:hint="eastAsia" w:ascii="仿宋_GB2312" w:eastAsia="仿宋_GB2312" w:hAnsiTheme="majorEastAsia"/>
          <w:b/>
          <w:bCs/>
          <w:color w:val="2B2B2B"/>
          <w:sz w:val="32"/>
          <w:szCs w:val="32"/>
        </w:rPr>
        <w:t>三是</w:t>
      </w:r>
      <w:r>
        <w:rPr>
          <w:rFonts w:hint="eastAsia" w:ascii="仿宋_GB2312" w:eastAsia="仿宋_GB2312" w:hAnsiTheme="majorEastAsia"/>
          <w:color w:val="2B2B2B"/>
          <w:sz w:val="32"/>
          <w:szCs w:val="32"/>
        </w:rPr>
        <w:t>加强执法工作的效能监督检查。认真落实行政执法案件追究制度，完善行政执法职责，采取领导班子成员不定期对执法行为进行明查暗访、重点回访等有效措施，不断提高依法行政、廉洁勤政的水平，为依法行政营造了良好的约束机制。</w:t>
      </w:r>
    </w:p>
    <w:p w14:paraId="6F866E73">
      <w:pPr>
        <w:pStyle w:val="4"/>
        <w:shd w:val="clear" w:color="auto" w:fill="FFFFFF"/>
        <w:spacing w:before="0" w:beforeAutospacing="0" w:after="0" w:afterAutospacing="0" w:line="560" w:lineRule="exact"/>
        <w:ind w:firstLine="640"/>
        <w:jc w:val="both"/>
        <w:rPr>
          <w:rFonts w:ascii="仿宋_GB2312" w:eastAsia="仿宋_GB2312" w:hAnsiTheme="majorEastAsia"/>
          <w:b/>
          <w:bCs/>
          <w:color w:val="2B2B2B"/>
          <w:sz w:val="32"/>
          <w:szCs w:val="32"/>
        </w:rPr>
      </w:pPr>
      <w:r>
        <w:rPr>
          <w:rFonts w:hint="eastAsia" w:ascii="仿宋_GB2312" w:eastAsia="仿宋_GB2312" w:hAnsiTheme="majorEastAsia"/>
          <w:color w:val="2B2B2B"/>
          <w:sz w:val="32"/>
          <w:szCs w:val="32"/>
        </w:rPr>
        <w:t>（二）规范依法行政工作流程，全面推进政务公开。对凡涉及自然资源征地信息和自然执法的职能职责、法律法规、审批事项、办事程序、制度规范、收费标准及依据，及时全面地向社会公开，接受群众监督。</w:t>
      </w:r>
    </w:p>
    <w:p w14:paraId="3346E493">
      <w:pPr>
        <w:pStyle w:val="4"/>
        <w:shd w:val="clear" w:color="auto" w:fill="FFFFFF"/>
        <w:spacing w:before="0" w:beforeAutospacing="0" w:after="0" w:afterAutospacing="0" w:line="560" w:lineRule="exact"/>
        <w:ind w:firstLine="640"/>
        <w:jc w:val="both"/>
        <w:rPr>
          <w:rFonts w:ascii="仿宋_GB2312" w:eastAsia="仿宋_GB2312" w:hAnsiTheme="majorEastAsia"/>
          <w:b/>
          <w:color w:val="2B2B2B"/>
          <w:sz w:val="32"/>
          <w:szCs w:val="32"/>
        </w:rPr>
      </w:pPr>
      <w:r>
        <w:rPr>
          <w:rFonts w:hint="eastAsia" w:ascii="仿宋_GB2312" w:eastAsia="仿宋_GB2312" w:hAnsiTheme="majorEastAsia"/>
          <w:b/>
          <w:color w:val="2B2B2B"/>
          <w:sz w:val="32"/>
          <w:szCs w:val="32"/>
        </w:rPr>
        <w:t>三、履职尽责，严格执法，努力提升依法行政工作水平</w:t>
      </w:r>
    </w:p>
    <w:p w14:paraId="0FC8F3CF">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2B2B2B"/>
          <w:sz w:val="32"/>
          <w:szCs w:val="32"/>
        </w:rPr>
        <w:t>（一）健全动态执法巡查制度，购置（采购执行中）执法记录仪等硬件设施，及时发现问题，及时处理，从源头上遏制违法违规用地行为的发生。2019年我们共组织土地、矿产巡回监察750余次，通过巡查共发现违法行为278起，立案190宗，做到了早发现早制止，并予以行政立案查处，有效地打击资源违法行为。</w:t>
      </w:r>
    </w:p>
    <w:p w14:paraId="19682A29">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2B2B2B"/>
          <w:sz w:val="32"/>
          <w:szCs w:val="32"/>
        </w:rPr>
        <w:t>（二）全面开展年度土地卫片执法监督检查和各类专项整治行动。通过卫星遥感监测积极开展年度卫片执法检查工作，评估检验自然资源日常执法监管情况，近年来我</w:t>
      </w:r>
      <w:r>
        <w:rPr>
          <w:rFonts w:hint="eastAsia" w:ascii="仿宋_GB2312" w:eastAsia="仿宋_GB2312" w:hAnsiTheme="majorEastAsia"/>
          <w:sz w:val="32"/>
          <w:szCs w:val="32"/>
        </w:rPr>
        <w:t>区</w:t>
      </w:r>
      <w:r>
        <w:rPr>
          <w:rFonts w:hint="eastAsia" w:ascii="仿宋_GB2312" w:eastAsia="仿宋_GB2312" w:hAnsiTheme="majorEastAsia"/>
          <w:color w:val="2B2B2B"/>
          <w:sz w:val="32"/>
          <w:szCs w:val="32"/>
        </w:rPr>
        <w:t>违法占用耕地面积占新增建设用地占用耕地总面积的比例始终保持在15%以下；同时开展各项整治行动，切实实现了违法行为“发现在初始、解决在萌芽”。</w:t>
      </w:r>
    </w:p>
    <w:p w14:paraId="78269DCB">
      <w:pPr>
        <w:pStyle w:val="4"/>
        <w:shd w:val="clear" w:color="auto" w:fill="FFFFFF"/>
        <w:spacing w:before="0" w:beforeAutospacing="0" w:after="0" w:afterAutospacing="0" w:line="560" w:lineRule="exact"/>
        <w:ind w:firstLine="640"/>
        <w:jc w:val="both"/>
        <w:rPr>
          <w:rFonts w:ascii="仿宋_GB2312" w:eastAsia="仿宋_GB2312" w:hAnsiTheme="majorEastAsia"/>
          <w:color w:val="000000"/>
          <w:sz w:val="32"/>
          <w:szCs w:val="32"/>
        </w:rPr>
      </w:pPr>
      <w:r>
        <w:rPr>
          <w:rFonts w:hint="eastAsia" w:ascii="仿宋_GB2312" w:eastAsia="仿宋_GB2312" w:hAnsiTheme="majorEastAsia"/>
          <w:color w:val="000000"/>
          <w:sz w:val="32"/>
          <w:szCs w:val="32"/>
        </w:rPr>
        <w:t>（三）严格法制审核制度</w:t>
      </w:r>
    </w:p>
    <w:p w14:paraId="2F423915">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000000"/>
          <w:sz w:val="32"/>
          <w:szCs w:val="32"/>
        </w:rPr>
        <w:t>严格执行重大行政决策公众参与、专家论证、风险评估、法制审核、集体讨论决定程序。依据《韶关市自然资源局重大行政执法决定法制审核目录清单》严格落实重大行政执法决定法制审核制度，审核行政执法案件80余宗。</w:t>
      </w:r>
      <w:r>
        <w:rPr>
          <w:rFonts w:hint="eastAsia" w:ascii="仿宋_GB2312" w:eastAsia="仿宋_GB2312" w:hAnsiTheme="majorEastAsia"/>
          <w:color w:val="2B2B2B"/>
          <w:sz w:val="32"/>
          <w:szCs w:val="32"/>
        </w:rPr>
        <w:t xml:space="preserve"> </w:t>
      </w:r>
    </w:p>
    <w:p w14:paraId="2BF59C7C">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2B2B2B"/>
          <w:sz w:val="32"/>
          <w:szCs w:val="32"/>
        </w:rPr>
        <w:t>（四）深入开展土地执法专项活动。按省市要求，相继开展了以“排查违建别墅整治、大棚房整治”为主，“绿盾、绿肺、和风、清零”为辅的六大土地执法专项整治行动，全面查各类自然保护区违法违规用地，严厉打击农用地非农化现象，坚守耕地红线，确保粮食安全底线。</w:t>
      </w:r>
    </w:p>
    <w:p w14:paraId="6552AF39">
      <w:pPr>
        <w:pStyle w:val="4"/>
        <w:shd w:val="clear" w:color="auto" w:fill="FFFFFF"/>
        <w:spacing w:before="0" w:beforeAutospacing="0" w:after="0" w:afterAutospacing="0" w:line="560" w:lineRule="exact"/>
        <w:ind w:firstLine="640"/>
        <w:jc w:val="both"/>
        <w:rPr>
          <w:rFonts w:ascii="仿宋_GB2312" w:eastAsia="仿宋_GB2312" w:hAnsiTheme="majorEastAsia"/>
          <w:b/>
          <w:color w:val="2B2B2B"/>
          <w:sz w:val="32"/>
          <w:szCs w:val="32"/>
        </w:rPr>
      </w:pPr>
      <w:r>
        <w:rPr>
          <w:rFonts w:hint="eastAsia" w:ascii="仿宋_GB2312" w:eastAsia="仿宋_GB2312" w:hAnsiTheme="majorEastAsia"/>
          <w:b/>
          <w:color w:val="2B2B2B"/>
          <w:sz w:val="32"/>
          <w:szCs w:val="32"/>
        </w:rPr>
        <w:t>四、加强宣传，落实制度，着力提高执法队伍综合素质</w:t>
      </w:r>
    </w:p>
    <w:p w14:paraId="52BA23A8">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2B2B2B"/>
          <w:sz w:val="32"/>
          <w:szCs w:val="32"/>
        </w:rPr>
        <w:t>（一）注重普法宣传，营造法治氛围。</w:t>
      </w:r>
      <w:r>
        <w:rPr>
          <w:rFonts w:hint="eastAsia" w:ascii="仿宋_GB2312" w:eastAsia="仿宋_GB2312" w:hAnsiTheme="majorEastAsia"/>
          <w:b/>
          <w:bCs/>
          <w:color w:val="2B2B2B"/>
          <w:sz w:val="32"/>
          <w:szCs w:val="32"/>
        </w:rPr>
        <w:t>一是</w:t>
      </w:r>
      <w:r>
        <w:rPr>
          <w:rFonts w:hint="eastAsia" w:ascii="仿宋_GB2312" w:eastAsia="仿宋_GB2312" w:hAnsiTheme="majorEastAsia"/>
          <w:color w:val="2B2B2B"/>
          <w:sz w:val="32"/>
          <w:szCs w:val="32"/>
        </w:rPr>
        <w:t>做好日常宣传。开展多渠道、多形式的宣传，运用传单、微信、标语、宣传车、电子显示屏等多种手段宣传自然资源相关法律法规，宣传我区自然资源领域工作的新亮点、新成就。</w:t>
      </w:r>
      <w:r>
        <w:rPr>
          <w:rFonts w:hint="eastAsia" w:ascii="仿宋_GB2312" w:eastAsia="仿宋_GB2312" w:hAnsiTheme="majorEastAsia"/>
          <w:b/>
          <w:bCs/>
          <w:color w:val="2B2B2B"/>
          <w:sz w:val="32"/>
          <w:szCs w:val="32"/>
        </w:rPr>
        <w:t>二是</w:t>
      </w:r>
      <w:r>
        <w:rPr>
          <w:rFonts w:hint="eastAsia" w:ascii="仿宋_GB2312" w:eastAsia="仿宋_GB2312" w:hAnsiTheme="majorEastAsia"/>
          <w:color w:val="2B2B2B"/>
          <w:sz w:val="32"/>
          <w:szCs w:val="32"/>
        </w:rPr>
        <w:t>重视节日宣传。组织开展有特色有针对性的法治宣传，精心组织了“4.22”世界地球日、“6.25土地日”、“8.29测绘法宣传日”系列宣传活动，抓住中心，凸显特色；</w:t>
      </w:r>
      <w:r>
        <w:rPr>
          <w:rFonts w:hint="eastAsia" w:ascii="仿宋_GB2312" w:eastAsia="仿宋_GB2312" w:hAnsiTheme="majorEastAsia"/>
          <w:b/>
          <w:bCs/>
          <w:color w:val="2B2B2B"/>
          <w:sz w:val="32"/>
          <w:szCs w:val="32"/>
        </w:rPr>
        <w:t>三是</w:t>
      </w:r>
      <w:r>
        <w:rPr>
          <w:rFonts w:hint="eastAsia" w:ascii="仿宋_GB2312" w:eastAsia="仿宋_GB2312" w:hAnsiTheme="majorEastAsia"/>
          <w:color w:val="2B2B2B"/>
          <w:sz w:val="32"/>
          <w:szCs w:val="32"/>
        </w:rPr>
        <w:t>加强重点宣传。实施“送法宣传活动”，将自然资源法律法规知识手册、地质灾害防治知识手册和不动产登记宣传册等送到群众手中，达到了很好的效果。</w:t>
      </w:r>
      <w:r>
        <w:rPr>
          <w:rFonts w:hint="eastAsia" w:ascii="仿宋_GB2312" w:eastAsia="仿宋_GB2312" w:hAnsiTheme="majorEastAsia"/>
          <w:b/>
          <w:bCs/>
          <w:color w:val="2B2B2B"/>
          <w:sz w:val="32"/>
          <w:szCs w:val="32"/>
        </w:rPr>
        <w:t>四是</w:t>
      </w:r>
      <w:r>
        <w:rPr>
          <w:rFonts w:hint="eastAsia" w:ascii="仿宋_GB2312" w:eastAsia="仿宋_GB2312" w:hAnsiTheme="majorEastAsia"/>
          <w:color w:val="2B2B2B"/>
          <w:sz w:val="32"/>
          <w:szCs w:val="32"/>
        </w:rPr>
        <w:t>充分利用LED显示屏、展板、微信等平台大力宣传自然系统普法工作动态和亮点做法，实现了普法工作全覆盖、无漏洞、无盲区。</w:t>
      </w:r>
    </w:p>
    <w:p w14:paraId="3FF5D19D">
      <w:pPr>
        <w:pStyle w:val="4"/>
        <w:shd w:val="clear" w:color="auto" w:fill="FFFFFF"/>
        <w:spacing w:before="0" w:beforeAutospacing="0" w:after="0" w:afterAutospacing="0" w:line="560" w:lineRule="exact"/>
        <w:ind w:firstLine="640"/>
        <w:jc w:val="both"/>
        <w:rPr>
          <w:rFonts w:hint="eastAsia" w:ascii="仿宋_GB2312" w:eastAsia="仿宋_GB2312" w:hAnsiTheme="majorEastAsia"/>
          <w:color w:val="2B2B2B"/>
          <w:sz w:val="32"/>
          <w:szCs w:val="32"/>
        </w:rPr>
      </w:pPr>
      <w:r>
        <w:rPr>
          <w:rFonts w:hint="eastAsia" w:ascii="仿宋_GB2312" w:eastAsia="仿宋_GB2312" w:hAnsiTheme="majorEastAsia"/>
          <w:color w:val="2B2B2B"/>
          <w:sz w:val="32"/>
          <w:szCs w:val="32"/>
        </w:rPr>
        <w:t>（二）落实学法制度，提高法治素质。</w:t>
      </w:r>
      <w:r>
        <w:rPr>
          <w:rFonts w:hint="eastAsia" w:ascii="仿宋_GB2312" w:eastAsia="仿宋_GB2312" w:hAnsiTheme="majorEastAsia"/>
          <w:b/>
          <w:bCs/>
          <w:color w:val="2B2B2B"/>
          <w:sz w:val="32"/>
          <w:szCs w:val="32"/>
        </w:rPr>
        <w:t>一是</w:t>
      </w:r>
      <w:r>
        <w:rPr>
          <w:rFonts w:hint="eastAsia" w:ascii="仿宋_GB2312" w:eastAsia="仿宋_GB2312" w:hAnsiTheme="majorEastAsia"/>
          <w:color w:val="2B2B2B"/>
          <w:sz w:val="32"/>
          <w:szCs w:val="32"/>
        </w:rPr>
        <w:t>领导干部“领”学。局党组成员注重加强自身示范引领作用，率先垂范，坚持带头营造“多学”、“勤学”、善学”、“用学”的良好氛围；</w:t>
      </w:r>
      <w:r>
        <w:rPr>
          <w:rFonts w:hint="eastAsia" w:ascii="仿宋_GB2312" w:eastAsia="仿宋_GB2312" w:hAnsiTheme="majorEastAsia"/>
          <w:b/>
          <w:bCs/>
          <w:color w:val="2B2B2B"/>
          <w:sz w:val="32"/>
          <w:szCs w:val="32"/>
        </w:rPr>
        <w:t>二是</w:t>
      </w:r>
      <w:r>
        <w:rPr>
          <w:rFonts w:hint="eastAsia" w:ascii="仿宋_GB2312" w:eastAsia="仿宋_GB2312" w:hAnsiTheme="majorEastAsia"/>
          <w:color w:val="2B2B2B"/>
          <w:sz w:val="32"/>
          <w:szCs w:val="32"/>
        </w:rPr>
        <w:t>中层干部“互”学。今年以来，我局持续抓业务学习，对学习时间、学习内容等进行统筹安排。严格落实“学习日”制度，机关干部、业务骨干互帮互学。</w:t>
      </w:r>
      <w:r>
        <w:rPr>
          <w:rFonts w:hint="eastAsia" w:ascii="仿宋_GB2312" w:eastAsia="仿宋_GB2312" w:hAnsiTheme="majorEastAsia"/>
          <w:b/>
          <w:bCs/>
          <w:color w:val="2B2B2B"/>
          <w:sz w:val="32"/>
          <w:szCs w:val="32"/>
        </w:rPr>
        <w:t>三是</w:t>
      </w:r>
      <w:r>
        <w:rPr>
          <w:rFonts w:hint="eastAsia" w:ascii="仿宋_GB2312" w:eastAsia="仿宋_GB2312" w:hAnsiTheme="majorEastAsia"/>
          <w:color w:val="2B2B2B"/>
          <w:sz w:val="32"/>
          <w:szCs w:val="32"/>
        </w:rPr>
        <w:t>充分利用下乡开展业务工作的时机，深入田间地头，面对面为服务对象宣讲宪法和自然资源法律法规知识，热情耐心解答群众咨询。</w:t>
      </w:r>
    </w:p>
    <w:p w14:paraId="6BAB2242">
      <w:pPr>
        <w:pStyle w:val="4"/>
        <w:shd w:val="clear" w:color="auto" w:fill="FFFFFF"/>
        <w:spacing w:before="0" w:beforeAutospacing="0" w:after="0" w:afterAutospacing="0" w:line="560" w:lineRule="exact"/>
        <w:ind w:firstLine="640"/>
        <w:rPr>
          <w:rFonts w:hint="eastAsia" w:ascii="仿宋_GB2312" w:eastAsia="仿宋_GB2312" w:hAnsiTheme="majorEastAsia"/>
          <w:b/>
          <w:color w:val="2B2B2B"/>
          <w:sz w:val="32"/>
          <w:szCs w:val="32"/>
        </w:rPr>
      </w:pPr>
      <w:r>
        <w:rPr>
          <w:rFonts w:hint="eastAsia" w:ascii="仿宋_GB2312" w:eastAsia="仿宋_GB2312" w:hAnsiTheme="majorEastAsia"/>
          <w:b/>
          <w:color w:val="2B2B2B"/>
          <w:sz w:val="32"/>
          <w:szCs w:val="32"/>
        </w:rPr>
        <w:t>五、做好“两法衔接”工作，全面落实我局行政执法和刑事司法衔接机制</w:t>
      </w:r>
    </w:p>
    <w:p w14:paraId="4EF00C62">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2B2B2B"/>
          <w:sz w:val="32"/>
          <w:szCs w:val="32"/>
        </w:rPr>
        <w:t>我局树立全局观念，分工负责、互相配合，完善我局与区公安、区检察院信息共享、案情通报、案件移送制度，认真做好“两法衔接”工作，杜绝有案不移、有案不立和以罚代刑现象。一是组织人员参加全区“两法衔接”学习培训，规范使用行政执法与刑事司法衔接信息共享平台。二是建立全区“两法衔接”工作机制，参加联席会议，通报衔接工作情况，研究问题，协调解决涉自然资源环保领域执法问题。三是对涉自然资源、环境保护犯罪易发、高发领域和环节，重大案件联合督办，共同研究对策。发现符合刑事追诉标准的能提前介入调查，做到互相通报“双向案件”案情，开展联合打击行动。四是规范我局向公安机关移送涉自然资源犯罪案件线索模式，采用“处罚后移送、线索移送、调查中移送”三种移送模式，逐步实现涉自然资源犯罪案件的网上移送、网上受理、网上监督。</w:t>
      </w:r>
    </w:p>
    <w:p w14:paraId="0DE33446">
      <w:pPr>
        <w:pStyle w:val="4"/>
        <w:shd w:val="clear" w:color="auto" w:fill="FFFFFF"/>
        <w:spacing w:before="0" w:beforeAutospacing="0" w:after="0" w:afterAutospacing="0" w:line="560" w:lineRule="exact"/>
        <w:ind w:firstLine="640"/>
        <w:jc w:val="both"/>
        <w:rPr>
          <w:rFonts w:ascii="仿宋_GB2312" w:eastAsia="仿宋_GB2312" w:hAnsiTheme="majorEastAsia"/>
          <w:b/>
          <w:color w:val="2B2B2B"/>
          <w:sz w:val="32"/>
          <w:szCs w:val="32"/>
        </w:rPr>
      </w:pPr>
      <w:r>
        <w:rPr>
          <w:rFonts w:hint="eastAsia" w:ascii="仿宋_GB2312" w:eastAsia="仿宋_GB2312" w:hAnsiTheme="majorEastAsia"/>
          <w:b/>
          <w:color w:val="2B2B2B"/>
          <w:sz w:val="32"/>
          <w:szCs w:val="32"/>
        </w:rPr>
        <w:t>六、依法有效化解社会矛盾</w:t>
      </w:r>
    </w:p>
    <w:p w14:paraId="7C6BCC9E">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2B2B2B"/>
          <w:sz w:val="32"/>
          <w:szCs w:val="32"/>
        </w:rPr>
        <w:t>为了有效从源头上解决问题，把矛盾化解在基层，化解在萌芽状态，我局多措并举，认真开展矛盾纠纷排查化解工作。</w:t>
      </w:r>
      <w:r>
        <w:rPr>
          <w:rFonts w:hint="eastAsia" w:ascii="仿宋_GB2312" w:eastAsia="仿宋_GB2312" w:hAnsiTheme="majorEastAsia"/>
          <w:b/>
          <w:bCs/>
          <w:color w:val="2B2B2B"/>
          <w:sz w:val="32"/>
          <w:szCs w:val="32"/>
        </w:rPr>
        <w:t>一是</w:t>
      </w:r>
      <w:r>
        <w:rPr>
          <w:rFonts w:hint="eastAsia" w:ascii="仿宋_GB2312" w:eastAsia="仿宋_GB2312" w:hAnsiTheme="majorEastAsia"/>
          <w:color w:val="2B2B2B"/>
          <w:sz w:val="32"/>
          <w:szCs w:val="32"/>
        </w:rPr>
        <w:t>积极推行专人负责和科室责任制，分门别类落实责任和化解措施。</w:t>
      </w:r>
      <w:r>
        <w:rPr>
          <w:rFonts w:hint="eastAsia" w:ascii="仿宋_GB2312" w:eastAsia="仿宋_GB2312" w:hAnsiTheme="majorEastAsia"/>
          <w:b/>
          <w:bCs/>
          <w:color w:val="2B2B2B"/>
          <w:sz w:val="32"/>
          <w:szCs w:val="32"/>
        </w:rPr>
        <w:t>二是</w:t>
      </w:r>
      <w:r>
        <w:rPr>
          <w:rFonts w:hint="eastAsia" w:ascii="仿宋_GB2312" w:eastAsia="仿宋_GB2312" w:hAnsiTheme="majorEastAsia"/>
          <w:color w:val="2B2B2B"/>
          <w:sz w:val="32"/>
          <w:szCs w:val="32"/>
        </w:rPr>
        <w:t>利用定期召开部门负责人会议，针对收集、排查出来的问题，进行认真分析、查找原因，制定对策，责任到人。</w:t>
      </w:r>
      <w:r>
        <w:rPr>
          <w:rFonts w:hint="eastAsia" w:ascii="仿宋_GB2312" w:eastAsia="仿宋_GB2312" w:hAnsiTheme="majorEastAsia"/>
          <w:b/>
          <w:bCs/>
          <w:color w:val="2B2B2B"/>
          <w:sz w:val="32"/>
          <w:szCs w:val="32"/>
        </w:rPr>
        <w:t>三是</w:t>
      </w:r>
      <w:r>
        <w:rPr>
          <w:rFonts w:hint="eastAsia" w:ascii="仿宋_GB2312" w:eastAsia="仿宋_GB2312" w:hAnsiTheme="majorEastAsia"/>
          <w:color w:val="2B2B2B"/>
          <w:sz w:val="32"/>
          <w:szCs w:val="32"/>
        </w:rPr>
        <w:t>实行“属地管理、分级负责”原则，要求各股室、各所认真落实工作职责。对辖区发生的信访问题，做好法制宣传和政策疏导，及时解决；对批转处理的信访问题，限期将办结情况反馈上报，并认真做好上访人的思想工作。今年我局共收到各类信访投诉93件，接待来访群众117人次，均已按时办结。</w:t>
      </w:r>
    </w:p>
    <w:p w14:paraId="5A1E9302">
      <w:pPr>
        <w:pStyle w:val="4"/>
        <w:shd w:val="clear" w:color="auto" w:fill="FFFFFF"/>
        <w:spacing w:before="0" w:beforeAutospacing="0" w:after="0" w:afterAutospacing="0" w:line="560" w:lineRule="exact"/>
        <w:ind w:firstLine="640"/>
        <w:jc w:val="both"/>
        <w:rPr>
          <w:rFonts w:ascii="仿宋_GB2312" w:eastAsia="仿宋_GB2312" w:hAnsiTheme="majorEastAsia"/>
          <w:color w:val="2B2B2B"/>
          <w:sz w:val="32"/>
          <w:szCs w:val="32"/>
        </w:rPr>
      </w:pPr>
      <w:r>
        <w:rPr>
          <w:rFonts w:hint="eastAsia" w:ascii="仿宋_GB2312" w:eastAsia="仿宋_GB2312" w:hAnsiTheme="majorEastAsia"/>
          <w:color w:val="2F2F2F"/>
          <w:sz w:val="32"/>
          <w:szCs w:val="32"/>
        </w:rPr>
        <w:t>强化行政复议和行政应诉工作。认真做好行政复议、行政诉讼案件的办理，对上级部门受理的行政复议、人民法院受理的行政诉讼案件，严格按照“谁主管、谁应诉，谁主办、谁出庭”原则，做好案件的审查、答复、答辩、应诉工作。2019年因本级行为引发行政复议案件27件。2019年因本级行政行为引发的行政诉讼5件，目前案件仍在审理中。</w:t>
      </w:r>
    </w:p>
    <w:p w14:paraId="67D8A9E1">
      <w:pPr>
        <w:pStyle w:val="4"/>
        <w:shd w:val="clear" w:color="auto" w:fill="FFFFFF"/>
        <w:spacing w:before="0" w:beforeAutospacing="0" w:after="0" w:afterAutospacing="0" w:line="560" w:lineRule="exact"/>
        <w:ind w:firstLine="640"/>
        <w:rPr>
          <w:rFonts w:ascii="仿宋_GB2312" w:eastAsia="仿宋_GB2312" w:hAnsiTheme="majorEastAsia"/>
          <w:color w:val="2B2B2B"/>
          <w:sz w:val="32"/>
          <w:szCs w:val="32"/>
        </w:rPr>
      </w:pPr>
      <w:r>
        <w:rPr>
          <w:rFonts w:hint="eastAsia" w:ascii="仿宋_GB2312" w:eastAsia="仿宋_GB2312" w:hAnsiTheme="majorEastAsia"/>
          <w:color w:val="2B2B2B"/>
          <w:sz w:val="32"/>
          <w:szCs w:val="32"/>
        </w:rPr>
        <w:t>2019年我局在工作中，按照法治政府建设要求标准，我局在积极有效营造法治自然的良好环境，创建依法行政示范单位工作工作中取得明显的成效，当然对照标准也还有不足之处，如对创新自然资源管理思考不深入、对个别重点环节工作落实还不到位。在今后的工作中我们将继续强化学习、规范执法、全面推进法治自然和廉洁自然建设，主动作为，切实增强服务，提高法</w:t>
      </w:r>
      <w:r>
        <w:rPr>
          <w:rFonts w:hint="eastAsia" w:ascii="仿宋_GB2312" w:eastAsia="仿宋_GB2312" w:hAnsiTheme="majorEastAsia"/>
          <w:color w:val="2B2B2B"/>
          <w:sz w:val="32"/>
          <w:szCs w:val="32"/>
          <w:lang w:eastAsia="zh-CN"/>
        </w:rPr>
        <w:t>治</w:t>
      </w:r>
      <w:bookmarkStart w:id="0" w:name="_GoBack"/>
      <w:bookmarkEnd w:id="0"/>
      <w:r>
        <w:rPr>
          <w:rFonts w:hint="eastAsia" w:ascii="仿宋_GB2312" w:eastAsia="仿宋_GB2312" w:hAnsiTheme="majorEastAsia"/>
          <w:color w:val="2B2B2B"/>
          <w:sz w:val="32"/>
          <w:szCs w:val="32"/>
        </w:rPr>
        <w:t>政府建设大局的自觉性和主动性，为经济持续健康发展和社会和谐稳定提供有力支撑和保障。</w:t>
      </w:r>
    </w:p>
    <w:p w14:paraId="47A7D0EB">
      <w:pPr>
        <w:pStyle w:val="4"/>
        <w:spacing w:before="0" w:beforeAutospacing="0" w:after="0" w:afterAutospacing="0" w:line="560" w:lineRule="exact"/>
        <w:ind w:firstLine="420"/>
        <w:rPr>
          <w:rFonts w:ascii="仿宋_GB2312" w:hAnsi="微软雅黑" w:eastAsia="仿宋_GB2312"/>
          <w:color w:val="2B2B2B"/>
          <w:sz w:val="32"/>
          <w:szCs w:val="32"/>
        </w:rPr>
      </w:pPr>
      <w:r>
        <w:rPr>
          <w:rFonts w:hint="eastAsia" w:ascii="微软雅黑" w:hAnsi="微软雅黑" w:eastAsia="仿宋_GB2312"/>
          <w:color w:val="2B2B2B"/>
          <w:sz w:val="32"/>
          <w:szCs w:val="32"/>
        </w:rPr>
        <w:t> </w:t>
      </w:r>
    </w:p>
    <w:p w14:paraId="4B137CF1">
      <w:pPr>
        <w:spacing w:line="560" w:lineRule="exact"/>
        <w:rPr>
          <w:rFonts w:ascii="仿宋_GB2312" w:eastAsia="仿宋_GB2312"/>
          <w:sz w:val="32"/>
          <w:szCs w:val="32"/>
        </w:rPr>
      </w:pPr>
      <w:r>
        <w:rPr>
          <w:rFonts w:hint="eastAsia" w:ascii="仿宋_GB2312" w:eastAsia="仿宋_GB2312"/>
          <w:sz w:val="32"/>
          <w:szCs w:val="32"/>
        </w:rPr>
        <w:t xml:space="preserve">                                                   </w:t>
      </w:r>
    </w:p>
    <w:p w14:paraId="613FFBBB">
      <w:pPr>
        <w:spacing w:line="560" w:lineRule="exact"/>
        <w:rPr>
          <w:rFonts w:ascii="仿宋_GB2312" w:eastAsia="仿宋_GB2312"/>
          <w:sz w:val="32"/>
          <w:szCs w:val="32"/>
        </w:rPr>
      </w:pPr>
      <w:r>
        <w:rPr>
          <w:rFonts w:hint="eastAsia" w:ascii="仿宋_GB2312" w:eastAsia="仿宋_GB2312"/>
          <w:sz w:val="32"/>
          <w:szCs w:val="32"/>
        </w:rPr>
        <w:t xml:space="preserve">                             韶关市武江区自然资源局</w:t>
      </w:r>
    </w:p>
    <w:p w14:paraId="2731FB5E">
      <w:pPr>
        <w:spacing w:line="560" w:lineRule="exact"/>
        <w:ind w:firstLine="5280" w:firstLineChars="1650"/>
        <w:rPr>
          <w:rFonts w:ascii="仿宋_GB2312" w:eastAsia="仿宋_GB2312"/>
          <w:sz w:val="32"/>
          <w:szCs w:val="32"/>
        </w:rPr>
      </w:pPr>
      <w:r>
        <w:rPr>
          <w:rFonts w:hint="eastAsia" w:ascii="仿宋_GB2312" w:eastAsia="仿宋_GB2312"/>
          <w:sz w:val="32"/>
          <w:szCs w:val="32"/>
        </w:rPr>
        <w:t>2020年</w:t>
      </w:r>
      <w:r>
        <w:rPr>
          <w:rFonts w:hint="eastAsia" w:ascii="仿宋_GB2312" w:eastAsia="仿宋_GB2312"/>
          <w:sz w:val="32"/>
          <w:szCs w:val="32"/>
          <w:lang w:val="en-US" w:eastAsia="zh-CN"/>
        </w:rPr>
        <w:t>2</w:t>
      </w:r>
      <w:r>
        <w:rPr>
          <w:rFonts w:hint="eastAsia" w:ascii="仿宋_GB2312" w:eastAsia="仿宋_GB2312"/>
          <w:sz w:val="32"/>
          <w:szCs w:val="32"/>
        </w:rPr>
        <w:t>月</w:t>
      </w:r>
      <w:r>
        <w:rPr>
          <w:rFonts w:hint="eastAsia" w:ascii="仿宋_GB2312" w:eastAsia="仿宋_GB2312"/>
          <w:sz w:val="32"/>
          <w:szCs w:val="32"/>
          <w:lang w:val="en-US" w:eastAsia="zh-CN"/>
        </w:rPr>
        <w:t>26</w:t>
      </w:r>
      <w:r>
        <w:rPr>
          <w:rFonts w:hint="eastAsia" w:ascii="仿宋_GB2312" w:eastAsia="仿宋_GB2312"/>
          <w:sz w:val="32"/>
          <w:szCs w:val="32"/>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967902"/>
      <w:docPartObj>
        <w:docPartGallery w:val="autotext"/>
      </w:docPartObj>
    </w:sdtPr>
    <w:sdtContent>
      <w:p w14:paraId="0B201F93">
        <w:pPr>
          <w:pStyle w:val="2"/>
          <w:jc w:val="center"/>
        </w:pPr>
        <w:r>
          <w:fldChar w:fldCharType="begin"/>
        </w:r>
        <w:r>
          <w:instrText xml:space="preserve"> PAGE   \* MERGEFORMAT </w:instrText>
        </w:r>
        <w:r>
          <w:fldChar w:fldCharType="separate"/>
        </w:r>
        <w:r>
          <w:rPr>
            <w:lang w:val="zh-CN"/>
          </w:rPr>
          <w:t>6</w:t>
        </w:r>
        <w:r>
          <w:rPr>
            <w:lang w:val="zh-CN"/>
          </w:rPr>
          <w:fldChar w:fldCharType="end"/>
        </w:r>
      </w:p>
    </w:sdtContent>
  </w:sdt>
  <w:p w14:paraId="05540F02">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D6D"/>
    <w:rsid w:val="00077D6D"/>
    <w:rsid w:val="00083DEB"/>
    <w:rsid w:val="0009289B"/>
    <w:rsid w:val="000E2324"/>
    <w:rsid w:val="00147B54"/>
    <w:rsid w:val="0016411C"/>
    <w:rsid w:val="001D3ACB"/>
    <w:rsid w:val="00245559"/>
    <w:rsid w:val="004002AB"/>
    <w:rsid w:val="00403A9B"/>
    <w:rsid w:val="004808EE"/>
    <w:rsid w:val="004F3BCE"/>
    <w:rsid w:val="00516375"/>
    <w:rsid w:val="005815A0"/>
    <w:rsid w:val="005D23BA"/>
    <w:rsid w:val="00601B74"/>
    <w:rsid w:val="00626E65"/>
    <w:rsid w:val="006F11B9"/>
    <w:rsid w:val="0074002C"/>
    <w:rsid w:val="00784777"/>
    <w:rsid w:val="00817506"/>
    <w:rsid w:val="008A3B11"/>
    <w:rsid w:val="009106AD"/>
    <w:rsid w:val="00917DD4"/>
    <w:rsid w:val="00995D1E"/>
    <w:rsid w:val="009C42D5"/>
    <w:rsid w:val="00A6158A"/>
    <w:rsid w:val="00B23DDD"/>
    <w:rsid w:val="00B71012"/>
    <w:rsid w:val="00C7660D"/>
    <w:rsid w:val="00C919D9"/>
    <w:rsid w:val="00CA1748"/>
    <w:rsid w:val="00CC676E"/>
    <w:rsid w:val="00CC78B7"/>
    <w:rsid w:val="00CE2312"/>
    <w:rsid w:val="00DA1043"/>
    <w:rsid w:val="00DD082C"/>
    <w:rsid w:val="00E9327B"/>
    <w:rsid w:val="00F4435D"/>
    <w:rsid w:val="00FD59C3"/>
    <w:rsid w:val="16B548AC"/>
    <w:rsid w:val="4EBC1C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uiPriority w:val="99"/>
    <w:rPr>
      <w:sz w:val="18"/>
      <w:szCs w:val="18"/>
    </w:rPr>
  </w:style>
  <w:style w:type="character" w:customStyle="1" w:styleId="8">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2992</Words>
  <Characters>3041</Characters>
  <Lines>22</Lines>
  <Paragraphs>6</Paragraphs>
  <TotalTime>103</TotalTime>
  <ScaleCrop>false</ScaleCrop>
  <LinksUpToDate>false</LinksUpToDate>
  <CharactersWithSpaces>3123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2020-04-09T01:34:00Z</dcterms:created>
  <dc:creator>user5</dc:creator>
  <cp:lastModifiedBy>WPS_1591167216</cp:lastModifiedBy>
  <dcterms:modified xsi:type="dcterms:W3CDTF">2026-10-20T08:50:39Z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eyJoZGlkIjoiM2I4ZTJjNTg1NmJhYWY3OWI5NzI5ZWQzYjI2YzJhYTkiLCJ1c2VySWQiOiIxMDA1MzM5MDIyIn0=</vt:lpwstr>
  </property>
  <property fmtid="{D5CDD505-2E9C-101B-9397-08002B2CF9AE}" pid="4" name="ICV">
    <vt:lpwstr>E0D071F31125429FBE77B5E140024927_13</vt:lpwstr>
  </property>
</Properties>
</file>