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color w:val="FF0000"/>
          <w:spacing w:val="34"/>
          <w:w w:val="100"/>
          <w:sz w:val="84"/>
          <w:szCs w:val="84"/>
          <w:lang w:eastAsia="zh-CN"/>
        </w:rPr>
      </w:pPr>
      <w:r>
        <w:rPr>
          <w:rFonts w:hint="eastAsia" w:ascii="方正小标宋简体" w:hAnsi="方正小标宋简体" w:eastAsia="方正小标宋简体" w:cs="方正小标宋简体"/>
          <w:color w:val="FF0000"/>
          <w:spacing w:val="34"/>
          <w:w w:val="100"/>
          <w:sz w:val="84"/>
          <w:szCs w:val="84"/>
          <w:lang w:eastAsia="zh-CN"/>
        </w:rPr>
        <w:t>韶关市武江区农业局</w:t>
      </w:r>
    </w:p>
    <w:p>
      <w:pPr>
        <w:rPr>
          <w:rFonts w:hint="eastAsia" w:ascii="方正小标宋简体" w:hAnsi="方正小标宋简体" w:eastAsia="方正小标宋简体" w:cs="方正小标宋简体"/>
          <w:color w:val="FF0000"/>
          <w:spacing w:val="-45"/>
          <w:w w:val="80"/>
          <w:sz w:val="84"/>
          <w:szCs w:val="84"/>
          <w:lang w:eastAsia="zh-CN"/>
        </w:rPr>
      </w:pPr>
      <w:r>
        <w:rPr>
          <w:rFonts w:hint="eastAsia" w:ascii="方正小标宋简体" w:hAnsi="方正小标宋简体" w:eastAsia="方正小标宋简体" w:cs="方正小标宋简体"/>
          <w:color w:val="FF0000"/>
          <w:spacing w:val="-45"/>
          <w:w w:val="80"/>
          <w:sz w:val="84"/>
          <w:szCs w:val="84"/>
          <w:lang w:eastAsia="zh-CN"/>
        </w:rPr>
        <w:t>韶关市武江区住房和城乡建设局</w:t>
      </w:r>
    </w:p>
    <w:p>
      <w:pPr>
        <w:rPr>
          <w:rFonts w:hint="eastAsia" w:ascii="方正小标宋简体" w:hAnsi="方正小标宋简体" w:eastAsia="方正小标宋简体" w:cs="方正小标宋简体"/>
          <w:color w:val="FF0000"/>
          <w:spacing w:val="-24"/>
          <w:w w:val="88"/>
          <w:sz w:val="32"/>
          <w:szCs w:val="32"/>
          <w:lang w:eastAsia="zh-CN"/>
        </w:rPr>
      </w:pPr>
    </w:p>
    <w:p>
      <w:pPr>
        <w:ind w:firstLine="5760" w:firstLineChars="1800"/>
        <w:rPr>
          <w:rFonts w:hint="eastAsia" w:ascii="仿宋" w:hAnsi="仿宋" w:eastAsia="仿宋" w:cs="仿宋"/>
          <w:color w:val="000000" w:themeColor="text1"/>
          <w:spacing w:val="0"/>
          <w:w w:val="100"/>
          <w:sz w:val="32"/>
          <w:szCs w:val="32"/>
          <w:lang w:eastAsia="zh-CN"/>
          <w14:textFill>
            <w14:solidFill>
              <w14:schemeClr w14:val="tx1"/>
            </w14:solidFill>
          </w14:textFill>
        </w:rPr>
      </w:pPr>
      <w:r>
        <w:rPr>
          <w:rFonts w:hint="eastAsia" w:ascii="仿宋" w:hAnsi="仿宋" w:eastAsia="仿宋" w:cs="仿宋"/>
          <w:color w:val="000000" w:themeColor="text1"/>
          <w:spacing w:val="0"/>
          <w:w w:val="100"/>
          <w:sz w:val="32"/>
          <w:szCs w:val="32"/>
          <w:lang w:eastAsia="zh-CN"/>
          <w14:textFill>
            <w14:solidFill>
              <w14:schemeClr w14:val="tx1"/>
            </w14:solidFill>
          </w14:textFill>
        </w:rPr>
        <w:t>签发人：朱冬生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color w:val="000000" w:themeColor="text1"/>
          <w:spacing w:val="0"/>
          <w:w w:val="98"/>
          <w:sz w:val="32"/>
          <w:szCs w:val="32"/>
          <w:lang w:val="en-US" w:eastAsia="zh-CN"/>
          <w14:textFill>
            <w14:solidFill>
              <w14:schemeClr w14:val="tx1"/>
            </w14:solidFill>
          </w14:textFill>
        </w:rPr>
        <w:t>韶武农〔2019〕1号</w:t>
      </w:r>
      <w:r>
        <w:rPr>
          <w:rFonts w:hint="eastAsia" w:ascii="仿宋" w:hAnsi="仿宋" w:eastAsia="仿宋" w:cs="仿宋"/>
          <w:color w:val="000000" w:themeColor="text1"/>
          <w:spacing w:val="0"/>
          <w:w w:val="100"/>
          <w:sz w:val="32"/>
          <w:szCs w:val="32"/>
          <w:lang w:val="en-US" w:eastAsia="zh-CN"/>
          <w14:textFill>
            <w14:solidFill>
              <w14:schemeClr w14:val="tx1"/>
            </w14:solidFill>
          </w14:textFill>
        </w:rPr>
        <w:t xml:space="preserve">                           黄艺顺</w:t>
      </w:r>
    </w:p>
    <w:p>
      <w:pPr>
        <w:rPr>
          <w:rFonts w:hint="eastAsia" w:ascii="仿宋" w:hAnsi="仿宋" w:eastAsia="仿宋" w:cs="仿宋"/>
          <w:color w:val="000000" w:themeColor="text1"/>
          <w:spacing w:val="0"/>
          <w:w w:val="100"/>
          <w:sz w:val="32"/>
          <w:szCs w:val="32"/>
          <w:lang w:eastAsia="zh-CN"/>
          <w14:textFill>
            <w14:solidFill>
              <w14:schemeClr w14:val="tx1"/>
            </w14:solidFill>
          </w14:textFill>
        </w:rPr>
      </w:pPr>
      <w:r>
        <w:rPr>
          <w:sz w:val="32"/>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37465</wp:posOffset>
                </wp:positionV>
                <wp:extent cx="5226685" cy="0"/>
                <wp:effectExtent l="0" t="19050" r="12065" b="19050"/>
                <wp:wrapNone/>
                <wp:docPr id="1" name="直接连接符 1"/>
                <wp:cNvGraphicFramePr/>
                <a:graphic xmlns:a="http://schemas.openxmlformats.org/drawingml/2006/main">
                  <a:graphicData uri="http://schemas.microsoft.com/office/word/2010/wordprocessingShape">
                    <wps:wsp>
                      <wps:cNvCnPr/>
                      <wps:spPr>
                        <a:xfrm>
                          <a:off x="1155065" y="2570480"/>
                          <a:ext cx="522668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2.95pt;height:0pt;width:411.55pt;z-index:251658240;mso-width-relative:page;mso-height-relative:page;" filled="f" stroked="t" coordsize="21600,21600" o:gfxdata="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dRYSnUAAAABgEAAA8AAAAAAAAAAQAg&#10;AAAAIgAAAGRycy9kb3ducmV2LnhtbFBLAQIUABQAAAAIAIdO4kDewd9n2QEAAHADAAAOAAAAAAAA&#10;AAEAIAAAACMBAABkcnMvZTJvRG9jLnhtbFBLBQYAAAAABgAGAFkBAABuBQAAAAA=&#10;">
                <v:fill on="f" focussize="0,0"/>
                <v:stroke weight="3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44"/>
          <w:szCs w:val="44"/>
        </w:rPr>
        <w:t>关于印发《韶关市武江区畜禽养殖废弃物资源化利用工作考核办法（试行）》的通知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5"/>
          <w:szCs w:val="15"/>
        </w:rPr>
      </w:pPr>
    </w:p>
    <w:p>
      <w:pPr>
        <w:rPr>
          <w:rFonts w:hint="eastAsia" w:ascii="仿宋" w:hAnsi="仿宋" w:eastAsia="仿宋" w:cs="仿宋"/>
          <w:sz w:val="32"/>
          <w:szCs w:val="32"/>
        </w:rPr>
      </w:pPr>
      <w:r>
        <w:rPr>
          <w:rFonts w:hint="eastAsia" w:ascii="仿宋" w:hAnsi="仿宋" w:eastAsia="仿宋" w:cs="仿宋"/>
          <w:sz w:val="32"/>
          <w:szCs w:val="32"/>
        </w:rPr>
        <w:t>各镇人民政府：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经区人民政府同意</w:t>
      </w:r>
      <w:r>
        <w:rPr>
          <w:rFonts w:hint="eastAsia" w:ascii="仿宋" w:hAnsi="仿宋" w:eastAsia="仿宋" w:cs="仿宋"/>
          <w:sz w:val="32"/>
          <w:szCs w:val="32"/>
        </w:rPr>
        <w:t>，现将《韶关市武江区畜禽养殖废弃</w:t>
      </w:r>
      <w:bookmarkStart w:id="0" w:name="_GoBack"/>
      <w:bookmarkEnd w:id="0"/>
      <w:r>
        <w:rPr>
          <w:rFonts w:hint="eastAsia" w:ascii="仿宋" w:hAnsi="仿宋" w:eastAsia="仿宋" w:cs="仿宋"/>
          <w:sz w:val="32"/>
          <w:szCs w:val="32"/>
        </w:rPr>
        <w:t>物资</w:t>
      </w:r>
      <w:r>
        <w:rPr>
          <w:rFonts w:hint="eastAsia" w:ascii="仿宋" w:hAnsi="仿宋" w:eastAsia="仿宋" w:cs="仿宋"/>
          <w:w w:val="97"/>
          <w:sz w:val="32"/>
          <w:szCs w:val="32"/>
        </w:rPr>
        <w:t>源化工作考核办法（试行）》印发给你们，请</w:t>
      </w:r>
      <w:r>
        <w:rPr>
          <w:rFonts w:hint="eastAsia" w:ascii="仿宋" w:hAnsi="仿宋" w:eastAsia="仿宋" w:cs="仿宋"/>
          <w:w w:val="97"/>
          <w:sz w:val="32"/>
          <w:szCs w:val="32"/>
          <w:lang w:eastAsia="zh-CN"/>
        </w:rPr>
        <w:t>遵照执行。</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w w:val="89"/>
          <w:sz w:val="32"/>
          <w:szCs w:val="32"/>
          <w:lang w:val="en-US" w:eastAsia="zh-CN"/>
        </w:rPr>
      </w:pPr>
      <w:r>
        <w:rPr>
          <w:rFonts w:hint="eastAsia" w:ascii="仿宋" w:hAnsi="仿宋" w:eastAsia="仿宋" w:cs="仿宋"/>
          <w:w w:val="89"/>
          <w:sz w:val="32"/>
          <w:szCs w:val="32"/>
        </w:rPr>
        <w:t xml:space="preserve"> </w:t>
      </w:r>
      <w:r>
        <w:rPr>
          <w:rFonts w:hint="eastAsia" w:ascii="仿宋" w:hAnsi="仿宋" w:eastAsia="仿宋" w:cs="仿宋"/>
          <w:w w:val="91"/>
          <w:sz w:val="32"/>
          <w:szCs w:val="32"/>
          <w:lang w:eastAsia="zh-CN"/>
        </w:rPr>
        <w:t>韶关市武江区农业局</w:t>
      </w:r>
      <w:r>
        <w:rPr>
          <w:rFonts w:hint="eastAsia" w:ascii="仿宋" w:hAnsi="仿宋" w:eastAsia="仿宋" w:cs="仿宋"/>
          <w:w w:val="91"/>
          <w:sz w:val="32"/>
          <w:szCs w:val="32"/>
          <w:lang w:val="en-US" w:eastAsia="zh-CN"/>
        </w:rPr>
        <w:t xml:space="preserve">          韶关市武江区住房和城乡建设局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2019年1月</w:t>
      </w: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日                </w:t>
      </w:r>
    </w:p>
    <w:p>
      <w:pPr>
        <w:rPr>
          <w:rFonts w:hint="eastAsia" w:ascii="仿宋" w:hAnsi="仿宋" w:eastAsia="仿宋" w:cs="仿宋"/>
          <w:color w:val="000000" w:themeColor="text1"/>
          <w:spacing w:val="0"/>
          <w:w w:val="100"/>
          <w:sz w:val="32"/>
          <w:szCs w:val="32"/>
          <w:lang w:eastAsia="zh-CN"/>
          <w14:textFill>
            <w14:solidFill>
              <w14:schemeClr w14:val="tx1"/>
            </w14:solidFill>
          </w14:textFill>
        </w:rPr>
      </w:pPr>
    </w:p>
    <w:p>
      <w:pPr>
        <w:rPr>
          <w:rFonts w:hint="eastAsia" w:ascii="黑体" w:hAnsi="黑体" w:eastAsia="黑体" w:cs="黑体"/>
          <w:color w:val="000000" w:themeColor="text1"/>
          <w:spacing w:val="0"/>
          <w:w w:val="100"/>
          <w:sz w:val="32"/>
          <w:szCs w:val="32"/>
          <w:lang w:eastAsia="zh-CN"/>
          <w14:textFill>
            <w14:solidFill>
              <w14:schemeClr w14:val="tx1"/>
            </w14:solidFill>
          </w14:textFill>
        </w:rPr>
      </w:pPr>
      <w:r>
        <w:rPr>
          <w:rFonts w:hint="eastAsia" w:ascii="黑体" w:hAnsi="黑体" w:eastAsia="黑体" w:cs="黑体"/>
          <w:color w:val="000000" w:themeColor="text1"/>
          <w:spacing w:val="0"/>
          <w:w w:val="100"/>
          <w:sz w:val="32"/>
          <w:szCs w:val="32"/>
          <w:lang w:eastAsia="zh-CN"/>
          <w14:textFill>
            <w14:solidFill>
              <w14:schemeClr w14:val="tx1"/>
            </w14:solidFill>
          </w14:textFill>
        </w:rPr>
        <w:t>公开方式：不公开</w:t>
      </w:r>
    </w:p>
    <w:p>
      <w:pPr>
        <w:ind w:firstLine="320" w:firstLineChars="100"/>
        <w:rPr>
          <w:rFonts w:hint="eastAsia" w:ascii="仿宋" w:hAnsi="仿宋" w:eastAsia="仿宋" w:cs="仿宋"/>
          <w:color w:val="000000" w:themeColor="text1"/>
          <w:spacing w:val="0"/>
          <w:w w:val="100"/>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401320</wp:posOffset>
                </wp:positionV>
                <wp:extent cx="5292725" cy="0"/>
                <wp:effectExtent l="0" t="0" r="0" b="0"/>
                <wp:wrapNone/>
                <wp:docPr id="2" name="直接连接符 2"/>
                <wp:cNvGraphicFramePr/>
                <a:graphic xmlns:a="http://schemas.openxmlformats.org/drawingml/2006/main">
                  <a:graphicData uri="http://schemas.microsoft.com/office/word/2010/wordprocessingShape">
                    <wps:wsp>
                      <wps:cNvCnPr/>
                      <wps:spPr>
                        <a:xfrm>
                          <a:off x="1161415" y="9130030"/>
                          <a:ext cx="529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pt;margin-top:31.6pt;height:0pt;width:416.75pt;z-index:251659264;mso-width-relative:page;mso-height-relative:page;" filled="f" stroked="t" coordsize="21600,21600" o:gfxdata="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4iC1gAAAAgBAAAPAAAAAAAAAAEAIAAA&#10;ACIAAABkcnMvZG93bnJldi54bWxQSwECFAAUAAAACACHTuJA6+EMhdUBAABvAwAADgAAAAAAAAAB&#10;ACAAAAAlAQAAZHJzL2Uyb0RvYy54bWxQSwUGAAAAAAYABgBZAQAAbA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10160</wp:posOffset>
                </wp:positionV>
                <wp:extent cx="5234940" cy="1079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34940"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0.8pt;height:0.85pt;width:412.2pt;z-index:251661312;mso-width-relative:page;mso-height-relative:page;" filled="f" stroked="t" coordsize="21600,21600" o:gfxdata="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zIa/NUAAAAGAQAADwAAAAAAAAABACAAAAAiAAAAZHJzL2Rv&#10;d25yZXYueG1sUEsBAhQAFAAAAAgAh07iQHpZE0/LAQAAZwMAAA4AAAAAAAAAAQAgAAAAJAEAAGRy&#10;cy9lMm9Eb2MueG1sUEsFBgAAAAAGAAYAWQEAAGEFAAAAAA==&#10;">
                <v:fill on="f" focussize="0,0"/>
                <v:stroke weight="0.5pt" color="#000000 [3213]" miterlimit="8" joinstyle="miter"/>
                <v:imagedata o:title=""/>
                <o:lock v:ext="edit" aspectratio="f"/>
              </v:line>
            </w:pict>
          </mc:Fallback>
        </mc:AlternateContent>
      </w:r>
      <w:r>
        <w:rPr>
          <w:rFonts w:hint="eastAsia" w:ascii="仿宋" w:hAnsi="仿宋" w:eastAsia="仿宋" w:cs="仿宋"/>
          <w:color w:val="000000" w:themeColor="text1"/>
          <w:spacing w:val="0"/>
          <w:w w:val="100"/>
          <w:sz w:val="32"/>
          <w:szCs w:val="32"/>
          <w:lang w:eastAsia="zh-CN"/>
          <w14:textFill>
            <w14:solidFill>
              <w14:schemeClr w14:val="tx1"/>
            </w14:solidFill>
          </w14:textFill>
        </w:rPr>
        <w:t>韶关市武江区农业局办公室</w:t>
      </w:r>
      <w:r>
        <w:rPr>
          <w:rFonts w:hint="eastAsia" w:ascii="仿宋" w:hAnsi="仿宋" w:eastAsia="仿宋" w:cs="仿宋"/>
          <w:color w:val="000000" w:themeColor="text1"/>
          <w:spacing w:val="0"/>
          <w:w w:val="100"/>
          <w:sz w:val="32"/>
          <w:szCs w:val="32"/>
          <w:lang w:val="en-US" w:eastAsia="zh-CN"/>
          <w14:textFill>
            <w14:solidFill>
              <w14:schemeClr w14:val="tx1"/>
            </w14:solidFill>
          </w14:textFill>
        </w:rPr>
        <w:t xml:space="preserve">    2019年1月16日印发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44"/>
          <w:szCs w:val="44"/>
        </w:rPr>
        <w:t>韶关市武江区畜禽养殖废弃物资源化利用工作考核办法(试行)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5"/>
          <w:szCs w:val="15"/>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全面推进我区畜禽养殖废弃物资源化利用工作，落实属地管理责任制度，根据《韶关市人民政府办公室关于印发韶关市畜禽养殖废弃物资源化利用工作方案的通知》(韶府办明电(2018)47号，简称《市工作方案》)、《韶关市武江区人民政府办公室关于印发韶关市武江区畜禽养殖废弃物资源化利用工作方案的通知》（韶武府办明电〔2018〕72号），简称《区工作方案》）和《韶关市畜禽养殖废弃物资源化利用考核办法》(韶农(2018)124号，以下简称《市考核办法》)，制定本办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 </w:t>
      </w:r>
      <w:r>
        <w:rPr>
          <w:rFonts w:hint="eastAsia" w:ascii="仿宋" w:hAnsi="仿宋" w:eastAsia="仿宋" w:cs="仿宋"/>
          <w:sz w:val="32"/>
          <w:szCs w:val="32"/>
        </w:rPr>
        <w:t> 本办法适用于区政府对各镇人民政府2018年至2020年畜禽养殖废弃物资源化利用工作开展年度考核和终期考核。</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 考核工作坚持目标导向、问题导向和结果导向，遵循客观公正、突出重点、奖惩分明、注重实效的原则。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根据《市考核办法》，按照《区工作方案》确定的工作目标和任务要求，考核内容主要包括畜禽养殖废弃物资源化利用重点工作开展情况与工作目标完成情况。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第五条</w:t>
      </w:r>
      <w:r>
        <w:rPr>
          <w:rFonts w:hint="eastAsia" w:ascii="仿宋" w:hAnsi="仿宋" w:eastAsia="仿宋" w:cs="仿宋"/>
          <w:sz w:val="32"/>
          <w:szCs w:val="32"/>
        </w:rPr>
        <w:t xml:space="preserve">  考核采用评分法，按《考核指标及评分细则》进行。考核满分100分，考核结果分为优秀、良好、合格、不合格四个等级。评分90分(含)以上为优秀、80分(含)至90分为良好、60分(含)全80分为合格、60分以下为不合格。</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各镇人民政府对辖区畜禽养殖废弃物源化利用工作负总责。各镇人民政府要依据《区工作方案》要求，制定本级工作方案，将目标、任务逐级分解到村委，把重点任务落实到相关部门，合理安排重点任务和实施进度，明确配套政策、资金来源、责任部门和保措施等。</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根据《区工作方案》，考核工作由区农业局、区住建局牵头组织实施。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考核依照以下程序开展: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(一)自查评分。</w:t>
      </w:r>
      <w:r>
        <w:rPr>
          <w:rFonts w:hint="eastAsia" w:ascii="仿宋" w:hAnsi="仿宋" w:eastAsia="仿宋" w:cs="仿宋"/>
          <w:sz w:val="32"/>
          <w:szCs w:val="32"/>
        </w:rPr>
        <w:t>各镇人民政府按照考核要求对畜禽养殖废弃物资源化利用情况进行全面自查和自评打分，次年1月15日前将年度自查报告报送区农业局和区住建局。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(二)实地检查。</w:t>
      </w:r>
      <w:r>
        <w:rPr>
          <w:rFonts w:hint="eastAsia" w:ascii="仿宋" w:hAnsi="仿宋" w:eastAsia="仿宋" w:cs="仿宋"/>
          <w:sz w:val="32"/>
          <w:szCs w:val="32"/>
        </w:rPr>
        <w:t>次年2月10日前，由区农业局和区住建局组成考核工作组，选择部分镇进行抽查，通过现场检查、听取汇报、核查资料、明察暗访等方式，全面核实了解有关情况，形成书面报告。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（三）第三方评估。</w:t>
      </w:r>
      <w:r>
        <w:rPr>
          <w:rFonts w:hint="eastAsia" w:ascii="仿宋" w:hAnsi="仿宋" w:eastAsia="仿宋" w:cs="仿宋"/>
          <w:sz w:val="32"/>
          <w:szCs w:val="32"/>
        </w:rPr>
        <w:t>区农业局会同区住建局视情况委托有关单位和社会组织，采取抽样调查等方式，对相关考核指标进行评估。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(四)综合评价。</w:t>
      </w:r>
      <w:r>
        <w:rPr>
          <w:rFonts w:hint="eastAsia" w:ascii="仿宋" w:hAnsi="仿宋" w:eastAsia="仿宋" w:cs="仿宋"/>
          <w:sz w:val="32"/>
          <w:szCs w:val="32"/>
        </w:rPr>
        <w:t>根据日常监督检查、畜禽规模养殖场直联直报信息系统数据、实地检查、第三方评估和自查评分情况等，区农业局、区住建局按照考核指标，负责对各镇人民政府作出综合评价，于次年2月底前形成初步考核结果并报告区政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第九条</w:t>
      </w:r>
      <w:r>
        <w:rPr>
          <w:rFonts w:hint="eastAsia" w:ascii="仿宋" w:hAnsi="仿宋" w:eastAsia="仿宋" w:cs="仿宋"/>
          <w:sz w:val="32"/>
          <w:szCs w:val="32"/>
        </w:rPr>
        <w:t>  考核结果经区政府审定后，由区农业局会同区住建局向各镇人民政府通报，向社会公开。</w:t>
      </w:r>
    </w:p>
    <w:p>
      <w:pPr>
        <w:rPr>
          <w:rFonts w:hint="eastAsia" w:ascii="仿宋" w:hAnsi="仿宋" w:eastAsia="仿宋" w:cs="仿宋"/>
          <w:sz w:val="32"/>
          <w:szCs w:val="32"/>
        </w:rPr>
      </w:pPr>
      <w:r>
        <w:rPr>
          <w:rFonts w:hint="eastAsia" w:ascii="仿宋" w:hAnsi="仿宋" w:eastAsia="仿宋" w:cs="仿宋"/>
          <w:sz w:val="32"/>
          <w:szCs w:val="32"/>
        </w:rPr>
        <w:t xml:space="preserve">    对年度考核优秀的地区进行通报表扬。对年度考核不合格的地区，由区农业局、区住建局约谈各镇人民政府及有关部门负责人，提出整改要求;必要时由区政府领导同志约谈各镇人民政府主要负责人。</w:t>
      </w:r>
    </w:p>
    <w:p>
      <w:pPr>
        <w:rPr>
          <w:rFonts w:hint="eastAsia" w:ascii="仿宋" w:hAnsi="仿宋" w:eastAsia="仿宋" w:cs="仿宋"/>
          <w:sz w:val="32"/>
          <w:szCs w:val="32"/>
        </w:rPr>
      </w:pPr>
      <w:r>
        <w:rPr>
          <w:rFonts w:hint="eastAsia" w:ascii="仿宋" w:hAnsi="仿宋" w:eastAsia="仿宋" w:cs="仿宋"/>
          <w:sz w:val="32"/>
          <w:szCs w:val="32"/>
        </w:rPr>
        <w:t xml:space="preserve">    考核结果作为对镇级财政农业、环境保护资金分配的重要依据。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各镇人民政府对所提供材料和数据的真实性、准确性负责。对在考核中弄虚作假的，依法依纪追究有关单位和人员责任。在考核过程中发现违纪问题需要追究问责的，按相关程序移送纪检监察机关办理。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本办法由区农业局、区住建局负责解释。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1.考核指标及评分细则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2.考核指标及评分表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3.概念解释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考核指标及评分细则</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一、重点工作开展情况(50分)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(一)组织领导(5分)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镇建立由镇级政府有关负责同志牵头的畜禽养殖废弃物资源化利用工作协调机制，协调有关部门依法履行职责。镇政府有关负责同志每年至少主持召开一次会议，专题研究有关工作。镇人民政府应与辖区村委签订畜禽养殖废弃物资源化利用目标责任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计分方法:区农业局、区住建局根据综合评价结果赋分。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(二)扶持政策(20分)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工作开展需要，强化资金扶持，统筹整合涉农资金，支持规模养殖场、第三方处理企业、社会化服务组织粪污处理设施建设，积极推广使用有机肥;并结合推进工作需要，对畜禽粪污收贮运、畜禽粪肥施用和沼气生产等进行补助或扶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计分方法:区农业局、区住建局根据综合评价结果赋分。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(三)政策落实(10分)</w:t>
      </w:r>
    </w:p>
    <w:p>
      <w:pPr>
        <w:rPr>
          <w:rFonts w:hint="eastAsia" w:ascii="仿宋" w:hAnsi="仿宋" w:eastAsia="仿宋" w:cs="仿宋"/>
          <w:sz w:val="32"/>
          <w:szCs w:val="32"/>
        </w:rPr>
      </w:pPr>
      <w:r>
        <w:rPr>
          <w:rFonts w:hint="eastAsia" w:ascii="仿宋" w:hAnsi="仿宋" w:eastAsia="仿宋" w:cs="仿宋"/>
          <w:sz w:val="32"/>
          <w:szCs w:val="32"/>
        </w:rPr>
        <w:t xml:space="preserve">    根据《区工作方案》要求，按时出台本镇（街）工作方案，强化整镇推进，落实“一镇（街）一方案”，畜禽规模养殖场实行“一场一策”,开展畜禽养殖污染防治三年攻坚工作，完成规模以下生猪养殖治理和关闭取缔任务;组织编制种养循环规划，促进种养业协调布局，构建养殖主体小循环、镇域中循环和区域大循环的废弃物收集、转化、利用网络体系;落实规模养殖场内养殖相关活动农业用电、沼气发电上网标杆电价和上网电量全额保障性收购政策;符合入网标准的生物天然气接入城市燃气管网;落实《资源综合利用产品和劳务增值税优惠目录》中沼气相关的增值税优惠政策;对畜禽规模养殖场开展畜禽养殖废弃物综合利用和无害化处理，不直接向环境排放污染物的，依法不征收环境保护税;积极做好农机购置补贴项目实施，对畜禽养殖废弃物资源化利用装备实行敞开补贴;落实畜禽规模养殖及畜禽粪污资源化利用用地政策;积极开展畜禽养殖标准化和绿色发展示范等创建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计分方法:区农业局、区住建局根据综合评价结果赋分。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（四）执法监管  (15分)</w:t>
      </w:r>
    </w:p>
    <w:p>
      <w:pPr>
        <w:rPr>
          <w:rFonts w:hint="eastAsia" w:ascii="仿宋" w:hAnsi="仿宋" w:eastAsia="仿宋" w:cs="仿宋"/>
          <w:sz w:val="32"/>
          <w:szCs w:val="32"/>
        </w:rPr>
      </w:pPr>
      <w:r>
        <w:rPr>
          <w:rFonts w:hint="eastAsia" w:ascii="仿宋" w:hAnsi="仿宋" w:eastAsia="仿宋" w:cs="仿宋"/>
          <w:sz w:val="32"/>
          <w:szCs w:val="32"/>
        </w:rPr>
        <w:t xml:space="preserve">    对新建、改建、扩建畜禽规模养殖场依法进行环境影响评价。对未依法进行环境影响评价的、污染治理设施不正常运行的或排放不达标的畜禽规模养殖场责令整改并上报区住建局。实施畜禽规模养殖场分类管理，设有污水排放口的畜禽养殖场应按规定申领排污许可证，2019年年底前依法完成排污许可证核发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计分方法:区农业局、区住建局根据综合评价结果赋分。</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二、工作目标完成情况(50分)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)畜禽粪污综合利用率(25分)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1.指标解释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畜禽粪污综合利用率指用于生产沼气、堆(沤)肥、沼肥、肥水、商品有机肥、垫料、基质等符合有关标准或要求的畜禽粪污量，占畜禽粪污产生总量的比例。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2.计分方法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2017年畜禽粪污综合利用率≥60%，2018 年≥64%，  2019年≥68%，2020 年≥75%，得20分，达不到年度目标的，每低1个百分点扣4分，扣完为止。</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3.数据来源</w:t>
      </w:r>
    </w:p>
    <w:p>
      <w:pPr>
        <w:rPr>
          <w:rFonts w:hint="eastAsia" w:ascii="仿宋" w:hAnsi="仿宋" w:eastAsia="仿宋" w:cs="仿宋"/>
          <w:sz w:val="32"/>
          <w:szCs w:val="32"/>
        </w:rPr>
      </w:pPr>
      <w:r>
        <w:rPr>
          <w:rFonts w:hint="eastAsia" w:ascii="仿宋" w:hAnsi="仿宋" w:eastAsia="仿宋" w:cs="仿宋"/>
          <w:sz w:val="32"/>
          <w:szCs w:val="32"/>
        </w:rPr>
        <w:t xml:space="preserve">   农业农村部行业统计数据(畜禽规模养殖场直联直报信息系统)和第三方评估。</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（二）规模养殖场粪污处理设施装备配套率(25分)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1.指标解释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配套建设粪便污水贮存、处理、利用设施并通过当地区级畜牧、环保部门验收的畜禽规模养殖场占畜禽规模养殖场总数的比例。委托粪污处理中心全量收集处理的，有协议且正常运行的，可视为已配套粪污处理设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2.计分方法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2017年规模养殖场粪污处理设施装备配套率≥60%，2018年≥70%，2019年≥80%，2020 年≥95%，得20分，达不到年度目标的，每低1个百分点扣2分，扣完为止。2019年大型规模养殖场粪污处理设施装备配套率达到100%，每低1个百分点扣1分，扣完为止。</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3.数据来源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农业农村部行业统计数据(畜禽规模养殖场直联直报信息系统)和第三方评估。</w:t>
      </w:r>
    </w:p>
    <w:p>
      <w:pPr>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三、加减分项</w:t>
      </w:r>
    </w:p>
    <w:p>
      <w:pPr>
        <w:rPr>
          <w:rFonts w:hint="eastAsia" w:ascii="仿宋" w:hAnsi="仿宋" w:eastAsia="仿宋" w:cs="仿宋"/>
          <w:sz w:val="32"/>
          <w:szCs w:val="32"/>
        </w:rPr>
      </w:pPr>
      <w:r>
        <w:rPr>
          <w:rFonts w:hint="eastAsia" w:ascii="仿宋" w:hAnsi="仿宋" w:eastAsia="仿宋" w:cs="仿宋"/>
          <w:sz w:val="32"/>
          <w:szCs w:val="32"/>
        </w:rPr>
        <w:t xml:space="preserve">     1.考核年度畜禽粪污综合利用率比上年度提高8个百分点以上的加2分，提高7个百分点以上的加1.5分，提高6个百分点以_上的加1分。</w:t>
      </w:r>
    </w:p>
    <w:p>
      <w:pPr>
        <w:rPr>
          <w:rFonts w:hint="eastAsia" w:ascii="仿宋" w:hAnsi="仿宋" w:eastAsia="仿宋" w:cs="仿宋"/>
          <w:sz w:val="32"/>
          <w:szCs w:val="32"/>
        </w:rPr>
      </w:pPr>
      <w:r>
        <w:rPr>
          <w:rFonts w:hint="eastAsia" w:ascii="仿宋" w:hAnsi="仿宋" w:eastAsia="仿宋" w:cs="仿宋"/>
          <w:sz w:val="32"/>
          <w:szCs w:val="32"/>
        </w:rPr>
        <w:t xml:space="preserve">     2.考核年度粪污处理设施装备配套率比上年度提高15个百分点以上的加2分，提高13个百分点以上的加1.5分，提高10个百分点以上的加1分。</w:t>
      </w:r>
    </w:p>
    <w:p>
      <w:pPr>
        <w:rPr>
          <w:rFonts w:hint="eastAsia" w:ascii="仿宋" w:hAnsi="仿宋" w:eastAsia="仿宋" w:cs="仿宋"/>
          <w:sz w:val="32"/>
          <w:szCs w:val="32"/>
        </w:rPr>
      </w:pPr>
      <w:r>
        <w:rPr>
          <w:rFonts w:hint="eastAsia" w:ascii="仿宋" w:hAnsi="仿宋" w:eastAsia="仿宋" w:cs="仿宋"/>
          <w:sz w:val="32"/>
          <w:szCs w:val="32"/>
        </w:rPr>
        <w:t>  3.镇级财政投入畜禽养殖废物资源化利用工作额度达到上级投入额度及以上的加2分。</w:t>
      </w:r>
    </w:p>
    <w:p>
      <w:pPr>
        <w:rPr>
          <w:rFonts w:hint="eastAsia" w:ascii="仿宋" w:hAnsi="仿宋" w:eastAsia="仿宋" w:cs="仿宋"/>
          <w:sz w:val="32"/>
          <w:szCs w:val="32"/>
        </w:rPr>
      </w:pPr>
      <w:r>
        <w:rPr>
          <w:rFonts w:hint="eastAsia" w:ascii="仿宋" w:hAnsi="仿宋" w:eastAsia="仿宋" w:cs="仿宋"/>
          <w:sz w:val="32"/>
          <w:szCs w:val="32"/>
        </w:rPr>
        <w:t xml:space="preserve">    4.被区级以上有关部门督办、约谈的，每件扣1分。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四、否决项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考核期内发生特别重大、重大畜禽养殖污染突发事件的，考核结果评定为不合格。畜禽养殖污染突发事件分级按照《广东省人民政府关于印发广东省突发环境事件应急预案的通知》(粤府函(2017) 280号)有关规定确定。</w:t>
      </w:r>
    </w:p>
    <w:p>
      <w:pPr>
        <w:widowControl/>
        <w:spacing w:line="500" w:lineRule="exact"/>
        <w:ind w:left="3200" w:hanging="3200" w:hangingChars="1000"/>
        <w:rPr>
          <w:rFonts w:hint="eastAsia" w:ascii="仿宋" w:hAnsi="仿宋" w:eastAsia="仿宋" w:cs="宋体"/>
          <w:kern w:val="0"/>
          <w:sz w:val="32"/>
          <w:szCs w:val="36"/>
        </w:rPr>
      </w:pPr>
      <w:r>
        <w:rPr>
          <w:rFonts w:hint="eastAsia" w:ascii="仿宋" w:hAnsi="仿宋" w:eastAsia="仿宋" w:cs="宋体"/>
          <w:kern w:val="0"/>
          <w:sz w:val="32"/>
          <w:szCs w:val="32"/>
        </w:rPr>
        <w:t>附件2:</w:t>
      </w:r>
      <w:r>
        <w:rPr>
          <w:rFonts w:hint="eastAsia" w:ascii="仿宋" w:hAnsi="仿宋" w:eastAsia="仿宋" w:cs="宋体"/>
          <w:kern w:val="0"/>
          <w:sz w:val="32"/>
          <w:szCs w:val="32"/>
        </w:rPr>
        <w:br w:type="textWrapping"/>
      </w:r>
      <w:r>
        <w:rPr>
          <w:rFonts w:hint="eastAsia" w:ascii="方正小标宋简体" w:hAnsi="方正小标宋简体" w:eastAsia="方正小标宋简体" w:cs="方正小标宋简体"/>
          <w:b w:val="0"/>
          <w:bCs w:val="0"/>
          <w:kern w:val="0"/>
          <w:sz w:val="44"/>
          <w:szCs w:val="44"/>
        </w:rPr>
        <w:t>考核指标及评分表</w:t>
      </w:r>
    </w:p>
    <w:tbl>
      <w:tblPr>
        <w:tblStyle w:val="5"/>
        <w:tblW w:w="10142" w:type="dxa"/>
        <w:tblInd w:w="-646" w:type="dxa"/>
        <w:tblLayout w:type="fixed"/>
        <w:tblCellMar>
          <w:top w:w="15" w:type="dxa"/>
          <w:left w:w="15" w:type="dxa"/>
          <w:bottom w:w="15" w:type="dxa"/>
          <w:right w:w="15" w:type="dxa"/>
        </w:tblCellMar>
      </w:tblPr>
      <w:tblGrid>
        <w:gridCol w:w="1227"/>
        <w:gridCol w:w="4242"/>
        <w:gridCol w:w="1560"/>
        <w:gridCol w:w="3113"/>
      </w:tblGrid>
      <w:tr>
        <w:tblPrEx>
          <w:tblLayout w:type="fixed"/>
          <w:tblCellMar>
            <w:top w:w="15" w:type="dxa"/>
            <w:left w:w="15" w:type="dxa"/>
            <w:bottom w:w="15" w:type="dxa"/>
            <w:right w:w="15" w:type="dxa"/>
          </w:tblCellMar>
        </w:tblPrEx>
        <w:trPr>
          <w:trHeight w:val="2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考核内容</w:t>
            </w:r>
          </w:p>
        </w:tc>
        <w:tc>
          <w:tcPr>
            <w:tcW w:w="42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考核指标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分值</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数据来源</w:t>
            </w:r>
          </w:p>
        </w:tc>
      </w:tr>
      <w:tr>
        <w:tblPrEx>
          <w:tblLayout w:type="fixed"/>
          <w:tblCellMar>
            <w:top w:w="15" w:type="dxa"/>
            <w:left w:w="15" w:type="dxa"/>
            <w:bottom w:w="15" w:type="dxa"/>
            <w:right w:w="15" w:type="dxa"/>
          </w:tblCellMar>
        </w:tblPrEx>
        <w:trPr>
          <w:trHeight w:val="2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重点工作开展情况</w:t>
            </w:r>
          </w:p>
        </w:tc>
        <w:tc>
          <w:tcPr>
            <w:tcW w:w="42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组织领导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5分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各镇有关证明文件及实地检查</w:t>
            </w:r>
          </w:p>
        </w:tc>
      </w:tr>
      <w:tr>
        <w:tblPrEx>
          <w:tblLayout w:type="fixed"/>
          <w:tblCellMar>
            <w:top w:w="15" w:type="dxa"/>
            <w:left w:w="15" w:type="dxa"/>
            <w:bottom w:w="15" w:type="dxa"/>
            <w:right w:w="15" w:type="dxa"/>
          </w:tblCellMar>
        </w:tblPrEx>
        <w:trPr>
          <w:trHeight w:val="2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扶持政策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20分</w:t>
            </w: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2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政策落实</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10分</w:t>
            </w: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2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执法监管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15分</w:t>
            </w: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工作完成情况</w:t>
            </w: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畜禽粪污综合利用率</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25分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畜禽规模养殖场直联直报信息系统、第三方评估</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规模养殖场粪污处理设施装备配套率</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25分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畜禽规模养殖场直联直报信息系统、第三方评估</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加减分项</w:t>
            </w: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考核年度畜禽粪污综合利用率比上年度提高6个百分点以上的</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加1～2分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畜禽规模养殖场直联直报信息系统、第三方评估</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考核年度粪污处理设施装备配套率比上年提高10个百分点以上的</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加1～2分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畜禽规模养殖场直联直报信息系统、第三方评估</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镇级财政投入畜禽养殖废物资源化利用工作额度达到</w:t>
            </w:r>
            <w:r>
              <w:rPr>
                <w:rFonts w:hint="eastAsia" w:ascii="仿宋" w:hAnsi="仿宋" w:eastAsia="仿宋" w:cs="宋体"/>
                <w:color w:val="000000"/>
                <w:kern w:val="0"/>
                <w:sz w:val="28"/>
                <w:szCs w:val="28"/>
                <w:lang w:eastAsia="zh-CN"/>
              </w:rPr>
              <w:t>区</w:t>
            </w:r>
            <w:r>
              <w:rPr>
                <w:rFonts w:hint="eastAsia" w:ascii="仿宋" w:hAnsi="仿宋" w:eastAsia="仿宋" w:cs="宋体"/>
                <w:color w:val="000000"/>
                <w:kern w:val="0"/>
                <w:sz w:val="28"/>
                <w:szCs w:val="28"/>
              </w:rPr>
              <w:t>级投入额度及以上的</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加2分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各镇有关证明文件</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w:t>
            </w:r>
            <w:r>
              <w:rPr>
                <w:rFonts w:hint="eastAsia" w:ascii="仿宋" w:hAnsi="仿宋" w:eastAsia="仿宋" w:cs="宋体"/>
                <w:color w:val="000000"/>
                <w:kern w:val="0"/>
                <w:sz w:val="28"/>
                <w:szCs w:val="28"/>
                <w:lang w:eastAsia="zh-CN"/>
              </w:rPr>
              <w:t>区</w:t>
            </w:r>
            <w:r>
              <w:rPr>
                <w:rFonts w:hint="eastAsia" w:ascii="仿宋" w:hAnsi="仿宋" w:eastAsia="仿宋" w:cs="宋体"/>
                <w:color w:val="000000"/>
                <w:kern w:val="0"/>
                <w:sz w:val="28"/>
                <w:szCs w:val="28"/>
              </w:rPr>
              <w:t>级以上有关部门督办、</w:t>
            </w:r>
          </w:p>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约谈的</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每一项扣1分</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区农业局、住建局</w:t>
            </w:r>
          </w:p>
        </w:tc>
      </w:tr>
      <w:tr>
        <w:tblPrEx>
          <w:tblLayout w:type="fixed"/>
          <w:tblCellMar>
            <w:top w:w="15" w:type="dxa"/>
            <w:left w:w="15" w:type="dxa"/>
            <w:bottom w:w="15" w:type="dxa"/>
            <w:right w:w="15" w:type="dxa"/>
          </w:tblCellMar>
        </w:tblPrEx>
        <w:trPr>
          <w:trHeight w:val="40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40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否决项</w:t>
            </w:r>
          </w:p>
        </w:tc>
        <w:tc>
          <w:tcPr>
            <w:tcW w:w="4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考核期内发生特别重大、重大畜禽养殖污染突发事件的</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不合格</w:t>
            </w:r>
          </w:p>
        </w:tc>
        <w:tc>
          <w:tcPr>
            <w:tcW w:w="3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 w:hAnsi="仿宋" w:eastAsia="仿宋" w:cs="宋体"/>
                <w:color w:val="000000"/>
                <w:sz w:val="28"/>
                <w:szCs w:val="28"/>
              </w:rPr>
            </w:pPr>
            <w:r>
              <w:rPr>
                <w:rFonts w:hint="eastAsia" w:ascii="仿宋" w:hAnsi="仿宋" w:eastAsia="仿宋" w:cs="宋体"/>
                <w:color w:val="000000"/>
                <w:kern w:val="0"/>
                <w:sz w:val="28"/>
                <w:szCs w:val="28"/>
              </w:rPr>
              <w:t>区住建局、区农业局</w:t>
            </w:r>
          </w:p>
        </w:tc>
      </w:tr>
      <w:tr>
        <w:tblPrEx>
          <w:tblLayout w:type="fixed"/>
          <w:tblCellMar>
            <w:top w:w="15" w:type="dxa"/>
            <w:left w:w="15" w:type="dxa"/>
            <w:bottom w:w="15" w:type="dxa"/>
            <w:right w:w="15" w:type="dxa"/>
          </w:tblCellMar>
        </w:tblPrEx>
        <w:trPr>
          <w:trHeight w:val="673"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r>
      <w:tr>
        <w:tblPrEx>
          <w:tblLayout w:type="fixed"/>
          <w:tblCellMar>
            <w:top w:w="15" w:type="dxa"/>
            <w:left w:w="15" w:type="dxa"/>
            <w:bottom w:w="15" w:type="dxa"/>
            <w:right w:w="15" w:type="dxa"/>
          </w:tblCellMar>
        </w:tblPrEx>
        <w:trPr>
          <w:trHeight w:val="774"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424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c>
          <w:tcPr>
            <w:tcW w:w="31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 w:hAnsi="仿宋" w:eastAsia="仿宋" w:cs="宋体"/>
                <w:color w:val="000000"/>
                <w:sz w:val="28"/>
                <w:szCs w:val="28"/>
              </w:rPr>
            </w:pPr>
          </w:p>
        </w:tc>
      </w:tr>
    </w:tbl>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附件3：</w:t>
      </w:r>
    </w:p>
    <w:p>
      <w:pPr>
        <w:widowControl/>
        <w:spacing w:after="240" w:line="500" w:lineRule="exact"/>
        <w:ind w:firstLine="3520" w:firstLineChars="800"/>
        <w:jc w:val="left"/>
        <w:rPr>
          <w:rFonts w:hint="eastAsia" w:ascii="方正小标宋简体" w:hAnsi="方正小标宋简体" w:eastAsia="方正小标宋简体" w:cs="方正小标宋简体"/>
          <w:kern w:val="0"/>
          <w:sz w:val="10"/>
          <w:szCs w:val="10"/>
        </w:rPr>
      </w:pPr>
      <w:r>
        <w:rPr>
          <w:rFonts w:hint="eastAsia" w:ascii="方正小标宋简体" w:hAnsi="方正小标宋简体" w:eastAsia="方正小标宋简体" w:cs="方正小标宋简体"/>
          <w:kern w:val="0"/>
          <w:sz w:val="44"/>
          <w:szCs w:val="44"/>
        </w:rPr>
        <w:t>概念解释</w:t>
      </w:r>
    </w:p>
    <w:p>
      <w:pPr>
        <w:widowControl/>
        <w:spacing w:after="240" w:line="500" w:lineRule="exact"/>
        <w:ind w:firstLine="2560" w:firstLineChars="800"/>
        <w:jc w:val="left"/>
        <w:rPr>
          <w:rFonts w:hint="eastAsia" w:ascii="仿宋" w:hAnsi="仿宋" w:eastAsia="仿宋" w:cs="宋体"/>
          <w:kern w:val="0"/>
          <w:sz w:val="32"/>
          <w:szCs w:val="32"/>
        </w:rPr>
      </w:pPr>
      <w:r>
        <w:rPr>
          <w:rFonts w:hint="eastAsia" w:ascii="黑体" w:hAnsi="黑体" w:eastAsia="黑体" w:cs="宋体"/>
          <w:kern w:val="0"/>
          <w:sz w:val="32"/>
          <w:szCs w:val="44"/>
        </w:rPr>
        <w:br w:type="textWrapping"/>
      </w:r>
      <w:r>
        <w:rPr>
          <w:rFonts w:hint="eastAsia" w:ascii="仿宋" w:hAnsi="仿宋" w:eastAsia="仿宋" w:cs="宋体"/>
          <w:kern w:val="0"/>
          <w:sz w:val="32"/>
          <w:szCs w:val="44"/>
        </w:rPr>
        <w:t xml:space="preserve">  </w:t>
      </w:r>
      <w:r>
        <w:rPr>
          <w:rFonts w:hint="eastAsia" w:ascii="仿宋" w:hAnsi="仿宋" w:eastAsia="仿宋" w:cs="宋体"/>
          <w:b/>
          <w:bCs/>
          <w:kern w:val="0"/>
          <w:sz w:val="32"/>
          <w:szCs w:val="32"/>
        </w:rPr>
        <w:t xml:space="preserve">  1.畜禽养殖废弃物</w:t>
      </w:r>
      <w:r>
        <w:rPr>
          <w:rFonts w:hint="eastAsia" w:ascii="仿宋" w:hAnsi="仿宋" w:eastAsia="仿宋" w:cs="宋体"/>
          <w:b/>
          <w:bCs/>
          <w:kern w:val="0"/>
          <w:sz w:val="32"/>
          <w:szCs w:val="32"/>
        </w:rPr>
        <w:br w:type="textWrapping"/>
      </w:r>
      <w:r>
        <w:rPr>
          <w:rFonts w:hint="eastAsia" w:ascii="仿宋" w:hAnsi="仿宋" w:eastAsia="仿宋" w:cs="宋体"/>
          <w:kern w:val="0"/>
          <w:sz w:val="32"/>
          <w:szCs w:val="32"/>
        </w:rPr>
        <w:t xml:space="preserve">    本办法所称畜禽养殖废弃物指畜禽养殖过程中产生的粪污等废弃物，不包含病死畜禽。考核重点为猪、牛、羊、鸡等品种，其他畜禽暂不纳入考核范围。</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宋体"/>
          <w:b/>
          <w:bCs/>
          <w:kern w:val="0"/>
          <w:sz w:val="32"/>
          <w:szCs w:val="32"/>
        </w:rPr>
        <w:t>2.猪当量</w:t>
      </w:r>
      <w:r>
        <w:rPr>
          <w:rFonts w:hint="eastAsia" w:ascii="仿宋" w:hAnsi="仿宋" w:eastAsia="仿宋" w:cs="宋体"/>
          <w:b/>
          <w:bCs/>
          <w:kern w:val="0"/>
          <w:sz w:val="32"/>
          <w:szCs w:val="32"/>
        </w:rPr>
        <w:br w:type="textWrapping"/>
      </w:r>
      <w:r>
        <w:rPr>
          <w:rFonts w:hint="eastAsia" w:ascii="仿宋" w:hAnsi="仿宋" w:eastAsia="仿宋" w:cs="宋体"/>
          <w:kern w:val="0"/>
          <w:sz w:val="32"/>
          <w:szCs w:val="32"/>
        </w:rPr>
        <w:t xml:space="preserve">    根据《省考核办法》，猪当量指用于比较不同畜禽氮(磷)排泄量的度量单位。1头猪为一个猪当量，100头猪相当于15头奶牛、30头肉牛、250只羊、2500只家禽。</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宋体"/>
          <w:b/>
          <w:bCs/>
          <w:kern w:val="0"/>
          <w:sz w:val="32"/>
          <w:szCs w:val="32"/>
        </w:rPr>
        <w:t xml:space="preserve"> 3.规模养殖场</w:t>
      </w:r>
      <w:r>
        <w:rPr>
          <w:rFonts w:hint="eastAsia" w:ascii="仿宋" w:hAnsi="仿宋" w:eastAsia="仿宋" w:cs="宋体"/>
          <w:b/>
          <w:bCs/>
          <w:kern w:val="0"/>
          <w:sz w:val="32"/>
          <w:szCs w:val="32"/>
        </w:rPr>
        <w:br w:type="textWrapping"/>
      </w:r>
      <w:r>
        <w:rPr>
          <w:rFonts w:hint="eastAsia" w:ascii="仿宋" w:hAnsi="仿宋" w:eastAsia="仿宋" w:cs="宋体"/>
          <w:kern w:val="0"/>
          <w:sz w:val="32"/>
          <w:szCs w:val="32"/>
        </w:rPr>
        <w:t xml:space="preserve">    根据《省考核办法》规定，本办法所指的规模养殖场为:生猪年出栏≥500头;奶牛存栏≥100头;肉牛年出栏≥100头;羊年出栏≥500只;蛋鸡存栏≥10000只;肉鸡年出栏≥40000只。</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宋体"/>
          <w:b/>
          <w:bCs/>
          <w:kern w:val="0"/>
          <w:sz w:val="32"/>
          <w:szCs w:val="32"/>
        </w:rPr>
        <w:t xml:space="preserve"> 4.大型规模养殖场</w:t>
      </w:r>
      <w:r>
        <w:rPr>
          <w:rFonts w:hint="eastAsia" w:ascii="仿宋" w:hAnsi="仿宋" w:eastAsia="仿宋" w:cs="宋体"/>
          <w:b/>
          <w:bCs/>
          <w:kern w:val="0"/>
          <w:sz w:val="32"/>
          <w:szCs w:val="32"/>
        </w:rPr>
        <w:br w:type="textWrapping"/>
      </w:r>
      <w:r>
        <w:rPr>
          <w:rFonts w:hint="eastAsia" w:ascii="仿宋" w:hAnsi="仿宋" w:eastAsia="仿宋" w:cs="宋体"/>
          <w:kern w:val="0"/>
          <w:sz w:val="32"/>
          <w:szCs w:val="32"/>
        </w:rPr>
        <w:t xml:space="preserve">    按照《省考核办法》规定，本办法所指的大型规模养殖场为:生猪年出栏≥2000头，奶牛存栏≥1000头，肉牛年出栏≥200头，羊年出栏≥500只，蛋鸡存栏≥10000只，肉鸡年出栏≥40000只的养殖场。</w:t>
      </w:r>
    </w:p>
    <w:p>
      <w:pPr>
        <w:spacing w:line="500" w:lineRule="exact"/>
        <w:rPr>
          <w:rFonts w:hint="eastAsia" w:ascii="仿宋" w:hAnsi="仿宋" w:eastAsia="仿宋"/>
          <w:sz w:val="32"/>
          <w:szCs w:val="32"/>
        </w:rPr>
      </w:pPr>
    </w:p>
    <w:p>
      <w:pPr>
        <w:rPr>
          <w:rFonts w:hint="eastAsia"/>
        </w:rPr>
      </w:pPr>
    </w:p>
    <w:p>
      <w:pPr>
        <w:ind w:firstLine="320" w:firstLineChars="100"/>
        <w:rPr>
          <w:rFonts w:hint="eastAsia" w:ascii="仿宋" w:hAnsi="仿宋" w:eastAsia="仿宋" w:cs="仿宋"/>
          <w:color w:val="000000" w:themeColor="text1"/>
          <w:spacing w:val="0"/>
          <w:w w:val="100"/>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43462"/>
    <w:rsid w:val="2F2A75D6"/>
    <w:rsid w:val="35D95149"/>
    <w:rsid w:val="3C95568E"/>
    <w:rsid w:val="6A8B00F0"/>
    <w:rsid w:val="77660F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3898</Words>
  <Characters>4091</Characters>
  <Lines>0</Lines>
  <Paragraphs>0</Paragraphs>
  <TotalTime>31</TotalTime>
  <ScaleCrop>false</ScaleCrop>
  <LinksUpToDate>false</LinksUpToDate>
  <CharactersWithSpaces>4333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2019-01-16T06:52:31Z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