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lang w:eastAsia="zh-CN"/>
        </w:rPr>
        <w:t>韶关市武江区西联镇人民</w:t>
      </w:r>
      <w:r>
        <w:rPr>
          <w:rFonts w:hint="eastAsia" w:ascii="方正小标宋简体" w:eastAsia="方正小标宋简体"/>
          <w:sz w:val="44"/>
          <w:szCs w:val="44"/>
        </w:rPr>
        <w:t>政府</w:t>
      </w:r>
      <w:r>
        <w:rPr>
          <w:rFonts w:hint="eastAsia" w:ascii="方正小标宋简体" w:eastAsia="方正小标宋简体"/>
          <w:sz w:val="44"/>
          <w:szCs w:val="44"/>
          <w:lang w:val="en-US" w:eastAsia="zh-CN"/>
        </w:rPr>
        <w:t>2019年</w:t>
      </w:r>
      <w:r>
        <w:rPr>
          <w:rFonts w:hint="eastAsia" w:ascii="方正小标宋简体" w:eastAsia="方正小标宋简体"/>
          <w:sz w:val="44"/>
          <w:szCs w:val="44"/>
        </w:rPr>
        <w:t>信息</w:t>
      </w:r>
    </w:p>
    <w:p>
      <w:pPr>
        <w:jc w:val="center"/>
        <w:rPr>
          <w:rFonts w:ascii="方正小标宋简体" w:eastAsia="方正小标宋简体"/>
          <w:sz w:val="44"/>
          <w:szCs w:val="44"/>
        </w:rPr>
      </w:pPr>
      <w:r>
        <w:rPr>
          <w:rFonts w:hint="eastAsia" w:ascii="方正小标宋简体" w:eastAsia="方正小标宋简体"/>
          <w:sz w:val="44"/>
          <w:szCs w:val="44"/>
        </w:rPr>
        <w:t>公开工作年度报告</w:t>
      </w:r>
    </w:p>
    <w:p>
      <w:pPr>
        <w:jc w:val="center"/>
        <w:rPr>
          <w:rFonts w:ascii="方正小标宋简体" w:eastAsia="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根据《中华人民共和国政府信息公开条例》规定，现公布韶关市武江区西联镇人民政府2019年政府信息公开工作年度报告。本报告由总体情况、主动公开政府信息情况、收到和处理政府信息公开申请情况、政府信息公开行政复议及行政诉讼情况、存在的主要问题及改进情况、其他需要报告的事项等六部分组成，涵盖2019年韶关市武江区西联镇人民政府信息公开工作情况。</w:t>
      </w:r>
    </w:p>
    <w:p>
      <w:pPr>
        <w:pStyle w:val="7"/>
        <w:keepNext w:val="0"/>
        <w:keepLines w:val="0"/>
        <w:pageBreakBefore w:val="0"/>
        <w:widowControl/>
        <w:numPr>
          <w:ilvl w:val="0"/>
          <w:numId w:val="1"/>
        </w:numPr>
        <w:kinsoku/>
        <w:wordWrap/>
        <w:overflowPunct/>
        <w:topLinePunct w:val="0"/>
        <w:autoSpaceDE/>
        <w:autoSpaceDN/>
        <w:bidi w:val="0"/>
        <w:adjustRightInd/>
        <w:snapToGrid/>
        <w:spacing w:line="560" w:lineRule="exact"/>
        <w:ind w:firstLineChars="0"/>
        <w:textAlignment w:val="auto"/>
        <w:outlineLvl w:val="9"/>
        <w:rPr>
          <w:rFonts w:ascii="黑体" w:hAnsi="黑体" w:eastAsia="黑体"/>
          <w:b/>
          <w:bCs/>
          <w:sz w:val="32"/>
          <w:szCs w:val="32"/>
        </w:rPr>
      </w:pPr>
      <w:r>
        <w:rPr>
          <w:rFonts w:ascii="黑体" w:hAnsi="黑体" w:eastAsia="黑体"/>
          <w:b/>
          <w:bCs/>
          <w:sz w:val="32"/>
          <w:szCs w:val="32"/>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2019年，我镇以主动公开为核心、强化载体建设为重点、完善公开制度为保障，继续夯实工作基础，不断深化公开内容，全面提升公开水平，我镇政府信息公开工作得到规范和加强。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9"/>
        <w:rPr>
          <w:rFonts w:hint="eastAsia" w:ascii="黑体" w:hAnsi="黑体" w:eastAsia="黑体" w:cstheme="minorBidi"/>
          <w:kern w:val="2"/>
          <w:sz w:val="32"/>
          <w:szCs w:val="32"/>
          <w:lang w:val="en-US" w:eastAsia="zh-CN" w:bidi="ar-SA"/>
        </w:rPr>
      </w:pPr>
      <w:r>
        <w:rPr>
          <w:rFonts w:hint="eastAsia" w:ascii="黑体" w:hAnsi="黑体" w:eastAsia="黑体" w:cstheme="minorBidi"/>
          <w:b/>
          <w:bCs/>
          <w:kern w:val="2"/>
          <w:sz w:val="32"/>
          <w:szCs w:val="32"/>
          <w:lang w:val="en-US" w:eastAsia="zh-CN" w:bidi="ar-SA"/>
        </w:rPr>
        <w:t>（一）加强领导，完善政务信息公开机制。</w:t>
      </w:r>
      <w:r>
        <w:rPr>
          <w:rFonts w:hint="eastAsia" w:ascii="黑体" w:hAnsi="黑体" w:eastAsia="黑体" w:cstheme="minorBidi"/>
          <w:kern w:val="2"/>
          <w:sz w:val="32"/>
          <w:szCs w:val="32"/>
          <w:lang w:val="en-US" w:eastAsia="zh-CN" w:bidi="ar-SA"/>
        </w:rPr>
        <w:t>为使政务信息公开工作不流于形式，不走过场，我镇着眼于建立政务信息公开长效机制，使政务公开成为一种自觉的意识和行为。一是加强和完善领导机制。成立了政务信息公开领导小组，做到了领导、机构、人员“三到位”，形成了镇、村联动的政务公开机制。同时认真学习政务信息公开工作会议精神以及其他有关政务信息公开的文件、规定，并认真研究我镇政务信息公开有关工作。二是建立健全各项制度。通过建立健全政务信息公开责任、审议、评议、反馈、备案和监督等制度，促进政务信息公开工作走上制度化、规范化的轨道。三是积极开展工作调研。针对政务信息公开群众知晓率，在全镇范围内进行调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9"/>
        <w:rPr>
          <w:rFonts w:hint="eastAsia" w:ascii="黑体" w:hAnsi="黑体" w:eastAsia="黑体" w:cstheme="minorBidi"/>
          <w:kern w:val="2"/>
          <w:sz w:val="32"/>
          <w:szCs w:val="32"/>
          <w:lang w:val="en-US" w:eastAsia="zh-CN" w:bidi="ar-SA"/>
        </w:rPr>
      </w:pPr>
      <w:r>
        <w:rPr>
          <w:rFonts w:hint="eastAsia" w:ascii="黑体" w:hAnsi="黑体" w:eastAsia="黑体" w:cstheme="minorBidi"/>
          <w:b/>
          <w:bCs/>
          <w:kern w:val="2"/>
          <w:sz w:val="32"/>
          <w:szCs w:val="32"/>
          <w:lang w:val="en-US" w:eastAsia="zh-CN" w:bidi="ar-SA"/>
        </w:rPr>
        <w:t>（二）规范内容，提高政务信息质量。</w:t>
      </w:r>
      <w:r>
        <w:rPr>
          <w:rFonts w:hint="eastAsia" w:ascii="黑体" w:hAnsi="黑体" w:eastAsia="黑体" w:cstheme="minorBidi"/>
          <w:kern w:val="2"/>
          <w:sz w:val="32"/>
          <w:szCs w:val="32"/>
          <w:lang w:val="en-US" w:eastAsia="zh-CN" w:bidi="ar-SA"/>
        </w:rPr>
        <w:t>一是按照组织健全、制度严密、标准统一、运作规范的要求，对政务信息公开的范围、政务信息公开的内容、政务信息公开的形式、政务信息公开的制度等作了进一步的明确。二是针对公开项目的不同情况，确定公开时间，做到常规性工作定期公开，临时性工作随时公开，固定性工作长期公开。三是坚持把群众最关心、最需要了解的事项公开作为政务信息公开的重点,从信息公开和便民服务两个方面入手，加大推行政务公开的力度。2019年，全镇累计主动公开政府信息61条。其中机构职能信息1条，规章文件信息3条，规划计划信息2条，工作动态信息37条，业务工作信息5条，政府信息公开年度报告信息2条，统计类信息10条，其他信息1条。</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Arial" w:eastAsia="仿宋_GB2312" w:cs="Arial"/>
          <w:color w:val="333333"/>
          <w:kern w:val="0"/>
          <w:sz w:val="32"/>
          <w:szCs w:val="32"/>
        </w:rPr>
      </w:pPr>
      <w:r>
        <w:rPr>
          <w:rFonts w:hint="eastAsia" w:ascii="黑体" w:hAnsi="黑体" w:eastAsia="黑体" w:cstheme="minorBidi"/>
          <w:b/>
          <w:bCs/>
          <w:kern w:val="2"/>
          <w:sz w:val="32"/>
          <w:szCs w:val="32"/>
          <w:lang w:val="en-US" w:eastAsia="zh-CN" w:bidi="ar-SA"/>
        </w:rPr>
        <w:t>（三）深化平台建设，创新公开方式。</w:t>
      </w:r>
      <w:r>
        <w:rPr>
          <w:rFonts w:hint="eastAsia" w:ascii="黑体" w:hAnsi="黑体" w:eastAsia="黑体" w:cstheme="minorBidi"/>
          <w:kern w:val="2"/>
          <w:sz w:val="32"/>
          <w:szCs w:val="32"/>
          <w:lang w:val="en-US" w:eastAsia="zh-CN" w:bidi="ar-SA"/>
        </w:rPr>
        <w:t>一是利用市级、区级等政务网站、新闻网站传达我镇的相关信息，做到了多渠道公开政务信息。二是加强政务服务中心标准化建设，实行行政审批事项的法律依据、办事程序、申请条件、申报材料、收费依据和标准、办理时限、投诉联系方式“七公开”，提供了行政审批与服务事项流程和结果“逐环节、逐岗位”实时查询。</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9"/>
        <w:rPr>
          <w:rFonts w:ascii="黑体" w:hAnsi="黑体" w:eastAsia="黑体" w:cstheme="minorBidi"/>
          <w:kern w:val="2"/>
          <w:sz w:val="32"/>
          <w:szCs w:val="32"/>
          <w:lang w:val="en-US" w:eastAsia="zh-CN" w:bidi="ar-SA"/>
        </w:rPr>
      </w:pPr>
      <w:r>
        <w:rPr>
          <w:rFonts w:hint="eastAsia" w:ascii="黑体" w:hAnsi="黑体" w:eastAsia="黑体" w:cstheme="minorBidi"/>
          <w:b/>
          <w:bCs/>
          <w:kern w:val="2"/>
          <w:sz w:val="32"/>
          <w:szCs w:val="32"/>
          <w:lang w:val="en-US" w:eastAsia="zh-CN" w:bidi="ar-SA"/>
        </w:rPr>
        <w:t>（四）强化监督，确保政务信息公开落到实处。</w:t>
      </w:r>
      <w:r>
        <w:rPr>
          <w:rFonts w:hint="eastAsia" w:ascii="黑体" w:hAnsi="黑体" w:eastAsia="黑体" w:cstheme="minorBidi"/>
          <w:kern w:val="2"/>
          <w:sz w:val="32"/>
          <w:szCs w:val="32"/>
          <w:lang w:val="en-US" w:eastAsia="zh-CN" w:bidi="ar-SA"/>
        </w:rPr>
        <w:t>一是强化监督检查。将政务信息公开工作与党风廉政建设综合进行检查、考评、考评。严把公开内容和项目关，既防止该公开的不公开，搞半公开、假公开，又防止不该公开的乱公开。采取多种形式，强化监督检查工作，实行定期检查与不定期检查、集中专项检查相结合。同时，鼓励广大干部、群众积极参与监督，积极反映公开过程中存在的突出问题，使公开工作更加扎实、有序开展。二是推行定期通报制度。镇人民政府和村委会定期在一定范围内，通报近期本镇、本村的重大事项、重大决策，努力做到政府和公共资源配置等重大事项都公开进行，规范运作。我镇凡是重大决策，都实行决策前的社会通报、公示，并在决策后通过一定形式向社会公开。</w:t>
      </w:r>
    </w:p>
    <w:p>
      <w:pPr>
        <w:pStyle w:val="7"/>
        <w:numPr>
          <w:ilvl w:val="0"/>
          <w:numId w:val="1"/>
        </w:numPr>
        <w:ind w:firstLineChars="0"/>
        <w:rPr>
          <w:rFonts w:ascii="黑体" w:hAnsi="黑体" w:eastAsia="黑体"/>
          <w:b/>
          <w:bCs/>
          <w:sz w:val="32"/>
          <w:szCs w:val="32"/>
        </w:rPr>
      </w:pPr>
      <w:r>
        <w:rPr>
          <w:rFonts w:ascii="黑体" w:hAnsi="黑体" w:eastAsia="黑体"/>
          <w:b/>
          <w:bCs/>
          <w:sz w:val="32"/>
          <w:szCs w:val="32"/>
        </w:rPr>
        <w:t>主动公开政府信息情况</w:t>
      </w:r>
    </w:p>
    <w:tbl>
      <w:tblPr>
        <w:tblStyle w:val="6"/>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4" w:type="dxa"/>
            <w:gridSpan w:val="4"/>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第</w:t>
            </w:r>
            <w:r>
              <w:rPr>
                <w:rFonts w:ascii="黑体" w:hAnsi="黑体" w:eastAsia="黑体"/>
                <w:sz w:val="28"/>
                <w:szCs w:val="28"/>
              </w:rPr>
              <w:t>二十条第（</w:t>
            </w: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信息</w:t>
            </w:r>
            <w:r>
              <w:rPr>
                <w:rFonts w:ascii="黑体" w:hAnsi="黑体" w:eastAsia="黑体"/>
                <w:sz w:val="28"/>
                <w:szCs w:val="28"/>
              </w:rPr>
              <w:t>内容</w:t>
            </w:r>
          </w:p>
        </w:tc>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本</w:t>
            </w:r>
            <w:r>
              <w:rPr>
                <w:rFonts w:ascii="黑体" w:hAnsi="黑体" w:eastAsia="黑体"/>
                <w:sz w:val="28"/>
                <w:szCs w:val="28"/>
              </w:rPr>
              <w:t>年新制作</w:t>
            </w:r>
            <w:r>
              <w:rPr>
                <w:rFonts w:hint="eastAsia" w:ascii="黑体" w:hAnsi="黑体" w:eastAsia="黑体"/>
                <w:sz w:val="28"/>
                <w:szCs w:val="28"/>
              </w:rPr>
              <w:t>数量</w:t>
            </w:r>
          </w:p>
        </w:tc>
        <w:tc>
          <w:tcPr>
            <w:tcW w:w="2209"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本年</w:t>
            </w:r>
            <w:r>
              <w:rPr>
                <w:rFonts w:ascii="黑体" w:hAnsi="黑体" w:eastAsia="黑体"/>
                <w:sz w:val="28"/>
                <w:szCs w:val="28"/>
              </w:rPr>
              <w:t>新公开数量</w:t>
            </w:r>
          </w:p>
        </w:tc>
        <w:tc>
          <w:tcPr>
            <w:tcW w:w="2209"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对外</w:t>
            </w:r>
            <w:r>
              <w:rPr>
                <w:rFonts w:ascii="黑体" w:hAnsi="黑体" w:eastAsia="黑体"/>
                <w:sz w:val="28"/>
                <w:szCs w:val="28"/>
              </w:rPr>
              <w:t>公开总</w:t>
            </w:r>
            <w:r>
              <w:rPr>
                <w:rFonts w:hint="eastAsia" w:ascii="黑体" w:hAnsi="黑体" w:eastAsia="黑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规章</w:t>
            </w:r>
          </w:p>
        </w:tc>
        <w:tc>
          <w:tcPr>
            <w:tcW w:w="2208"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3</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3</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规范</w:t>
            </w:r>
            <w:r>
              <w:rPr>
                <w:rFonts w:ascii="黑体" w:hAnsi="黑体" w:eastAsia="黑体"/>
                <w:sz w:val="28"/>
                <w:szCs w:val="28"/>
              </w:rPr>
              <w:t>性文件</w:t>
            </w:r>
          </w:p>
        </w:tc>
        <w:tc>
          <w:tcPr>
            <w:tcW w:w="2208"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61</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61</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4" w:type="dxa"/>
            <w:gridSpan w:val="4"/>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第</w:t>
            </w:r>
            <w:r>
              <w:rPr>
                <w:rFonts w:ascii="黑体" w:hAnsi="黑体" w:eastAsia="黑体"/>
                <w:sz w:val="28"/>
                <w:szCs w:val="28"/>
              </w:rPr>
              <w:t>二是条第（</w:t>
            </w:r>
            <w:r>
              <w:rPr>
                <w:rFonts w:hint="eastAsia" w:ascii="黑体" w:hAnsi="黑体" w:eastAsia="黑体"/>
                <w:sz w:val="28"/>
                <w:szCs w:val="28"/>
              </w:rPr>
              <w:t>五</w:t>
            </w:r>
            <w:r>
              <w:rPr>
                <w:rFonts w:ascii="黑体" w:hAnsi="黑体" w:eastAsia="黑体"/>
                <w:sz w:val="28"/>
                <w:szCs w:val="28"/>
              </w:rPr>
              <w:t>）</w:t>
            </w:r>
            <w:r>
              <w:rPr>
                <w:rFonts w:hint="eastAsia" w:ascii="黑体" w:hAnsi="黑体" w:eastAsia="黑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信息</w:t>
            </w:r>
            <w:r>
              <w:rPr>
                <w:rFonts w:ascii="黑体" w:hAnsi="黑体" w:eastAsia="黑体"/>
                <w:sz w:val="28"/>
                <w:szCs w:val="28"/>
              </w:rPr>
              <w:t>内容</w:t>
            </w:r>
          </w:p>
        </w:tc>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上年</w:t>
            </w:r>
            <w:r>
              <w:rPr>
                <w:rFonts w:ascii="黑体" w:hAnsi="黑体" w:eastAsia="黑体"/>
                <w:sz w:val="28"/>
                <w:szCs w:val="28"/>
              </w:rPr>
              <w:t>项目</w:t>
            </w:r>
            <w:r>
              <w:rPr>
                <w:rFonts w:hint="eastAsia" w:ascii="黑体" w:hAnsi="黑体" w:eastAsia="黑体"/>
                <w:sz w:val="28"/>
                <w:szCs w:val="28"/>
              </w:rPr>
              <w:t>数量</w:t>
            </w:r>
          </w:p>
        </w:tc>
        <w:tc>
          <w:tcPr>
            <w:tcW w:w="2209"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本年增/减</w:t>
            </w:r>
          </w:p>
        </w:tc>
        <w:tc>
          <w:tcPr>
            <w:tcW w:w="2209"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处理</w:t>
            </w:r>
            <w:r>
              <w:rPr>
                <w:rFonts w:ascii="黑体" w:hAnsi="黑体" w:eastAsia="黑体"/>
                <w:sz w:val="28"/>
                <w:szCs w:val="28"/>
              </w:rPr>
              <w:t>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行政</w:t>
            </w:r>
            <w:r>
              <w:rPr>
                <w:rFonts w:ascii="黑体" w:hAnsi="黑体" w:eastAsia="黑体"/>
                <w:sz w:val="28"/>
                <w:szCs w:val="28"/>
              </w:rPr>
              <w:t>许可</w:t>
            </w:r>
          </w:p>
        </w:tc>
        <w:tc>
          <w:tcPr>
            <w:tcW w:w="2208"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其他</w:t>
            </w:r>
            <w:r>
              <w:rPr>
                <w:rFonts w:ascii="黑体" w:hAnsi="黑体" w:eastAsia="黑体"/>
                <w:sz w:val="28"/>
                <w:szCs w:val="28"/>
              </w:rPr>
              <w:t>对外管理服务事项</w:t>
            </w:r>
          </w:p>
        </w:tc>
        <w:tc>
          <w:tcPr>
            <w:tcW w:w="2208"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4" w:type="dxa"/>
            <w:gridSpan w:val="4"/>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第</w:t>
            </w:r>
            <w:r>
              <w:rPr>
                <w:rFonts w:ascii="黑体" w:hAnsi="黑体" w:eastAsia="黑体"/>
                <w:sz w:val="28"/>
                <w:szCs w:val="28"/>
              </w:rPr>
              <w:t>二十条第（</w:t>
            </w: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信息</w:t>
            </w:r>
            <w:r>
              <w:rPr>
                <w:rFonts w:ascii="黑体" w:hAnsi="黑体" w:eastAsia="黑体"/>
                <w:sz w:val="28"/>
                <w:szCs w:val="28"/>
              </w:rPr>
              <w:t>内容</w:t>
            </w:r>
          </w:p>
        </w:tc>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上年</w:t>
            </w:r>
            <w:r>
              <w:rPr>
                <w:rFonts w:ascii="黑体" w:hAnsi="黑体" w:eastAsia="黑体"/>
                <w:sz w:val="28"/>
                <w:szCs w:val="28"/>
              </w:rPr>
              <w:t>项目</w:t>
            </w:r>
            <w:r>
              <w:rPr>
                <w:rFonts w:hint="eastAsia" w:ascii="黑体" w:hAnsi="黑体" w:eastAsia="黑体"/>
                <w:sz w:val="28"/>
                <w:szCs w:val="28"/>
              </w:rPr>
              <w:t>数量</w:t>
            </w:r>
          </w:p>
        </w:tc>
        <w:tc>
          <w:tcPr>
            <w:tcW w:w="2209"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本年增/减</w:t>
            </w:r>
          </w:p>
        </w:tc>
        <w:tc>
          <w:tcPr>
            <w:tcW w:w="2209"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处理</w:t>
            </w:r>
            <w:r>
              <w:rPr>
                <w:rFonts w:ascii="黑体" w:hAnsi="黑体" w:eastAsia="黑体"/>
                <w:sz w:val="28"/>
                <w:szCs w:val="28"/>
              </w:rPr>
              <w:t>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行政</w:t>
            </w:r>
            <w:r>
              <w:rPr>
                <w:rFonts w:ascii="黑体" w:hAnsi="黑体" w:eastAsia="黑体"/>
                <w:sz w:val="28"/>
                <w:szCs w:val="28"/>
              </w:rPr>
              <w:t>处罚</w:t>
            </w:r>
          </w:p>
        </w:tc>
        <w:tc>
          <w:tcPr>
            <w:tcW w:w="2208"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行政</w:t>
            </w:r>
            <w:r>
              <w:rPr>
                <w:rFonts w:ascii="黑体" w:hAnsi="黑体" w:eastAsia="黑体"/>
                <w:sz w:val="28"/>
                <w:szCs w:val="28"/>
              </w:rPr>
              <w:t>强制</w:t>
            </w:r>
          </w:p>
        </w:tc>
        <w:tc>
          <w:tcPr>
            <w:tcW w:w="2208"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4" w:type="dxa"/>
            <w:gridSpan w:val="4"/>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第</w:t>
            </w:r>
            <w:r>
              <w:rPr>
                <w:rFonts w:ascii="黑体" w:hAnsi="黑体" w:eastAsia="黑体"/>
                <w:sz w:val="28"/>
                <w:szCs w:val="28"/>
              </w:rPr>
              <w:t>二十条第（</w:t>
            </w:r>
            <w:r>
              <w:rPr>
                <w:rFonts w:hint="eastAsia" w:ascii="黑体" w:hAnsi="黑体" w:eastAsia="黑体"/>
                <w:sz w:val="28"/>
                <w:szCs w:val="28"/>
              </w:rPr>
              <w:t>八</w:t>
            </w:r>
            <w:r>
              <w:rPr>
                <w:rFonts w:ascii="黑体" w:hAnsi="黑体" w:eastAsia="黑体"/>
                <w:sz w:val="28"/>
                <w:szCs w:val="28"/>
              </w:rPr>
              <w:t>）</w:t>
            </w:r>
            <w:r>
              <w:rPr>
                <w:rFonts w:hint="eastAsia" w:ascii="黑体" w:hAnsi="黑体" w:eastAsia="黑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信息内容</w:t>
            </w:r>
          </w:p>
        </w:tc>
        <w:tc>
          <w:tcPr>
            <w:tcW w:w="4417" w:type="dxa"/>
            <w:gridSpan w:val="2"/>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上</w:t>
            </w:r>
            <w:r>
              <w:rPr>
                <w:rFonts w:ascii="黑体" w:hAnsi="黑体" w:eastAsia="黑体"/>
                <w:sz w:val="28"/>
                <w:szCs w:val="28"/>
              </w:rPr>
              <w:t>一年项目数量</w:t>
            </w:r>
          </w:p>
        </w:tc>
        <w:tc>
          <w:tcPr>
            <w:tcW w:w="2209"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本年</w:t>
            </w:r>
            <w:r>
              <w:rPr>
                <w:rFonts w:ascii="黑体" w:hAnsi="黑体" w:eastAsia="黑体"/>
                <w:sz w:val="28"/>
                <w:szCs w:val="28"/>
              </w:rPr>
              <w:t>增</w:t>
            </w:r>
            <w:r>
              <w:rPr>
                <w:rFonts w:hint="eastAsia" w:ascii="黑体" w:hAnsi="黑体" w:eastAsia="黑体"/>
                <w:sz w:val="28"/>
                <w:szCs w:val="28"/>
              </w:rPr>
              <w:t>/减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行政</w:t>
            </w:r>
            <w:r>
              <w:rPr>
                <w:rFonts w:ascii="黑体" w:hAnsi="黑体" w:eastAsia="黑体"/>
                <w:sz w:val="28"/>
                <w:szCs w:val="28"/>
              </w:rPr>
              <w:t>事业性收费</w:t>
            </w:r>
          </w:p>
        </w:tc>
        <w:tc>
          <w:tcPr>
            <w:tcW w:w="4417" w:type="dxa"/>
            <w:gridSpan w:val="2"/>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4" w:type="dxa"/>
            <w:gridSpan w:val="4"/>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第</w:t>
            </w:r>
            <w:r>
              <w:rPr>
                <w:rFonts w:ascii="黑体" w:hAnsi="黑体" w:eastAsia="黑体"/>
                <w:sz w:val="28"/>
                <w:szCs w:val="28"/>
              </w:rPr>
              <w:t>二十条第（</w:t>
            </w:r>
            <w:r>
              <w:rPr>
                <w:rFonts w:hint="eastAsia" w:ascii="黑体" w:hAnsi="黑体" w:eastAsia="黑体"/>
                <w:sz w:val="28"/>
                <w:szCs w:val="28"/>
              </w:rPr>
              <w:t>九</w:t>
            </w:r>
            <w:r>
              <w:rPr>
                <w:rFonts w:ascii="黑体" w:hAnsi="黑体" w:eastAsia="黑体"/>
                <w:sz w:val="28"/>
                <w:szCs w:val="28"/>
              </w:rPr>
              <w:t>）</w:t>
            </w:r>
            <w:r>
              <w:rPr>
                <w:rFonts w:hint="eastAsia" w:ascii="黑体" w:hAnsi="黑体" w:eastAsia="黑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信息内容</w:t>
            </w:r>
          </w:p>
        </w:tc>
        <w:tc>
          <w:tcPr>
            <w:tcW w:w="4417" w:type="dxa"/>
            <w:gridSpan w:val="2"/>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采购</w:t>
            </w:r>
            <w:r>
              <w:rPr>
                <w:rFonts w:ascii="黑体" w:hAnsi="黑体" w:eastAsia="黑体"/>
                <w:sz w:val="28"/>
                <w:szCs w:val="28"/>
              </w:rPr>
              <w:t>项目数量</w:t>
            </w:r>
          </w:p>
        </w:tc>
        <w:tc>
          <w:tcPr>
            <w:tcW w:w="2209" w:type="dxa"/>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采购</w:t>
            </w:r>
            <w:r>
              <w:rPr>
                <w:rFonts w:ascii="黑体" w:hAnsi="黑体" w:eastAsia="黑体"/>
                <w:sz w:val="28"/>
                <w:szCs w:val="28"/>
              </w:rPr>
              <w:t>总</w:t>
            </w:r>
            <w:r>
              <w:rPr>
                <w:rFonts w:hint="eastAsia" w:ascii="黑体" w:hAnsi="黑体" w:eastAsia="黑体"/>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政府</w:t>
            </w:r>
            <w:r>
              <w:rPr>
                <w:rFonts w:ascii="黑体" w:hAnsi="黑体" w:eastAsia="黑体"/>
                <w:sz w:val="28"/>
                <w:szCs w:val="28"/>
              </w:rPr>
              <w:t>集中采购</w:t>
            </w:r>
          </w:p>
        </w:tc>
        <w:tc>
          <w:tcPr>
            <w:tcW w:w="4417" w:type="dxa"/>
            <w:gridSpan w:val="2"/>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r>
    </w:tbl>
    <w:p>
      <w:pPr>
        <w:rPr>
          <w:rFonts w:ascii="黑体" w:hAnsi="黑体" w:eastAsia="黑体"/>
          <w:sz w:val="32"/>
          <w:szCs w:val="32"/>
        </w:rPr>
      </w:pPr>
    </w:p>
    <w:p>
      <w:pPr>
        <w:pStyle w:val="7"/>
        <w:numPr>
          <w:ilvl w:val="0"/>
          <w:numId w:val="1"/>
        </w:numPr>
        <w:ind w:firstLineChars="0"/>
        <w:rPr>
          <w:rFonts w:ascii="黑体" w:hAnsi="黑体" w:eastAsia="黑体"/>
          <w:b/>
          <w:bCs/>
          <w:sz w:val="32"/>
          <w:szCs w:val="32"/>
        </w:rPr>
      </w:pPr>
      <w:r>
        <w:rPr>
          <w:rFonts w:ascii="黑体" w:hAnsi="黑体" w:eastAsia="黑体"/>
          <w:b/>
          <w:bCs/>
          <w:sz w:val="32"/>
          <w:szCs w:val="32"/>
        </w:rPr>
        <w:t>收到和处理政府信息公开申请情况</w:t>
      </w:r>
    </w:p>
    <w:tbl>
      <w:tblPr>
        <w:tblStyle w:val="6"/>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846"/>
        <w:gridCol w:w="2637"/>
        <w:gridCol w:w="850"/>
        <w:gridCol w:w="709"/>
        <w:gridCol w:w="709"/>
        <w:gridCol w:w="850"/>
        <w:gridCol w:w="851"/>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48" w:type="dxa"/>
            <w:gridSpan w:val="3"/>
            <w:vMerge w:val="restart"/>
          </w:tcPr>
          <w:p>
            <w:pPr>
              <w:pStyle w:val="7"/>
              <w:spacing w:line="240" w:lineRule="auto"/>
              <w:ind w:firstLine="0" w:firstLineChars="0"/>
              <w:rPr>
                <w:rFonts w:ascii="黑体" w:hAnsi="黑体" w:eastAsia="黑体"/>
                <w:szCs w:val="21"/>
              </w:rPr>
            </w:pPr>
          </w:p>
          <w:p>
            <w:pPr>
              <w:pStyle w:val="7"/>
              <w:spacing w:line="240" w:lineRule="auto"/>
              <w:ind w:firstLine="0" w:firstLineChars="0"/>
              <w:rPr>
                <w:rFonts w:ascii="黑体" w:hAnsi="黑体" w:eastAsia="黑体"/>
                <w:szCs w:val="21"/>
              </w:rPr>
            </w:pPr>
            <w:r>
              <w:rPr>
                <w:rFonts w:hint="eastAsia" w:ascii="黑体" w:hAnsi="黑体" w:eastAsia="黑体"/>
                <w:szCs w:val="21"/>
              </w:rPr>
              <w:t>本</w:t>
            </w:r>
            <w:r>
              <w:rPr>
                <w:rFonts w:ascii="黑体" w:hAnsi="黑体" w:eastAsia="黑体"/>
                <w:szCs w:val="21"/>
              </w:rPr>
              <w:t>列数据的勾稽关系为：第一项加第二项之和，等于第三项加第四项之和</w:t>
            </w:r>
          </w:p>
        </w:tc>
        <w:tc>
          <w:tcPr>
            <w:tcW w:w="5245" w:type="dxa"/>
            <w:gridSpan w:val="7"/>
          </w:tcPr>
          <w:p>
            <w:pPr>
              <w:pStyle w:val="7"/>
              <w:spacing w:line="240" w:lineRule="auto"/>
              <w:ind w:firstLine="0" w:firstLineChars="0"/>
              <w:jc w:val="center"/>
              <w:rPr>
                <w:rFonts w:ascii="黑体" w:hAnsi="黑体" w:eastAsia="黑体"/>
                <w:szCs w:val="21"/>
              </w:rPr>
            </w:pPr>
            <w:r>
              <w:rPr>
                <w:rFonts w:hint="eastAsia" w:ascii="黑体" w:hAnsi="黑体" w:eastAsia="黑体"/>
                <w:szCs w:val="21"/>
              </w:rPr>
              <w:t>申请</w:t>
            </w:r>
            <w:r>
              <w:rPr>
                <w:rFonts w:ascii="黑体" w:hAnsi="黑体" w:eastAsia="黑体"/>
                <w:szCs w:val="21"/>
              </w:rPr>
              <w:t>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48" w:type="dxa"/>
            <w:gridSpan w:val="3"/>
            <w:vMerge w:val="continue"/>
          </w:tcPr>
          <w:p>
            <w:pPr>
              <w:pStyle w:val="7"/>
              <w:spacing w:line="240" w:lineRule="auto"/>
              <w:ind w:firstLine="0" w:firstLineChars="0"/>
              <w:rPr>
                <w:rFonts w:ascii="黑体" w:hAnsi="黑体" w:eastAsia="黑体"/>
                <w:sz w:val="32"/>
                <w:szCs w:val="32"/>
              </w:rPr>
            </w:pPr>
          </w:p>
        </w:tc>
        <w:tc>
          <w:tcPr>
            <w:tcW w:w="850" w:type="dxa"/>
            <w:vMerge w:val="restart"/>
          </w:tcPr>
          <w:p>
            <w:pPr>
              <w:pStyle w:val="7"/>
              <w:spacing w:line="240" w:lineRule="auto"/>
              <w:ind w:firstLine="0" w:firstLineChars="0"/>
              <w:rPr>
                <w:rFonts w:ascii="黑体" w:hAnsi="黑体" w:eastAsia="黑体"/>
                <w:szCs w:val="21"/>
              </w:rPr>
            </w:pPr>
            <w:r>
              <w:rPr>
                <w:rFonts w:hint="eastAsia" w:ascii="黑体" w:hAnsi="黑体" w:eastAsia="黑体"/>
                <w:szCs w:val="21"/>
              </w:rPr>
              <w:t>自然人</w:t>
            </w:r>
          </w:p>
        </w:tc>
        <w:tc>
          <w:tcPr>
            <w:tcW w:w="3686" w:type="dxa"/>
            <w:gridSpan w:val="5"/>
          </w:tcPr>
          <w:p>
            <w:pPr>
              <w:pStyle w:val="7"/>
              <w:spacing w:line="240" w:lineRule="auto"/>
              <w:ind w:firstLine="0" w:firstLineChars="0"/>
              <w:jc w:val="center"/>
              <w:rPr>
                <w:rFonts w:ascii="黑体" w:hAnsi="黑体" w:eastAsia="黑体"/>
                <w:szCs w:val="21"/>
              </w:rPr>
            </w:pPr>
            <w:r>
              <w:rPr>
                <w:rFonts w:hint="eastAsia" w:ascii="黑体" w:hAnsi="黑体" w:eastAsia="黑体"/>
                <w:szCs w:val="21"/>
              </w:rPr>
              <w:t>法人</w:t>
            </w:r>
            <w:r>
              <w:rPr>
                <w:rFonts w:ascii="黑体" w:hAnsi="黑体" w:eastAsia="黑体"/>
                <w:szCs w:val="21"/>
              </w:rPr>
              <w:t>或其它组织</w:t>
            </w:r>
          </w:p>
        </w:tc>
        <w:tc>
          <w:tcPr>
            <w:tcW w:w="709" w:type="dxa"/>
            <w:vMerge w:val="restart"/>
          </w:tcPr>
          <w:p>
            <w:pPr>
              <w:pStyle w:val="7"/>
              <w:spacing w:line="240" w:lineRule="auto"/>
              <w:ind w:firstLine="0" w:firstLineChars="0"/>
              <w:rPr>
                <w:rFonts w:ascii="黑体" w:hAnsi="黑体" w:eastAsia="黑体"/>
                <w:szCs w:val="21"/>
              </w:rPr>
            </w:pPr>
            <w:r>
              <w:rPr>
                <w:rFonts w:hint="eastAsia" w:ascii="黑体" w:hAnsi="黑体" w:eastAsia="黑体"/>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48" w:type="dxa"/>
            <w:gridSpan w:val="3"/>
            <w:vMerge w:val="continue"/>
          </w:tcPr>
          <w:p>
            <w:pPr>
              <w:pStyle w:val="7"/>
              <w:spacing w:line="240" w:lineRule="auto"/>
              <w:ind w:firstLine="0" w:firstLineChars="0"/>
              <w:rPr>
                <w:rFonts w:ascii="黑体" w:hAnsi="黑体" w:eastAsia="黑体"/>
                <w:sz w:val="32"/>
                <w:szCs w:val="32"/>
              </w:rPr>
            </w:pPr>
          </w:p>
        </w:tc>
        <w:tc>
          <w:tcPr>
            <w:tcW w:w="850" w:type="dxa"/>
            <w:vMerge w:val="continue"/>
          </w:tcPr>
          <w:p>
            <w:pPr>
              <w:pStyle w:val="7"/>
              <w:spacing w:line="240" w:lineRule="auto"/>
              <w:ind w:firstLine="0" w:firstLineChars="0"/>
              <w:rPr>
                <w:rFonts w:ascii="黑体" w:hAnsi="黑体" w:eastAsia="黑体"/>
                <w:sz w:val="32"/>
                <w:szCs w:val="32"/>
              </w:rPr>
            </w:pPr>
          </w:p>
        </w:tc>
        <w:tc>
          <w:tcPr>
            <w:tcW w:w="709" w:type="dxa"/>
          </w:tcPr>
          <w:p>
            <w:pPr>
              <w:pStyle w:val="7"/>
              <w:spacing w:line="240" w:lineRule="auto"/>
              <w:ind w:firstLine="0" w:firstLineChars="0"/>
              <w:rPr>
                <w:rFonts w:ascii="黑体" w:hAnsi="黑体" w:eastAsia="黑体"/>
                <w:szCs w:val="21"/>
              </w:rPr>
            </w:pPr>
            <w:r>
              <w:rPr>
                <w:rFonts w:hint="eastAsia" w:ascii="黑体" w:hAnsi="黑体" w:eastAsia="黑体"/>
                <w:szCs w:val="21"/>
              </w:rPr>
              <w:t>商业</w:t>
            </w:r>
            <w:r>
              <w:rPr>
                <w:rFonts w:ascii="黑体" w:hAnsi="黑体" w:eastAsia="黑体"/>
                <w:szCs w:val="21"/>
              </w:rPr>
              <w:t>企业</w:t>
            </w:r>
          </w:p>
        </w:tc>
        <w:tc>
          <w:tcPr>
            <w:tcW w:w="709" w:type="dxa"/>
          </w:tcPr>
          <w:p>
            <w:pPr>
              <w:pStyle w:val="7"/>
              <w:spacing w:line="240" w:lineRule="auto"/>
              <w:ind w:firstLine="0" w:firstLineChars="0"/>
              <w:rPr>
                <w:rFonts w:ascii="黑体" w:hAnsi="黑体" w:eastAsia="黑体"/>
                <w:szCs w:val="21"/>
              </w:rPr>
            </w:pPr>
            <w:r>
              <w:rPr>
                <w:rFonts w:hint="eastAsia" w:ascii="黑体" w:hAnsi="黑体" w:eastAsia="黑体"/>
                <w:szCs w:val="21"/>
              </w:rPr>
              <w:t>科研</w:t>
            </w:r>
            <w:r>
              <w:rPr>
                <w:rFonts w:ascii="黑体" w:hAnsi="黑体" w:eastAsia="黑体"/>
                <w:szCs w:val="21"/>
              </w:rPr>
              <w:t>机构</w:t>
            </w:r>
          </w:p>
        </w:tc>
        <w:tc>
          <w:tcPr>
            <w:tcW w:w="850" w:type="dxa"/>
          </w:tcPr>
          <w:p>
            <w:pPr>
              <w:pStyle w:val="7"/>
              <w:spacing w:line="240" w:lineRule="auto"/>
              <w:ind w:firstLine="0" w:firstLineChars="0"/>
              <w:rPr>
                <w:rFonts w:ascii="黑体" w:hAnsi="黑体" w:eastAsia="黑体"/>
                <w:szCs w:val="21"/>
              </w:rPr>
            </w:pPr>
            <w:r>
              <w:rPr>
                <w:rFonts w:hint="eastAsia" w:ascii="黑体" w:hAnsi="黑体" w:eastAsia="黑体"/>
                <w:szCs w:val="21"/>
              </w:rPr>
              <w:t>社会</w:t>
            </w:r>
            <w:r>
              <w:rPr>
                <w:rFonts w:ascii="黑体" w:hAnsi="黑体" w:eastAsia="黑体"/>
                <w:szCs w:val="21"/>
              </w:rPr>
              <w:t>公益组织</w:t>
            </w:r>
          </w:p>
        </w:tc>
        <w:tc>
          <w:tcPr>
            <w:tcW w:w="851" w:type="dxa"/>
          </w:tcPr>
          <w:p>
            <w:pPr>
              <w:pStyle w:val="7"/>
              <w:spacing w:line="240" w:lineRule="auto"/>
              <w:ind w:firstLine="0" w:firstLineChars="0"/>
              <w:rPr>
                <w:rFonts w:ascii="黑体" w:hAnsi="黑体" w:eastAsia="黑体"/>
                <w:szCs w:val="21"/>
              </w:rPr>
            </w:pPr>
            <w:r>
              <w:rPr>
                <w:rFonts w:hint="eastAsia" w:ascii="黑体" w:hAnsi="黑体" w:eastAsia="黑体"/>
                <w:szCs w:val="21"/>
              </w:rPr>
              <w:t>法律</w:t>
            </w:r>
            <w:r>
              <w:rPr>
                <w:rFonts w:ascii="黑体" w:hAnsi="黑体" w:eastAsia="黑体"/>
                <w:szCs w:val="21"/>
              </w:rPr>
              <w:t>服务机构</w:t>
            </w:r>
          </w:p>
        </w:tc>
        <w:tc>
          <w:tcPr>
            <w:tcW w:w="567" w:type="dxa"/>
          </w:tcPr>
          <w:p>
            <w:pPr>
              <w:pStyle w:val="7"/>
              <w:spacing w:line="240" w:lineRule="auto"/>
              <w:ind w:firstLine="0" w:firstLineChars="0"/>
              <w:rPr>
                <w:rFonts w:ascii="黑体" w:hAnsi="黑体" w:eastAsia="黑体"/>
                <w:szCs w:val="21"/>
              </w:rPr>
            </w:pPr>
            <w:r>
              <w:rPr>
                <w:rFonts w:hint="eastAsia" w:ascii="黑体" w:hAnsi="黑体" w:eastAsia="黑体"/>
                <w:szCs w:val="21"/>
              </w:rPr>
              <w:t>其它</w:t>
            </w:r>
          </w:p>
        </w:tc>
        <w:tc>
          <w:tcPr>
            <w:tcW w:w="709" w:type="dxa"/>
            <w:vMerge w:val="continue"/>
          </w:tcPr>
          <w:p>
            <w:pPr>
              <w:pStyle w:val="7"/>
              <w:spacing w:line="240" w:lineRule="auto"/>
              <w:ind w:firstLine="0" w:firstLineChars="0"/>
              <w:rPr>
                <w:rFonts w:ascii="黑体" w:hAns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48" w:type="dxa"/>
            <w:gridSpan w:val="3"/>
          </w:tcPr>
          <w:p>
            <w:pPr>
              <w:pStyle w:val="7"/>
              <w:spacing w:line="240" w:lineRule="auto"/>
              <w:ind w:firstLine="0" w:firstLineChars="0"/>
              <w:rPr>
                <w:rFonts w:ascii="黑体" w:hAnsi="黑体" w:eastAsia="黑体"/>
                <w:szCs w:val="21"/>
              </w:rPr>
            </w:pPr>
            <w:r>
              <w:rPr>
                <w:rFonts w:hint="eastAsia" w:ascii="黑体" w:hAnsi="黑体" w:eastAsia="黑体"/>
                <w:szCs w:val="21"/>
              </w:rPr>
              <w:t>一</w:t>
            </w:r>
            <w:r>
              <w:rPr>
                <w:rFonts w:ascii="黑体" w:hAnsi="黑体" w:eastAsia="黑体"/>
                <w:szCs w:val="21"/>
              </w:rPr>
              <w:t>、本年新收</w:t>
            </w:r>
            <w:r>
              <w:rPr>
                <w:rFonts w:hint="eastAsia" w:ascii="黑体" w:hAnsi="黑体" w:eastAsia="黑体"/>
                <w:szCs w:val="21"/>
              </w:rPr>
              <w:t>政府</w:t>
            </w:r>
            <w:r>
              <w:rPr>
                <w:rFonts w:ascii="黑体" w:hAnsi="黑体" w:eastAsia="黑体"/>
                <w:szCs w:val="21"/>
              </w:rPr>
              <w:t>信息公开申请</w:t>
            </w:r>
            <w:r>
              <w:rPr>
                <w:rFonts w:hint="eastAsia" w:ascii="黑体" w:hAnsi="黑体" w:eastAsia="黑体"/>
                <w:szCs w:val="21"/>
              </w:rPr>
              <w:t>数量</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48" w:type="dxa"/>
            <w:gridSpan w:val="3"/>
          </w:tcPr>
          <w:p>
            <w:pPr>
              <w:pStyle w:val="7"/>
              <w:spacing w:line="240" w:lineRule="auto"/>
              <w:ind w:firstLine="0" w:firstLineChars="0"/>
              <w:rPr>
                <w:rFonts w:ascii="黑体" w:hAnsi="黑体" w:eastAsia="黑体"/>
                <w:szCs w:val="21"/>
              </w:rPr>
            </w:pPr>
            <w:r>
              <w:rPr>
                <w:rFonts w:hint="eastAsia" w:ascii="黑体" w:hAnsi="黑体" w:eastAsia="黑体"/>
                <w:szCs w:val="21"/>
              </w:rPr>
              <w:t>二</w:t>
            </w:r>
            <w:r>
              <w:rPr>
                <w:rFonts w:ascii="黑体" w:hAnsi="黑体" w:eastAsia="黑体"/>
                <w:szCs w:val="21"/>
              </w:rPr>
              <w:t>、上年结转政府信息公开申请数量</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65" w:type="dxa"/>
            <w:vMerge w:val="restart"/>
          </w:tcPr>
          <w:p>
            <w:pPr>
              <w:pStyle w:val="7"/>
              <w:spacing w:line="240" w:lineRule="auto"/>
              <w:ind w:firstLine="0" w:firstLineChars="0"/>
              <w:rPr>
                <w:rFonts w:ascii="黑体" w:hAnsi="黑体" w:eastAsia="黑体"/>
                <w:sz w:val="32"/>
                <w:szCs w:val="32"/>
              </w:rPr>
            </w:pPr>
          </w:p>
          <w:p>
            <w:pPr>
              <w:pStyle w:val="7"/>
              <w:spacing w:line="240" w:lineRule="auto"/>
              <w:ind w:firstLine="0" w:firstLineChars="0"/>
              <w:rPr>
                <w:rFonts w:ascii="黑体" w:hAnsi="黑体" w:eastAsia="黑体"/>
                <w:sz w:val="32"/>
                <w:szCs w:val="32"/>
              </w:rPr>
            </w:pPr>
          </w:p>
          <w:p>
            <w:pPr>
              <w:pStyle w:val="7"/>
              <w:spacing w:line="240" w:lineRule="auto"/>
              <w:ind w:firstLine="0" w:firstLineChars="0"/>
              <w:rPr>
                <w:rFonts w:ascii="黑体" w:hAnsi="黑体" w:eastAsia="黑体"/>
                <w:sz w:val="24"/>
                <w:szCs w:val="24"/>
              </w:rPr>
            </w:pPr>
          </w:p>
          <w:p>
            <w:pPr>
              <w:pStyle w:val="7"/>
              <w:spacing w:line="240" w:lineRule="auto"/>
              <w:ind w:firstLine="0" w:firstLineChars="0"/>
              <w:rPr>
                <w:rFonts w:ascii="黑体" w:hAnsi="黑体" w:eastAsia="黑体"/>
                <w:sz w:val="24"/>
                <w:szCs w:val="24"/>
              </w:rPr>
            </w:pPr>
          </w:p>
          <w:p>
            <w:pPr>
              <w:pStyle w:val="7"/>
              <w:spacing w:line="240" w:lineRule="auto"/>
              <w:ind w:firstLine="0" w:firstLineChars="0"/>
              <w:rPr>
                <w:rFonts w:ascii="黑体" w:hAnsi="黑体" w:eastAsia="黑体"/>
                <w:sz w:val="24"/>
                <w:szCs w:val="24"/>
              </w:rPr>
            </w:pPr>
          </w:p>
          <w:p>
            <w:pPr>
              <w:pStyle w:val="7"/>
              <w:spacing w:line="240" w:lineRule="auto"/>
              <w:ind w:firstLine="0" w:firstLineChars="0"/>
              <w:rPr>
                <w:rFonts w:ascii="黑体" w:hAnsi="黑体" w:eastAsia="黑体"/>
                <w:sz w:val="24"/>
                <w:szCs w:val="24"/>
              </w:rPr>
            </w:pPr>
          </w:p>
          <w:p>
            <w:pPr>
              <w:pStyle w:val="7"/>
              <w:spacing w:line="240" w:lineRule="auto"/>
              <w:ind w:firstLine="0" w:firstLineChars="0"/>
              <w:rPr>
                <w:rFonts w:ascii="黑体" w:hAnsi="黑体" w:eastAsia="黑体"/>
                <w:sz w:val="24"/>
                <w:szCs w:val="24"/>
              </w:rPr>
            </w:pPr>
          </w:p>
          <w:p>
            <w:pPr>
              <w:pStyle w:val="7"/>
              <w:spacing w:line="240" w:lineRule="auto"/>
              <w:ind w:firstLine="0" w:firstLineChars="0"/>
              <w:rPr>
                <w:rFonts w:ascii="黑体" w:hAnsi="黑体" w:eastAsia="黑体"/>
                <w:sz w:val="24"/>
                <w:szCs w:val="24"/>
              </w:rPr>
            </w:pPr>
          </w:p>
          <w:p>
            <w:pPr>
              <w:pStyle w:val="7"/>
              <w:spacing w:line="240" w:lineRule="auto"/>
              <w:ind w:firstLine="0" w:firstLineChars="0"/>
              <w:rPr>
                <w:rFonts w:ascii="黑体" w:hAnsi="黑体" w:eastAsia="黑体"/>
                <w:sz w:val="24"/>
                <w:szCs w:val="24"/>
              </w:rPr>
            </w:pPr>
            <w:r>
              <w:rPr>
                <w:rFonts w:hint="eastAsia" w:ascii="黑体" w:hAnsi="黑体" w:eastAsia="黑体"/>
                <w:sz w:val="24"/>
                <w:szCs w:val="24"/>
              </w:rPr>
              <w:t>三</w:t>
            </w:r>
            <w:r>
              <w:rPr>
                <w:rFonts w:ascii="黑体" w:hAnsi="黑体" w:eastAsia="黑体"/>
                <w:sz w:val="24"/>
                <w:szCs w:val="24"/>
              </w:rPr>
              <w:t>、本</w:t>
            </w:r>
          </w:p>
          <w:p>
            <w:pPr>
              <w:pStyle w:val="7"/>
              <w:spacing w:line="240" w:lineRule="auto"/>
              <w:ind w:firstLine="0" w:firstLineChars="0"/>
              <w:rPr>
                <w:rFonts w:ascii="黑体" w:hAnsi="黑体" w:eastAsia="黑体"/>
                <w:sz w:val="24"/>
                <w:szCs w:val="24"/>
              </w:rPr>
            </w:pPr>
            <w:r>
              <w:rPr>
                <w:rFonts w:ascii="黑体" w:hAnsi="黑体" w:eastAsia="黑体"/>
                <w:sz w:val="24"/>
                <w:szCs w:val="24"/>
              </w:rPr>
              <w:t>年</w:t>
            </w:r>
          </w:p>
          <w:p>
            <w:pPr>
              <w:pStyle w:val="7"/>
              <w:spacing w:line="240" w:lineRule="auto"/>
              <w:ind w:firstLine="0" w:firstLineChars="0"/>
              <w:rPr>
                <w:rFonts w:ascii="黑体" w:hAnsi="黑体" w:eastAsia="黑体"/>
                <w:sz w:val="24"/>
                <w:szCs w:val="24"/>
              </w:rPr>
            </w:pPr>
            <w:r>
              <w:rPr>
                <w:rFonts w:ascii="黑体" w:hAnsi="黑体" w:eastAsia="黑体"/>
                <w:sz w:val="24"/>
                <w:szCs w:val="24"/>
              </w:rPr>
              <w:t>度</w:t>
            </w:r>
          </w:p>
          <w:p>
            <w:pPr>
              <w:pStyle w:val="7"/>
              <w:spacing w:line="240" w:lineRule="auto"/>
              <w:ind w:firstLine="0" w:firstLineChars="0"/>
              <w:rPr>
                <w:rFonts w:ascii="黑体" w:hAnsi="黑体" w:eastAsia="黑体"/>
                <w:sz w:val="24"/>
                <w:szCs w:val="24"/>
              </w:rPr>
            </w:pPr>
            <w:r>
              <w:rPr>
                <w:rFonts w:ascii="黑体" w:hAnsi="黑体" w:eastAsia="黑体"/>
                <w:sz w:val="24"/>
                <w:szCs w:val="24"/>
              </w:rPr>
              <w:t>办</w:t>
            </w:r>
          </w:p>
          <w:p>
            <w:pPr>
              <w:pStyle w:val="7"/>
              <w:spacing w:line="240" w:lineRule="auto"/>
              <w:ind w:firstLine="0" w:firstLineChars="0"/>
              <w:rPr>
                <w:rFonts w:ascii="黑体" w:hAnsi="黑体" w:eastAsia="黑体"/>
                <w:sz w:val="24"/>
                <w:szCs w:val="24"/>
              </w:rPr>
            </w:pPr>
            <w:r>
              <w:rPr>
                <w:rFonts w:ascii="黑体" w:hAnsi="黑体" w:eastAsia="黑体"/>
                <w:sz w:val="24"/>
                <w:szCs w:val="24"/>
              </w:rPr>
              <w:t>理</w:t>
            </w:r>
          </w:p>
          <w:p>
            <w:pPr>
              <w:pStyle w:val="7"/>
              <w:spacing w:line="240" w:lineRule="auto"/>
              <w:ind w:firstLine="0" w:firstLineChars="0"/>
              <w:rPr>
                <w:rFonts w:ascii="黑体" w:hAnsi="黑体" w:eastAsia="黑体"/>
                <w:sz w:val="24"/>
                <w:szCs w:val="24"/>
              </w:rPr>
            </w:pPr>
            <w:r>
              <w:rPr>
                <w:rFonts w:ascii="黑体" w:hAnsi="黑体" w:eastAsia="黑体"/>
                <w:sz w:val="24"/>
                <w:szCs w:val="24"/>
              </w:rPr>
              <w:t>结</w:t>
            </w:r>
          </w:p>
          <w:p>
            <w:pPr>
              <w:spacing w:line="240" w:lineRule="auto"/>
              <w:rPr>
                <w:rFonts w:ascii="黑体" w:hAnsi="黑体" w:eastAsia="黑体"/>
                <w:sz w:val="32"/>
                <w:szCs w:val="32"/>
              </w:rPr>
            </w:pPr>
            <w:r>
              <w:rPr>
                <w:rFonts w:ascii="黑体" w:hAnsi="黑体" w:eastAsia="黑体"/>
                <w:sz w:val="24"/>
                <w:szCs w:val="24"/>
              </w:rPr>
              <w:t>果</w:t>
            </w:r>
          </w:p>
        </w:tc>
        <w:tc>
          <w:tcPr>
            <w:tcW w:w="3483" w:type="dxa"/>
            <w:gridSpan w:val="2"/>
          </w:tcPr>
          <w:p>
            <w:pPr>
              <w:spacing w:line="240" w:lineRule="auto"/>
              <w:rPr>
                <w:rFonts w:hint="eastAsia" w:ascii="黑体" w:hAnsi="黑体" w:eastAsia="黑体"/>
                <w:szCs w:val="21"/>
              </w:rPr>
            </w:pPr>
            <w:r>
              <w:rPr>
                <w:rFonts w:hint="eastAsia" w:ascii="黑体" w:hAnsi="黑体" w:eastAsia="黑体"/>
                <w:szCs w:val="21"/>
              </w:rPr>
              <w:t>(一)予以</w:t>
            </w:r>
            <w:r>
              <w:rPr>
                <w:rFonts w:ascii="黑体" w:hAnsi="黑体" w:eastAsia="黑体"/>
                <w:szCs w:val="21"/>
              </w:rPr>
              <w:t>公开</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65" w:type="dxa"/>
            <w:vMerge w:val="continue"/>
          </w:tcPr>
          <w:p>
            <w:pPr>
              <w:pStyle w:val="7"/>
              <w:spacing w:line="240" w:lineRule="auto"/>
              <w:ind w:firstLine="640"/>
              <w:rPr>
                <w:rFonts w:ascii="黑体" w:hAnsi="黑体" w:eastAsia="黑体"/>
                <w:sz w:val="32"/>
                <w:szCs w:val="32"/>
              </w:rPr>
            </w:pPr>
          </w:p>
        </w:tc>
        <w:tc>
          <w:tcPr>
            <w:tcW w:w="3483" w:type="dxa"/>
            <w:gridSpan w:val="2"/>
          </w:tcPr>
          <w:p>
            <w:pPr>
              <w:spacing w:line="240" w:lineRule="auto"/>
              <w:rPr>
                <w:rFonts w:hint="eastAsia" w:ascii="黑体" w:hAnsi="黑体" w:eastAsia="黑体"/>
                <w:szCs w:val="21"/>
              </w:rPr>
            </w:pPr>
            <w:r>
              <w:rPr>
                <w:rFonts w:hint="eastAsia" w:ascii="黑体" w:hAnsi="黑体" w:eastAsia="黑体"/>
                <w:szCs w:val="21"/>
              </w:rPr>
              <w:t>（二）部分</w:t>
            </w:r>
            <w:r>
              <w:rPr>
                <w:rFonts w:ascii="黑体" w:hAnsi="黑体" w:eastAsia="黑体"/>
                <w:szCs w:val="21"/>
              </w:rPr>
              <w:t>公开（</w:t>
            </w:r>
            <w:r>
              <w:rPr>
                <w:rFonts w:hint="eastAsia" w:ascii="黑体" w:hAnsi="黑体" w:eastAsia="黑体"/>
                <w:szCs w:val="21"/>
              </w:rPr>
              <w:t>区分</w:t>
            </w:r>
            <w:r>
              <w:rPr>
                <w:rFonts w:ascii="黑体" w:hAnsi="黑体" w:eastAsia="黑体"/>
                <w:szCs w:val="21"/>
              </w:rPr>
              <w:t>处理的，只计这一情形，</w:t>
            </w:r>
            <w:r>
              <w:rPr>
                <w:rFonts w:hint="eastAsia" w:ascii="黑体" w:hAnsi="黑体" w:eastAsia="黑体"/>
                <w:szCs w:val="21"/>
              </w:rPr>
              <w:t>不</w:t>
            </w:r>
            <w:r>
              <w:rPr>
                <w:rFonts w:ascii="黑体" w:hAnsi="黑体" w:eastAsia="黑体"/>
                <w:szCs w:val="21"/>
              </w:rPr>
              <w:t>计其他情形）</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65" w:type="dxa"/>
            <w:vMerge w:val="continue"/>
          </w:tcPr>
          <w:p>
            <w:pPr>
              <w:pStyle w:val="7"/>
              <w:spacing w:line="240" w:lineRule="auto"/>
              <w:ind w:firstLine="0" w:firstLineChars="0"/>
              <w:rPr>
                <w:rFonts w:ascii="黑体" w:hAnsi="黑体" w:eastAsia="黑体"/>
                <w:sz w:val="24"/>
                <w:szCs w:val="24"/>
              </w:rPr>
            </w:pPr>
          </w:p>
        </w:tc>
        <w:tc>
          <w:tcPr>
            <w:tcW w:w="846" w:type="dxa"/>
            <w:vMerge w:val="restart"/>
          </w:tcPr>
          <w:p>
            <w:pPr>
              <w:pStyle w:val="7"/>
              <w:spacing w:line="240" w:lineRule="auto"/>
              <w:ind w:firstLine="0" w:firstLineChars="0"/>
              <w:rPr>
                <w:rFonts w:ascii="黑体" w:hAnsi="黑体" w:eastAsia="黑体"/>
                <w:szCs w:val="21"/>
              </w:rPr>
            </w:pPr>
          </w:p>
          <w:p>
            <w:pPr>
              <w:pStyle w:val="7"/>
              <w:spacing w:line="240" w:lineRule="auto"/>
              <w:ind w:firstLine="0" w:firstLineChars="0"/>
              <w:rPr>
                <w:rFonts w:ascii="黑体" w:hAnsi="黑体" w:eastAsia="黑体"/>
                <w:szCs w:val="21"/>
              </w:rPr>
            </w:pPr>
          </w:p>
          <w:p>
            <w:pPr>
              <w:pStyle w:val="7"/>
              <w:spacing w:line="240" w:lineRule="auto"/>
              <w:ind w:firstLine="0" w:firstLineChars="0"/>
              <w:rPr>
                <w:rFonts w:ascii="黑体" w:hAnsi="黑体" w:eastAsia="黑体"/>
                <w:szCs w:val="21"/>
              </w:rPr>
            </w:pPr>
          </w:p>
          <w:p>
            <w:pPr>
              <w:pStyle w:val="7"/>
              <w:spacing w:line="240" w:lineRule="auto"/>
              <w:ind w:firstLine="0" w:firstLineChars="0"/>
              <w:rPr>
                <w:rFonts w:ascii="黑体" w:hAnsi="黑体" w:eastAsia="黑体"/>
                <w:szCs w:val="21"/>
              </w:rPr>
            </w:pPr>
          </w:p>
          <w:p>
            <w:pPr>
              <w:pStyle w:val="7"/>
              <w:spacing w:line="240" w:lineRule="auto"/>
              <w:ind w:firstLine="0" w:firstLineChars="0"/>
              <w:rPr>
                <w:rFonts w:ascii="黑体" w:hAnsi="黑体" w:eastAsia="黑体"/>
                <w:szCs w:val="21"/>
              </w:rPr>
            </w:pPr>
            <w:r>
              <w:rPr>
                <w:rFonts w:hint="eastAsia" w:ascii="黑体" w:hAnsi="黑体" w:eastAsia="黑体"/>
                <w:szCs w:val="21"/>
              </w:rPr>
              <w:t>（三）</w:t>
            </w:r>
          </w:p>
          <w:p>
            <w:pPr>
              <w:pStyle w:val="7"/>
              <w:spacing w:line="240" w:lineRule="auto"/>
              <w:ind w:firstLine="0" w:firstLineChars="0"/>
              <w:rPr>
                <w:rFonts w:ascii="黑体" w:hAnsi="黑体" w:eastAsia="黑体"/>
                <w:szCs w:val="21"/>
              </w:rPr>
            </w:pPr>
            <w:r>
              <w:rPr>
                <w:rFonts w:hint="eastAsia" w:ascii="黑体" w:hAnsi="黑体" w:eastAsia="黑体"/>
                <w:szCs w:val="21"/>
              </w:rPr>
              <w:t>不予</w:t>
            </w:r>
            <w:r>
              <w:rPr>
                <w:rFonts w:ascii="黑体" w:hAnsi="黑体" w:eastAsia="黑体"/>
                <w:szCs w:val="21"/>
              </w:rPr>
              <w:t>公开</w:t>
            </w:r>
          </w:p>
        </w:tc>
        <w:tc>
          <w:tcPr>
            <w:tcW w:w="2637" w:type="dxa"/>
          </w:tcPr>
          <w:p>
            <w:pPr>
              <w:pStyle w:val="7"/>
              <w:numPr>
                <w:ilvl w:val="0"/>
                <w:numId w:val="2"/>
              </w:numPr>
              <w:spacing w:line="240" w:lineRule="auto"/>
              <w:ind w:firstLineChars="0"/>
              <w:rPr>
                <w:rFonts w:ascii="黑体" w:hAnsi="黑体" w:eastAsia="黑体"/>
                <w:szCs w:val="21"/>
              </w:rPr>
            </w:pPr>
            <w:r>
              <w:rPr>
                <w:rFonts w:hint="eastAsia" w:ascii="黑体" w:hAnsi="黑体" w:eastAsia="黑体"/>
                <w:szCs w:val="21"/>
              </w:rPr>
              <w:t>属于</w:t>
            </w:r>
            <w:r>
              <w:rPr>
                <w:rFonts w:ascii="黑体" w:hAnsi="黑体" w:eastAsia="黑体"/>
                <w:szCs w:val="21"/>
              </w:rPr>
              <w:t>国家秘密</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 w:val="32"/>
                <w:szCs w:val="32"/>
              </w:rPr>
            </w:pPr>
          </w:p>
        </w:tc>
        <w:tc>
          <w:tcPr>
            <w:tcW w:w="846" w:type="dxa"/>
            <w:vMerge w:val="continue"/>
          </w:tcPr>
          <w:p>
            <w:pPr>
              <w:pStyle w:val="7"/>
              <w:spacing w:line="240" w:lineRule="auto"/>
              <w:ind w:firstLine="0" w:firstLineChars="0"/>
              <w:rPr>
                <w:rFonts w:ascii="黑体" w:hAnsi="黑体" w:eastAsia="黑体"/>
                <w:sz w:val="32"/>
                <w:szCs w:val="32"/>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2.其它</w:t>
            </w:r>
            <w:r>
              <w:rPr>
                <w:rFonts w:ascii="黑体" w:hAnsi="黑体" w:eastAsia="黑体"/>
                <w:szCs w:val="21"/>
              </w:rPr>
              <w:t>法律行政法规禁止公开</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 w:val="32"/>
                <w:szCs w:val="32"/>
              </w:rPr>
            </w:pPr>
          </w:p>
        </w:tc>
        <w:tc>
          <w:tcPr>
            <w:tcW w:w="846" w:type="dxa"/>
            <w:vMerge w:val="continue"/>
          </w:tcPr>
          <w:p>
            <w:pPr>
              <w:pStyle w:val="7"/>
              <w:spacing w:line="240" w:lineRule="auto"/>
              <w:ind w:firstLine="0" w:firstLineChars="0"/>
              <w:rPr>
                <w:rFonts w:ascii="黑体" w:hAnsi="黑体" w:eastAsia="黑体"/>
                <w:sz w:val="32"/>
                <w:szCs w:val="32"/>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3.危及</w:t>
            </w:r>
            <w:r>
              <w:rPr>
                <w:rFonts w:ascii="黑体" w:hAnsi="黑体" w:eastAsia="黑体"/>
                <w:szCs w:val="21"/>
              </w:rPr>
              <w:t>“</w:t>
            </w:r>
            <w:r>
              <w:rPr>
                <w:rFonts w:hint="eastAsia" w:ascii="黑体" w:hAnsi="黑体" w:eastAsia="黑体"/>
                <w:szCs w:val="21"/>
              </w:rPr>
              <w:t>三安全一</w:t>
            </w:r>
            <w:r>
              <w:rPr>
                <w:rFonts w:ascii="黑体" w:hAnsi="黑体" w:eastAsia="黑体"/>
                <w:szCs w:val="21"/>
              </w:rPr>
              <w:t>稳定”</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4.保护</w:t>
            </w:r>
            <w:r>
              <w:rPr>
                <w:rFonts w:ascii="黑体" w:hAnsi="黑体" w:eastAsia="黑体"/>
                <w:szCs w:val="21"/>
              </w:rPr>
              <w:t>第三方合法权益</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5.属于</w:t>
            </w:r>
            <w:r>
              <w:rPr>
                <w:rFonts w:ascii="黑体" w:hAnsi="黑体" w:eastAsia="黑体"/>
                <w:szCs w:val="21"/>
              </w:rPr>
              <w:t>三类内部事务信息</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6.属于</w:t>
            </w:r>
            <w:r>
              <w:rPr>
                <w:rFonts w:ascii="黑体" w:hAnsi="黑体" w:eastAsia="黑体"/>
                <w:szCs w:val="21"/>
              </w:rPr>
              <w:t>四类过程性信息</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7.属于</w:t>
            </w:r>
            <w:r>
              <w:rPr>
                <w:rFonts w:ascii="黑体" w:hAnsi="黑体" w:eastAsia="黑体"/>
                <w:szCs w:val="21"/>
              </w:rPr>
              <w:t>行政执法</w:t>
            </w:r>
            <w:r>
              <w:rPr>
                <w:rFonts w:hint="eastAsia" w:ascii="黑体" w:hAnsi="黑体" w:eastAsia="黑体"/>
                <w:szCs w:val="21"/>
              </w:rPr>
              <w:t>案卷</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8.属于</w:t>
            </w:r>
            <w:r>
              <w:rPr>
                <w:rFonts w:ascii="黑体" w:hAnsi="黑体" w:eastAsia="黑体"/>
                <w:szCs w:val="21"/>
              </w:rPr>
              <w:t>行政查询事项</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restart"/>
          </w:tcPr>
          <w:p>
            <w:pPr>
              <w:pStyle w:val="7"/>
              <w:spacing w:line="240" w:lineRule="auto"/>
              <w:ind w:firstLine="0" w:firstLineChars="0"/>
              <w:rPr>
                <w:rFonts w:ascii="黑体" w:hAnsi="黑体" w:eastAsia="黑体"/>
                <w:szCs w:val="21"/>
              </w:rPr>
            </w:pPr>
            <w:r>
              <w:rPr>
                <w:rFonts w:hint="eastAsia" w:ascii="黑体" w:hAnsi="黑体" w:eastAsia="黑体"/>
                <w:szCs w:val="21"/>
              </w:rPr>
              <w:t>(四)</w:t>
            </w:r>
          </w:p>
          <w:p>
            <w:pPr>
              <w:pStyle w:val="7"/>
              <w:spacing w:line="240" w:lineRule="auto"/>
              <w:ind w:firstLine="0" w:firstLineChars="0"/>
              <w:rPr>
                <w:rFonts w:ascii="黑体" w:hAnsi="黑体" w:eastAsia="黑体"/>
                <w:szCs w:val="21"/>
              </w:rPr>
            </w:pPr>
            <w:r>
              <w:rPr>
                <w:rFonts w:hint="eastAsia" w:ascii="黑体" w:hAnsi="黑体" w:eastAsia="黑体"/>
                <w:szCs w:val="21"/>
              </w:rPr>
              <w:t>无法</w:t>
            </w:r>
            <w:r>
              <w:rPr>
                <w:rFonts w:ascii="黑体" w:hAnsi="黑体" w:eastAsia="黑体"/>
                <w:szCs w:val="21"/>
              </w:rPr>
              <w:t>提供</w:t>
            </w: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1.本</w:t>
            </w:r>
            <w:r>
              <w:rPr>
                <w:rFonts w:ascii="黑体" w:hAnsi="黑体" w:eastAsia="黑体"/>
                <w:szCs w:val="21"/>
              </w:rPr>
              <w:t>机关不</w:t>
            </w:r>
            <w:r>
              <w:rPr>
                <w:rFonts w:hint="eastAsia" w:ascii="黑体" w:hAnsi="黑体" w:eastAsia="黑体"/>
                <w:szCs w:val="21"/>
              </w:rPr>
              <w:t>掌握</w:t>
            </w:r>
            <w:r>
              <w:rPr>
                <w:rFonts w:ascii="黑体" w:hAnsi="黑体" w:eastAsia="黑体"/>
                <w:szCs w:val="21"/>
              </w:rPr>
              <w:t>相关政府信息</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2.没有</w:t>
            </w:r>
            <w:r>
              <w:rPr>
                <w:rFonts w:ascii="黑体" w:hAnsi="黑体" w:eastAsia="黑体"/>
                <w:szCs w:val="21"/>
              </w:rPr>
              <w:t>现成信息需要另行制作</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3.补正</w:t>
            </w:r>
            <w:r>
              <w:rPr>
                <w:rFonts w:ascii="黑体" w:hAnsi="黑体" w:eastAsia="黑体"/>
                <w:szCs w:val="21"/>
              </w:rPr>
              <w:t>后申请内容仍不明确</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restart"/>
          </w:tcPr>
          <w:p>
            <w:pPr>
              <w:pStyle w:val="7"/>
              <w:spacing w:line="240" w:lineRule="auto"/>
              <w:ind w:firstLine="0" w:firstLineChars="0"/>
              <w:rPr>
                <w:rFonts w:ascii="黑体" w:hAnsi="黑体" w:eastAsia="黑体"/>
                <w:szCs w:val="21"/>
              </w:rPr>
            </w:pPr>
            <w:r>
              <w:rPr>
                <w:rFonts w:hint="eastAsia" w:ascii="黑体" w:hAnsi="黑体" w:eastAsia="黑体"/>
                <w:szCs w:val="21"/>
              </w:rPr>
              <w:t>（五）</w:t>
            </w:r>
          </w:p>
          <w:p>
            <w:pPr>
              <w:pStyle w:val="7"/>
              <w:spacing w:line="240" w:lineRule="auto"/>
              <w:ind w:firstLine="0" w:firstLineChars="0"/>
              <w:rPr>
                <w:rFonts w:ascii="黑体" w:hAnsi="黑体" w:eastAsia="黑体"/>
                <w:szCs w:val="21"/>
              </w:rPr>
            </w:pPr>
            <w:r>
              <w:rPr>
                <w:rFonts w:hint="eastAsia" w:ascii="黑体" w:hAnsi="黑体" w:eastAsia="黑体"/>
                <w:szCs w:val="21"/>
              </w:rPr>
              <w:t>不予</w:t>
            </w:r>
            <w:r>
              <w:rPr>
                <w:rFonts w:ascii="黑体" w:hAnsi="黑体" w:eastAsia="黑体"/>
                <w:szCs w:val="21"/>
              </w:rPr>
              <w:t>处理</w:t>
            </w: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1.信</w:t>
            </w:r>
            <w:r>
              <w:rPr>
                <w:rFonts w:ascii="黑体" w:hAnsi="黑体" w:eastAsia="黑体"/>
                <w:szCs w:val="21"/>
              </w:rPr>
              <w:t>访举报投诉类申请</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2.重复</w:t>
            </w:r>
            <w:r>
              <w:rPr>
                <w:rFonts w:ascii="黑体" w:hAnsi="黑体" w:eastAsia="黑体"/>
                <w:szCs w:val="21"/>
              </w:rPr>
              <w:t>申请</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3.要求</w:t>
            </w:r>
            <w:r>
              <w:rPr>
                <w:rFonts w:ascii="黑体" w:hAnsi="黑体" w:eastAsia="黑体"/>
                <w:szCs w:val="21"/>
              </w:rPr>
              <w:t>提供公开出版物</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4.无</w:t>
            </w:r>
            <w:r>
              <w:rPr>
                <w:rFonts w:ascii="黑体" w:hAnsi="黑体" w:eastAsia="黑体"/>
                <w:szCs w:val="21"/>
              </w:rPr>
              <w:t>正当理由大量反复申请</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ascii="黑体" w:hAnsi="黑体" w:eastAsia="黑体"/>
                <w:szCs w:val="21"/>
              </w:rPr>
              <w:t>5.</w:t>
            </w:r>
            <w:r>
              <w:rPr>
                <w:rFonts w:hint="eastAsia" w:ascii="黑体" w:hAnsi="黑体" w:eastAsia="黑体"/>
                <w:szCs w:val="21"/>
              </w:rPr>
              <w:t>要求</w:t>
            </w:r>
            <w:r>
              <w:rPr>
                <w:rFonts w:ascii="黑体" w:hAnsi="黑体" w:eastAsia="黑体"/>
                <w:szCs w:val="21"/>
              </w:rPr>
              <w:t>行政机关确认或</w:t>
            </w:r>
            <w:r>
              <w:rPr>
                <w:rFonts w:hint="eastAsia" w:ascii="黑体" w:hAnsi="黑体" w:eastAsia="黑体"/>
                <w:szCs w:val="21"/>
              </w:rPr>
              <w:t>重新</w:t>
            </w:r>
            <w:r>
              <w:rPr>
                <w:rFonts w:ascii="黑体" w:hAnsi="黑体" w:eastAsia="黑体"/>
                <w:szCs w:val="21"/>
              </w:rPr>
              <w:t>出具已获取</w:t>
            </w:r>
            <w:r>
              <w:rPr>
                <w:rFonts w:hint="eastAsia" w:ascii="黑体" w:hAnsi="黑体" w:eastAsia="黑体"/>
                <w:szCs w:val="21"/>
              </w:rPr>
              <w:t>信息</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3483" w:type="dxa"/>
            <w:gridSpan w:val="2"/>
          </w:tcPr>
          <w:p>
            <w:pPr>
              <w:pStyle w:val="7"/>
              <w:spacing w:line="240" w:lineRule="auto"/>
              <w:ind w:firstLine="0" w:firstLineChars="0"/>
              <w:rPr>
                <w:rFonts w:ascii="黑体" w:hAnsi="黑体" w:eastAsia="黑体"/>
                <w:szCs w:val="21"/>
              </w:rPr>
            </w:pPr>
            <w:r>
              <w:rPr>
                <w:rFonts w:hint="eastAsia" w:ascii="黑体" w:hAnsi="黑体" w:eastAsia="黑体"/>
                <w:szCs w:val="21"/>
              </w:rPr>
              <w:t>（六）其他</w:t>
            </w:r>
            <w:r>
              <w:rPr>
                <w:rFonts w:ascii="黑体" w:hAnsi="黑体" w:eastAsia="黑体"/>
                <w:szCs w:val="21"/>
              </w:rPr>
              <w:t>处理</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3483" w:type="dxa"/>
            <w:gridSpan w:val="2"/>
          </w:tcPr>
          <w:p>
            <w:pPr>
              <w:pStyle w:val="7"/>
              <w:spacing w:line="240" w:lineRule="auto"/>
              <w:ind w:firstLine="0" w:firstLineChars="0"/>
              <w:rPr>
                <w:rFonts w:ascii="黑体" w:hAnsi="黑体" w:eastAsia="黑体"/>
                <w:szCs w:val="21"/>
              </w:rPr>
            </w:pPr>
            <w:r>
              <w:rPr>
                <w:rFonts w:hint="eastAsia" w:ascii="黑体" w:hAnsi="黑体" w:eastAsia="黑体"/>
                <w:szCs w:val="21"/>
              </w:rPr>
              <w:t>（七）总计</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48" w:type="dxa"/>
            <w:gridSpan w:val="3"/>
          </w:tcPr>
          <w:p>
            <w:pPr>
              <w:pStyle w:val="7"/>
              <w:spacing w:line="240" w:lineRule="auto"/>
              <w:ind w:firstLine="0" w:firstLineChars="0"/>
              <w:rPr>
                <w:rFonts w:ascii="黑体" w:hAnsi="黑体" w:eastAsia="黑体"/>
                <w:szCs w:val="21"/>
              </w:rPr>
            </w:pPr>
            <w:r>
              <w:rPr>
                <w:rFonts w:hint="eastAsia" w:ascii="黑体" w:hAnsi="黑体" w:eastAsia="黑体"/>
                <w:szCs w:val="21"/>
              </w:rPr>
              <w:t>四</w:t>
            </w:r>
            <w:r>
              <w:rPr>
                <w:rFonts w:ascii="黑体" w:hAnsi="黑体" w:eastAsia="黑体"/>
                <w:szCs w:val="21"/>
              </w:rPr>
              <w:t>、</w:t>
            </w:r>
            <w:r>
              <w:rPr>
                <w:rFonts w:hint="eastAsia" w:ascii="黑体" w:hAnsi="黑体" w:eastAsia="黑体"/>
                <w:szCs w:val="21"/>
              </w:rPr>
              <w:t>结转</w:t>
            </w:r>
            <w:r>
              <w:rPr>
                <w:rFonts w:ascii="黑体" w:hAnsi="黑体" w:eastAsia="黑体"/>
                <w:szCs w:val="21"/>
              </w:rPr>
              <w:t>下年度继续办理</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bl>
    <w:p>
      <w:pPr>
        <w:rPr>
          <w:rFonts w:hint="eastAsia" w:ascii="黑体" w:hAnsi="黑体" w:eastAsia="黑体"/>
          <w:sz w:val="32"/>
          <w:szCs w:val="32"/>
        </w:rPr>
      </w:pPr>
    </w:p>
    <w:p>
      <w:pPr>
        <w:pStyle w:val="7"/>
        <w:numPr>
          <w:ilvl w:val="0"/>
          <w:numId w:val="1"/>
        </w:numPr>
        <w:ind w:firstLineChars="0"/>
        <w:rPr>
          <w:rFonts w:ascii="黑体" w:hAnsi="黑体" w:eastAsia="黑体"/>
          <w:b/>
          <w:bCs/>
          <w:sz w:val="32"/>
          <w:szCs w:val="32"/>
        </w:rPr>
      </w:pPr>
      <w:r>
        <w:rPr>
          <w:rFonts w:ascii="黑体" w:hAnsi="黑体" w:eastAsia="黑体"/>
          <w:b/>
          <w:bCs/>
          <w:sz w:val="32"/>
          <w:szCs w:val="32"/>
        </w:rPr>
        <w:t>政府信息公开</w:t>
      </w:r>
      <w:r>
        <w:rPr>
          <w:rFonts w:hint="eastAsia" w:ascii="黑体" w:hAnsi="黑体" w:eastAsia="黑体"/>
          <w:b/>
          <w:bCs/>
          <w:sz w:val="32"/>
          <w:szCs w:val="32"/>
        </w:rPr>
        <w:t>行政</w:t>
      </w:r>
      <w:r>
        <w:rPr>
          <w:rFonts w:ascii="黑体" w:hAnsi="黑体" w:eastAsia="黑体"/>
          <w:b/>
          <w:bCs/>
          <w:sz w:val="32"/>
          <w:szCs w:val="32"/>
        </w:rPr>
        <w:t>复议、行政诉讼情况</w:t>
      </w:r>
    </w:p>
    <w:tbl>
      <w:tblPr>
        <w:tblStyle w:val="6"/>
        <w:tblW w:w="82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543"/>
        <w:gridCol w:w="542"/>
        <w:gridCol w:w="542"/>
        <w:gridCol w:w="660"/>
        <w:gridCol w:w="540"/>
        <w:gridCol w:w="453"/>
        <w:gridCol w:w="513"/>
        <w:gridCol w:w="540"/>
        <w:gridCol w:w="540"/>
        <w:gridCol w:w="540"/>
        <w:gridCol w:w="540"/>
        <w:gridCol w:w="540"/>
        <w:gridCol w:w="540"/>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830" w:type="dxa"/>
            <w:gridSpan w:val="5"/>
            <w:vAlign w:val="center"/>
          </w:tcPr>
          <w:p>
            <w:pPr>
              <w:pStyle w:val="7"/>
              <w:spacing w:line="240" w:lineRule="auto"/>
              <w:ind w:firstLine="0" w:firstLineChars="0"/>
              <w:jc w:val="center"/>
              <w:rPr>
                <w:rFonts w:ascii="黑体" w:hAnsi="黑体" w:eastAsia="黑体"/>
                <w:szCs w:val="21"/>
              </w:rPr>
            </w:pPr>
            <w:r>
              <w:rPr>
                <w:rFonts w:hint="eastAsia" w:ascii="黑体" w:hAnsi="黑体" w:eastAsia="黑体"/>
                <w:szCs w:val="21"/>
              </w:rPr>
              <w:t>行政</w:t>
            </w:r>
            <w:r>
              <w:rPr>
                <w:rFonts w:ascii="黑体" w:hAnsi="黑体" w:eastAsia="黑体"/>
                <w:szCs w:val="21"/>
              </w:rPr>
              <w:t>复议</w:t>
            </w:r>
          </w:p>
        </w:tc>
        <w:tc>
          <w:tcPr>
            <w:tcW w:w="5387" w:type="dxa"/>
            <w:gridSpan w:val="10"/>
            <w:vAlign w:val="center"/>
          </w:tcPr>
          <w:p>
            <w:pPr>
              <w:pStyle w:val="7"/>
              <w:spacing w:line="240" w:lineRule="auto"/>
              <w:ind w:firstLine="0" w:firstLineChars="0"/>
              <w:jc w:val="center"/>
              <w:rPr>
                <w:rFonts w:ascii="黑体" w:hAnsi="黑体" w:eastAsia="黑体"/>
                <w:szCs w:val="21"/>
              </w:rPr>
            </w:pPr>
            <w:r>
              <w:rPr>
                <w:rFonts w:hint="eastAsia" w:ascii="黑体" w:hAnsi="黑体" w:eastAsia="黑体"/>
                <w:szCs w:val="21"/>
              </w:rPr>
              <w:t>行政</w:t>
            </w:r>
            <w:r>
              <w:rPr>
                <w:rFonts w:ascii="黑体" w:hAnsi="黑体" w:eastAsia="黑体"/>
                <w:szCs w:val="21"/>
              </w:rPr>
              <w:t>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3" w:type="dxa"/>
            <w:vMerge w:val="restart"/>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维持</w:t>
            </w:r>
          </w:p>
        </w:tc>
        <w:tc>
          <w:tcPr>
            <w:tcW w:w="543" w:type="dxa"/>
            <w:vMerge w:val="restart"/>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纠正</w:t>
            </w:r>
          </w:p>
        </w:tc>
        <w:tc>
          <w:tcPr>
            <w:tcW w:w="542" w:type="dxa"/>
            <w:vMerge w:val="restart"/>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其他</w:t>
            </w:r>
            <w:r>
              <w:rPr>
                <w:rFonts w:ascii="黑体" w:hAnsi="黑体" w:eastAsia="黑体"/>
                <w:szCs w:val="21"/>
              </w:rPr>
              <w:t>结果</w:t>
            </w:r>
          </w:p>
        </w:tc>
        <w:tc>
          <w:tcPr>
            <w:tcW w:w="542" w:type="dxa"/>
            <w:vMerge w:val="restart"/>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尚未审</w:t>
            </w:r>
            <w:r>
              <w:rPr>
                <w:rFonts w:ascii="黑体" w:hAnsi="黑体" w:eastAsia="黑体"/>
                <w:szCs w:val="21"/>
              </w:rPr>
              <w:t>结</w:t>
            </w:r>
          </w:p>
        </w:tc>
        <w:tc>
          <w:tcPr>
            <w:tcW w:w="660" w:type="dxa"/>
            <w:vMerge w:val="restart"/>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总计</w:t>
            </w:r>
          </w:p>
        </w:tc>
        <w:tc>
          <w:tcPr>
            <w:tcW w:w="2586" w:type="dxa"/>
            <w:gridSpan w:val="5"/>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未经</w:t>
            </w:r>
            <w:r>
              <w:rPr>
                <w:rFonts w:ascii="黑体" w:hAnsi="黑体" w:eastAsia="黑体"/>
                <w:szCs w:val="21"/>
              </w:rPr>
              <w:t>复议直接起诉</w:t>
            </w:r>
          </w:p>
        </w:tc>
        <w:tc>
          <w:tcPr>
            <w:tcW w:w="2801" w:type="dxa"/>
            <w:gridSpan w:val="5"/>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复议</w:t>
            </w:r>
            <w:r>
              <w:rPr>
                <w:rFonts w:ascii="黑体" w:hAnsi="黑体" w:eastAsia="黑体"/>
                <w:szCs w:val="21"/>
              </w:rPr>
              <w:t>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3" w:type="dxa"/>
            <w:vMerge w:val="continue"/>
            <w:vAlign w:val="center"/>
          </w:tcPr>
          <w:p>
            <w:pPr>
              <w:pStyle w:val="7"/>
              <w:spacing w:line="240" w:lineRule="auto"/>
              <w:ind w:firstLine="0" w:firstLineChars="0"/>
              <w:rPr>
                <w:rFonts w:ascii="黑体" w:hAnsi="黑体" w:eastAsia="黑体"/>
                <w:szCs w:val="21"/>
              </w:rPr>
            </w:pPr>
          </w:p>
        </w:tc>
        <w:tc>
          <w:tcPr>
            <w:tcW w:w="543" w:type="dxa"/>
            <w:vMerge w:val="continue"/>
            <w:vAlign w:val="center"/>
          </w:tcPr>
          <w:p>
            <w:pPr>
              <w:pStyle w:val="7"/>
              <w:spacing w:line="240" w:lineRule="auto"/>
              <w:ind w:firstLine="0" w:firstLineChars="0"/>
              <w:rPr>
                <w:rFonts w:ascii="黑体" w:hAnsi="黑体" w:eastAsia="黑体"/>
                <w:szCs w:val="21"/>
              </w:rPr>
            </w:pPr>
          </w:p>
        </w:tc>
        <w:tc>
          <w:tcPr>
            <w:tcW w:w="542" w:type="dxa"/>
            <w:vMerge w:val="continue"/>
            <w:vAlign w:val="center"/>
          </w:tcPr>
          <w:p>
            <w:pPr>
              <w:pStyle w:val="7"/>
              <w:spacing w:line="240" w:lineRule="auto"/>
              <w:ind w:firstLine="0" w:firstLineChars="0"/>
              <w:rPr>
                <w:rFonts w:ascii="黑体" w:hAnsi="黑体" w:eastAsia="黑体"/>
                <w:szCs w:val="21"/>
              </w:rPr>
            </w:pPr>
          </w:p>
        </w:tc>
        <w:tc>
          <w:tcPr>
            <w:tcW w:w="542" w:type="dxa"/>
            <w:vMerge w:val="continue"/>
            <w:vAlign w:val="center"/>
          </w:tcPr>
          <w:p>
            <w:pPr>
              <w:pStyle w:val="7"/>
              <w:spacing w:line="240" w:lineRule="auto"/>
              <w:ind w:firstLine="0" w:firstLineChars="0"/>
              <w:rPr>
                <w:rFonts w:ascii="黑体" w:hAnsi="黑体" w:eastAsia="黑体"/>
                <w:szCs w:val="21"/>
              </w:rPr>
            </w:pPr>
          </w:p>
        </w:tc>
        <w:tc>
          <w:tcPr>
            <w:tcW w:w="660" w:type="dxa"/>
            <w:vMerge w:val="continue"/>
            <w:vAlign w:val="center"/>
          </w:tcPr>
          <w:p>
            <w:pPr>
              <w:pStyle w:val="7"/>
              <w:spacing w:line="240" w:lineRule="auto"/>
              <w:ind w:firstLine="0" w:firstLineChars="0"/>
              <w:rPr>
                <w:rFonts w:ascii="黑体" w:hAnsi="黑体" w:eastAsia="黑体"/>
                <w:szCs w:val="21"/>
              </w:rPr>
            </w:pPr>
          </w:p>
        </w:tc>
        <w:tc>
          <w:tcPr>
            <w:tcW w:w="540"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维持</w:t>
            </w:r>
          </w:p>
        </w:tc>
        <w:tc>
          <w:tcPr>
            <w:tcW w:w="453"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纠正</w:t>
            </w:r>
          </w:p>
        </w:tc>
        <w:tc>
          <w:tcPr>
            <w:tcW w:w="513"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其他</w:t>
            </w:r>
            <w:r>
              <w:rPr>
                <w:rFonts w:ascii="黑体" w:hAnsi="黑体" w:eastAsia="黑体"/>
                <w:szCs w:val="21"/>
              </w:rPr>
              <w:t>结果</w:t>
            </w:r>
          </w:p>
        </w:tc>
        <w:tc>
          <w:tcPr>
            <w:tcW w:w="540"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尚未</w:t>
            </w:r>
            <w:r>
              <w:rPr>
                <w:rFonts w:ascii="黑体" w:hAnsi="黑体" w:eastAsia="黑体"/>
                <w:szCs w:val="21"/>
              </w:rPr>
              <w:t>审结</w:t>
            </w:r>
          </w:p>
        </w:tc>
        <w:tc>
          <w:tcPr>
            <w:tcW w:w="540"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总</w:t>
            </w:r>
            <w:r>
              <w:rPr>
                <w:rFonts w:ascii="黑体" w:hAnsi="黑体" w:eastAsia="黑体"/>
                <w:szCs w:val="21"/>
              </w:rPr>
              <w:t>计</w:t>
            </w:r>
          </w:p>
        </w:tc>
        <w:tc>
          <w:tcPr>
            <w:tcW w:w="540"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维持</w:t>
            </w:r>
          </w:p>
        </w:tc>
        <w:tc>
          <w:tcPr>
            <w:tcW w:w="540"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纠正</w:t>
            </w:r>
          </w:p>
        </w:tc>
        <w:tc>
          <w:tcPr>
            <w:tcW w:w="540"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其他</w:t>
            </w:r>
            <w:r>
              <w:rPr>
                <w:rFonts w:ascii="黑体" w:hAnsi="黑体" w:eastAsia="黑体"/>
                <w:szCs w:val="21"/>
              </w:rPr>
              <w:t>结果</w:t>
            </w:r>
          </w:p>
        </w:tc>
        <w:tc>
          <w:tcPr>
            <w:tcW w:w="540"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尚未</w:t>
            </w:r>
            <w:r>
              <w:rPr>
                <w:rFonts w:ascii="黑体" w:hAnsi="黑体" w:eastAsia="黑体"/>
                <w:szCs w:val="21"/>
              </w:rPr>
              <w:t>审结</w:t>
            </w:r>
          </w:p>
        </w:tc>
        <w:tc>
          <w:tcPr>
            <w:tcW w:w="641"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jc w:val="center"/>
        </w:trPr>
        <w:tc>
          <w:tcPr>
            <w:tcW w:w="543"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3"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2"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2"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660"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0"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453"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13"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0"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0"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0"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0"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0"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0"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641"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bl>
    <w:p>
      <w:pPr>
        <w:pStyle w:val="7"/>
        <w:ind w:left="720" w:firstLine="0" w:firstLineChars="0"/>
        <w:rPr>
          <w:rFonts w:ascii="黑体" w:hAnsi="黑体" w:eastAsia="黑体"/>
          <w:sz w:val="32"/>
          <w:szCs w:val="32"/>
        </w:rPr>
      </w:pPr>
    </w:p>
    <w:p>
      <w:pPr>
        <w:pStyle w:val="7"/>
        <w:keepNext w:val="0"/>
        <w:keepLines w:val="0"/>
        <w:pageBreakBefore w:val="0"/>
        <w:widowControl/>
        <w:numPr>
          <w:ilvl w:val="0"/>
          <w:numId w:val="1"/>
        </w:numPr>
        <w:kinsoku/>
        <w:wordWrap/>
        <w:overflowPunct/>
        <w:topLinePunct w:val="0"/>
        <w:autoSpaceDE/>
        <w:autoSpaceDN/>
        <w:bidi w:val="0"/>
        <w:adjustRightInd/>
        <w:snapToGrid/>
        <w:spacing w:line="560" w:lineRule="exact"/>
        <w:ind w:firstLineChars="0"/>
        <w:textAlignment w:val="auto"/>
        <w:outlineLvl w:val="9"/>
        <w:rPr>
          <w:rFonts w:ascii="黑体" w:hAnsi="黑体" w:eastAsia="黑体"/>
          <w:b/>
          <w:bCs/>
          <w:sz w:val="32"/>
          <w:szCs w:val="32"/>
        </w:rPr>
      </w:pPr>
      <w:r>
        <w:rPr>
          <w:rFonts w:ascii="黑体" w:hAnsi="黑体" w:eastAsia="黑体"/>
          <w:b/>
          <w:bCs/>
          <w:sz w:val="32"/>
          <w:szCs w:val="32"/>
        </w:rPr>
        <w:t>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43"/>
        <w:jc w:val="left"/>
        <w:textAlignment w:val="auto"/>
        <w:outlineLvl w:val="9"/>
        <w:rPr>
          <w:rFonts w:hint="eastAsia" w:ascii="黑体" w:hAnsi="黑体" w:eastAsia="黑体" w:cstheme="minorBidi"/>
          <w:b/>
          <w:bCs/>
          <w:kern w:val="2"/>
          <w:sz w:val="32"/>
          <w:szCs w:val="32"/>
          <w:lang w:val="en-US" w:eastAsia="zh-CN" w:bidi="ar-SA"/>
        </w:rPr>
      </w:pPr>
      <w:r>
        <w:rPr>
          <w:rFonts w:hint="eastAsia" w:ascii="黑体" w:hAnsi="黑体" w:eastAsia="黑体" w:cstheme="minorBidi"/>
          <w:b/>
          <w:bCs/>
          <w:kern w:val="2"/>
          <w:sz w:val="32"/>
          <w:szCs w:val="32"/>
          <w:lang w:val="en-US" w:eastAsia="zh-CN" w:bidi="ar-SA"/>
        </w:rPr>
        <w:t>（一）存在问题</w:t>
      </w:r>
    </w:p>
    <w:p>
      <w:pPr>
        <w:keepNext w:val="0"/>
        <w:keepLines w:val="0"/>
        <w:pageBreakBefore w:val="0"/>
        <w:widowControl/>
        <w:kinsoku/>
        <w:wordWrap/>
        <w:overflowPunct/>
        <w:topLinePunct w:val="0"/>
        <w:autoSpaceDE/>
        <w:autoSpaceDN/>
        <w:bidi w:val="0"/>
        <w:adjustRightInd/>
        <w:snapToGrid/>
        <w:spacing w:line="560" w:lineRule="exact"/>
        <w:ind w:firstLine="643"/>
        <w:jc w:val="left"/>
        <w:textAlignment w:val="auto"/>
        <w:outlineLvl w:val="9"/>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 xml:space="preserve">1.部分部门对政府信息公开工作重要性认识不足、重视不够。 </w:t>
      </w:r>
    </w:p>
    <w:p>
      <w:pPr>
        <w:keepNext w:val="0"/>
        <w:keepLines w:val="0"/>
        <w:pageBreakBefore w:val="0"/>
        <w:widowControl/>
        <w:kinsoku/>
        <w:wordWrap/>
        <w:overflowPunct/>
        <w:topLinePunct w:val="0"/>
        <w:autoSpaceDE/>
        <w:autoSpaceDN/>
        <w:bidi w:val="0"/>
        <w:adjustRightInd/>
        <w:snapToGrid/>
        <w:spacing w:line="560" w:lineRule="exact"/>
        <w:ind w:firstLine="643"/>
        <w:jc w:val="left"/>
        <w:textAlignment w:val="auto"/>
        <w:outlineLvl w:val="9"/>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2.信息公开内容和群众对政府信息的了解需求还存在一定差距，一些需主动公开的信息更新不够及时全面，内容格式不够统一规范。</w:t>
      </w:r>
    </w:p>
    <w:p>
      <w:pPr>
        <w:keepNext w:val="0"/>
        <w:keepLines w:val="0"/>
        <w:pageBreakBefore w:val="0"/>
        <w:widowControl/>
        <w:kinsoku/>
        <w:wordWrap/>
        <w:overflowPunct/>
        <w:topLinePunct w:val="0"/>
        <w:autoSpaceDE/>
        <w:autoSpaceDN/>
        <w:bidi w:val="0"/>
        <w:adjustRightInd/>
        <w:snapToGrid/>
        <w:spacing w:line="560" w:lineRule="exact"/>
        <w:ind w:firstLine="643"/>
        <w:jc w:val="left"/>
        <w:textAlignment w:val="auto"/>
        <w:outlineLvl w:val="9"/>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3.对信息公开的宣传力度不够，群众对政府信息公开的参与度不够高。</w:t>
      </w:r>
    </w:p>
    <w:p>
      <w:pPr>
        <w:keepNext w:val="0"/>
        <w:keepLines w:val="0"/>
        <w:pageBreakBefore w:val="0"/>
        <w:widowControl/>
        <w:kinsoku/>
        <w:wordWrap/>
        <w:overflowPunct/>
        <w:topLinePunct w:val="0"/>
        <w:autoSpaceDE/>
        <w:autoSpaceDN/>
        <w:bidi w:val="0"/>
        <w:adjustRightInd/>
        <w:snapToGrid/>
        <w:spacing w:line="560" w:lineRule="exact"/>
        <w:ind w:firstLine="643"/>
        <w:jc w:val="left"/>
        <w:textAlignment w:val="auto"/>
        <w:outlineLvl w:val="9"/>
        <w:rPr>
          <w:rFonts w:hint="eastAsia" w:ascii="仿宋_GB2312" w:hAnsi="Arial" w:eastAsia="仿宋_GB2312" w:cs="Arial"/>
          <w:b/>
          <w:bCs/>
          <w:color w:val="333333"/>
          <w:kern w:val="0"/>
          <w:sz w:val="32"/>
          <w:szCs w:val="32"/>
        </w:rPr>
      </w:pPr>
      <w:r>
        <w:rPr>
          <w:rFonts w:hint="eastAsia" w:ascii="黑体" w:hAnsi="黑体" w:eastAsia="黑体" w:cstheme="minorBidi"/>
          <w:b/>
          <w:bCs/>
          <w:kern w:val="2"/>
          <w:sz w:val="32"/>
          <w:szCs w:val="32"/>
          <w:lang w:val="en-US" w:eastAsia="zh-CN" w:bidi="ar-SA"/>
        </w:rPr>
        <w:t>（二）下一步改进措施</w:t>
      </w:r>
    </w:p>
    <w:p>
      <w:pPr>
        <w:keepNext w:val="0"/>
        <w:keepLines w:val="0"/>
        <w:pageBreakBefore w:val="0"/>
        <w:widowControl/>
        <w:kinsoku/>
        <w:wordWrap/>
        <w:overflowPunct/>
        <w:topLinePunct w:val="0"/>
        <w:autoSpaceDE/>
        <w:autoSpaceDN/>
        <w:bidi w:val="0"/>
        <w:adjustRightInd/>
        <w:snapToGrid/>
        <w:spacing w:line="560" w:lineRule="exact"/>
        <w:ind w:firstLine="643"/>
        <w:jc w:val="left"/>
        <w:textAlignment w:val="auto"/>
        <w:outlineLvl w:val="9"/>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1.加强组织领导。主动推进政府信息公开工作，进一步提高各部门对信息公开的重视程度，提高各部门信息公开的主动性。</w:t>
      </w:r>
    </w:p>
    <w:p>
      <w:pPr>
        <w:keepNext w:val="0"/>
        <w:keepLines w:val="0"/>
        <w:pageBreakBefore w:val="0"/>
        <w:widowControl/>
        <w:kinsoku/>
        <w:wordWrap/>
        <w:overflowPunct/>
        <w:topLinePunct w:val="0"/>
        <w:autoSpaceDE/>
        <w:autoSpaceDN/>
        <w:bidi w:val="0"/>
        <w:adjustRightInd/>
        <w:snapToGrid/>
        <w:spacing w:line="560" w:lineRule="exact"/>
        <w:ind w:firstLine="643"/>
        <w:jc w:val="left"/>
        <w:textAlignment w:val="auto"/>
        <w:outlineLvl w:val="9"/>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2.加大督促检查力度。不断强化政府公开工作的督导检查，认真查找和分析不足，及时发现解决，切实促进信息公开工作规范有序进行。</w:t>
      </w:r>
    </w:p>
    <w:p>
      <w:pPr>
        <w:keepNext w:val="0"/>
        <w:keepLines w:val="0"/>
        <w:pageBreakBefore w:val="0"/>
        <w:widowControl/>
        <w:kinsoku/>
        <w:wordWrap/>
        <w:overflowPunct/>
        <w:topLinePunct w:val="0"/>
        <w:autoSpaceDE/>
        <w:autoSpaceDN/>
        <w:bidi w:val="0"/>
        <w:adjustRightInd/>
        <w:snapToGrid/>
        <w:spacing w:line="560" w:lineRule="exact"/>
        <w:ind w:firstLine="643"/>
        <w:jc w:val="left"/>
        <w:textAlignment w:val="auto"/>
        <w:outlineLvl w:val="9"/>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3.加强宣传。着力加强对政府信息公开的宣传工作，让群众可以更好地了解、参与</w:t>
      </w:r>
      <w:bookmarkStart w:id="0" w:name="_GoBack"/>
      <w:bookmarkEnd w:id="0"/>
      <w:r>
        <w:rPr>
          <w:rFonts w:hint="eastAsia" w:ascii="黑体" w:hAnsi="黑体" w:eastAsia="黑体" w:cstheme="minorBidi"/>
          <w:kern w:val="2"/>
          <w:sz w:val="32"/>
          <w:szCs w:val="32"/>
          <w:lang w:val="en-US" w:eastAsia="zh-CN" w:bidi="ar-SA"/>
        </w:rPr>
        <w:t>监督信息公开工作。</w:t>
      </w:r>
    </w:p>
    <w:p>
      <w:pPr>
        <w:keepNext w:val="0"/>
        <w:keepLines w:val="0"/>
        <w:pageBreakBefore w:val="0"/>
        <w:widowControl/>
        <w:kinsoku/>
        <w:wordWrap/>
        <w:overflowPunct/>
        <w:topLinePunct w:val="0"/>
        <w:autoSpaceDE/>
        <w:autoSpaceDN/>
        <w:bidi w:val="0"/>
        <w:adjustRightInd/>
        <w:snapToGrid/>
        <w:spacing w:line="560" w:lineRule="exact"/>
        <w:ind w:firstLine="643"/>
        <w:jc w:val="left"/>
        <w:textAlignment w:val="auto"/>
        <w:outlineLvl w:val="9"/>
        <w:rPr>
          <w:rFonts w:ascii="仿宋_GB2312" w:hAnsi="黑体" w:eastAsia="仿宋_GB2312"/>
          <w:sz w:val="32"/>
          <w:szCs w:val="32"/>
        </w:rPr>
      </w:pPr>
      <w:r>
        <w:rPr>
          <w:rFonts w:hint="eastAsia" w:ascii="黑体" w:hAnsi="黑体" w:eastAsia="黑体" w:cstheme="minorBidi"/>
          <w:kern w:val="2"/>
          <w:sz w:val="32"/>
          <w:szCs w:val="32"/>
          <w:lang w:val="en-US" w:eastAsia="zh-CN" w:bidi="ar-SA"/>
        </w:rPr>
        <w:t>4.坚持以公开为常态、不公开为例外原则，推动我镇信息公开工作在更广领域、更大范围、更高层次上深入开展。</w:t>
      </w:r>
    </w:p>
    <w:p>
      <w:pPr>
        <w:pStyle w:val="7"/>
        <w:keepNext w:val="0"/>
        <w:keepLines w:val="0"/>
        <w:pageBreakBefore w:val="0"/>
        <w:widowControl/>
        <w:numPr>
          <w:ilvl w:val="0"/>
          <w:numId w:val="1"/>
        </w:numPr>
        <w:kinsoku/>
        <w:wordWrap/>
        <w:overflowPunct/>
        <w:topLinePunct w:val="0"/>
        <w:autoSpaceDE/>
        <w:autoSpaceDN/>
        <w:bidi w:val="0"/>
        <w:adjustRightInd/>
        <w:snapToGrid/>
        <w:spacing w:line="560" w:lineRule="exact"/>
        <w:ind w:firstLineChars="0"/>
        <w:textAlignment w:val="auto"/>
        <w:outlineLvl w:val="9"/>
        <w:rPr>
          <w:rFonts w:ascii="黑体" w:hAnsi="黑体" w:eastAsia="黑体"/>
          <w:b/>
          <w:bCs/>
          <w:sz w:val="32"/>
          <w:szCs w:val="32"/>
        </w:rPr>
      </w:pPr>
      <w:r>
        <w:rPr>
          <w:rFonts w:ascii="黑体" w:hAnsi="黑体" w:eastAsia="黑体"/>
          <w:b/>
          <w:bCs/>
          <w:sz w:val="32"/>
          <w:szCs w:val="32"/>
        </w:rPr>
        <w:t>其他需要报告的</w:t>
      </w:r>
      <w:r>
        <w:rPr>
          <w:rFonts w:hint="eastAsia" w:ascii="黑体" w:hAnsi="黑体" w:eastAsia="黑体"/>
          <w:b/>
          <w:bCs/>
          <w:sz w:val="32"/>
          <w:szCs w:val="32"/>
        </w:rPr>
        <w:t>事项</w:t>
      </w:r>
    </w:p>
    <w:p>
      <w:pPr>
        <w:keepNext w:val="0"/>
        <w:keepLines w:val="0"/>
        <w:pageBreakBefore w:val="0"/>
        <w:widowControl/>
        <w:kinsoku/>
        <w:wordWrap/>
        <w:overflowPunct/>
        <w:topLinePunct w:val="0"/>
        <w:autoSpaceDE/>
        <w:autoSpaceDN/>
        <w:bidi w:val="0"/>
        <w:adjustRightInd/>
        <w:snapToGrid/>
        <w:spacing w:line="560" w:lineRule="exact"/>
        <w:ind w:firstLine="643"/>
        <w:jc w:val="left"/>
        <w:textAlignment w:val="auto"/>
        <w:outlineLvl w:val="9"/>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2019年，在镇委、镇政府的高度重视和正确领导下，西联镇无其他需要报告的事项。</w:t>
      </w:r>
    </w:p>
    <w:sectPr>
      <w:headerReference r:id="rId3" w:type="default"/>
      <w:footerReference r:id="rId5" w:type="default"/>
      <w:headerReference r:id="rId4" w:type="even"/>
      <w:pgSz w:w="11906" w:h="16838"/>
      <w:pgMar w:top="1701" w:right="1474" w:bottom="1985" w:left="1588" w:header="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tab w:relativeTo="margin" w:alignment="center" w:leader="non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E21"/>
    <w:multiLevelType w:val="multilevel"/>
    <w:tmpl w:val="07417E2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720660"/>
    <w:multiLevelType w:val="multilevel"/>
    <w:tmpl w:val="4B72066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01"/>
    <w:rsid w:val="000528B6"/>
    <w:rsid w:val="0006643C"/>
    <w:rsid w:val="00077FA4"/>
    <w:rsid w:val="000B75E2"/>
    <w:rsid w:val="001618D4"/>
    <w:rsid w:val="001F3CB7"/>
    <w:rsid w:val="002275F2"/>
    <w:rsid w:val="002A0243"/>
    <w:rsid w:val="002E3635"/>
    <w:rsid w:val="002E4AFD"/>
    <w:rsid w:val="002E4F98"/>
    <w:rsid w:val="00312083"/>
    <w:rsid w:val="003150E2"/>
    <w:rsid w:val="00353A83"/>
    <w:rsid w:val="003B12C3"/>
    <w:rsid w:val="003C5754"/>
    <w:rsid w:val="003F55CA"/>
    <w:rsid w:val="00426FCF"/>
    <w:rsid w:val="00434B6F"/>
    <w:rsid w:val="00483E6D"/>
    <w:rsid w:val="004D28A2"/>
    <w:rsid w:val="00511ADE"/>
    <w:rsid w:val="00540980"/>
    <w:rsid w:val="00581062"/>
    <w:rsid w:val="00594626"/>
    <w:rsid w:val="005C6227"/>
    <w:rsid w:val="0067321E"/>
    <w:rsid w:val="00692BE7"/>
    <w:rsid w:val="006D0E94"/>
    <w:rsid w:val="006E64DF"/>
    <w:rsid w:val="00740E78"/>
    <w:rsid w:val="0074208E"/>
    <w:rsid w:val="00763D75"/>
    <w:rsid w:val="007649C2"/>
    <w:rsid w:val="007A4D4B"/>
    <w:rsid w:val="007F2A2B"/>
    <w:rsid w:val="00802D5E"/>
    <w:rsid w:val="0083396B"/>
    <w:rsid w:val="00846D3F"/>
    <w:rsid w:val="0088257B"/>
    <w:rsid w:val="008C258E"/>
    <w:rsid w:val="009151C2"/>
    <w:rsid w:val="00933E1C"/>
    <w:rsid w:val="0096167F"/>
    <w:rsid w:val="0097076B"/>
    <w:rsid w:val="00984F83"/>
    <w:rsid w:val="00A0487C"/>
    <w:rsid w:val="00A83EDA"/>
    <w:rsid w:val="00AD2155"/>
    <w:rsid w:val="00AD5821"/>
    <w:rsid w:val="00AE053C"/>
    <w:rsid w:val="00B848E5"/>
    <w:rsid w:val="00BA5127"/>
    <w:rsid w:val="00BB184E"/>
    <w:rsid w:val="00BD4E43"/>
    <w:rsid w:val="00C040D4"/>
    <w:rsid w:val="00C541BB"/>
    <w:rsid w:val="00C82901"/>
    <w:rsid w:val="00C83B67"/>
    <w:rsid w:val="00C860BC"/>
    <w:rsid w:val="00CB4C77"/>
    <w:rsid w:val="00CD6EF6"/>
    <w:rsid w:val="00D239E3"/>
    <w:rsid w:val="00D50D99"/>
    <w:rsid w:val="00D62067"/>
    <w:rsid w:val="00D74940"/>
    <w:rsid w:val="00DD2466"/>
    <w:rsid w:val="00DD42CC"/>
    <w:rsid w:val="00E22B40"/>
    <w:rsid w:val="00E302FF"/>
    <w:rsid w:val="00E34A0B"/>
    <w:rsid w:val="00E43F98"/>
    <w:rsid w:val="00E515F8"/>
    <w:rsid w:val="00E9411C"/>
    <w:rsid w:val="00F02D7A"/>
    <w:rsid w:val="00F33401"/>
    <w:rsid w:val="00F72259"/>
    <w:rsid w:val="00F87DA5"/>
    <w:rsid w:val="00FA2013"/>
    <w:rsid w:val="00FD68F8"/>
    <w:rsid w:val="12643349"/>
    <w:rsid w:val="131C3591"/>
    <w:rsid w:val="13973A1B"/>
    <w:rsid w:val="13E32466"/>
    <w:rsid w:val="13EE37B0"/>
    <w:rsid w:val="15F23CA2"/>
    <w:rsid w:val="17F61AA8"/>
    <w:rsid w:val="18690B10"/>
    <w:rsid w:val="1E4C09D5"/>
    <w:rsid w:val="1EA92A85"/>
    <w:rsid w:val="23987677"/>
    <w:rsid w:val="28E02209"/>
    <w:rsid w:val="36FF0A00"/>
    <w:rsid w:val="395A6418"/>
    <w:rsid w:val="3CA45BF8"/>
    <w:rsid w:val="3D8970A3"/>
    <w:rsid w:val="4734395A"/>
    <w:rsid w:val="4DE40288"/>
    <w:rsid w:val="57C6111F"/>
    <w:rsid w:val="599A75FF"/>
    <w:rsid w:val="606A32F5"/>
    <w:rsid w:val="68D15C28"/>
    <w:rsid w:val="69F67430"/>
    <w:rsid w:val="6D4D2837"/>
    <w:rsid w:val="6E2F3648"/>
    <w:rsid w:val="717D71C0"/>
    <w:rsid w:val="722650CE"/>
    <w:rsid w:val="73467287"/>
    <w:rsid w:val="7DC44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80" w:lineRule="exact"/>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tLeas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174</Words>
  <Characters>997</Characters>
  <Lines>8</Lines>
  <Paragraphs>2</Paragraphs>
  <TotalTime>7</TotalTime>
  <ScaleCrop>false</ScaleCrop>
  <LinksUpToDate>false</LinksUpToDate>
  <CharactersWithSpaces>1169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2020-01-19T09:20:00Z</dcterms:created>
  <dc:creator>政务服务数据管理局收发员</dc:creator>
  <cp:lastModifiedBy>Administrator</cp:lastModifiedBy>
  <cp:lastPrinted>2020-01-22T08:20:00Z</cp:lastPrinted>
  <dcterms:modified xsi:type="dcterms:W3CDTF">2020-01-22T08:42:55Z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