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sz w:val="44"/>
          <w:szCs w:val="44"/>
          <w:lang w:eastAsia="zh-CN"/>
        </w:rPr>
      </w:pPr>
      <w:r>
        <w:rPr>
          <w:rFonts w:hint="eastAsia"/>
          <w:sz w:val="36"/>
          <w:szCs w:val="36"/>
        </w:rPr>
        <w:pict>
          <v:shape id="_x0000_s2050" o:spid="_x0000_s2050" o:spt="136" type="#_x0000_t136" style="position:absolute;left:0pt;margin-left:16.4pt;margin-top:-6.7pt;height:38.3pt;width:409.35pt;mso-wrap-distance-left:9pt;mso-wrap-distance-right:9pt;z-index:-251658240;mso-width-relative:page;mso-height-relative:page;" fillcolor="#FF0000" filled="t" stroked="t" coordsize="21600,21600" wrapcoords="18476 78 4686 114 3152 116 3135 376 345 378 354 430 360 507 335 509 218 4568 107 4570 217 4910 212 5094 207 5269 233 5416 203 5436 191 5443 206 5649 218 5874 228 6119 235 6382 241 6664 244 6966 246 7287 245 7626 246 7948 249 8216 260 8587 377 8887 545 8889 552 8909 540 9344 524 9633 61 9635 230 10246 675 10248 671 10460 667 10531 654 10770 627 11118 207 11120 207 18106 205 18936 199 19853 196 20137 196 20573 313 20842 1040 20844 1153 21063 2040 21065 1992 21359 2001 21600 2017 21600 2071 21487 18602 21485 18688 21267 18737 20988 18754 20903 21158 20901 21234 20552 21268 20311 21298 20028 21326 19700 21350 19329 21372 18914 21390 18456 21406 17953 21418 17408 21428 16818 21434 16185 21438 15508 21438 14788 21454 10072 21492 9810 21492 9373 21444 9002 21392 8674 21337 8391 21247 8150 20318 8148 20470 6984 21210 6982 21249 6778 21293 6491 21270 2823 21300 2583 21333 2299 21323 2037 21273 1628 21222 1273 21169 973 21086 727 19992 725 19966 640 18718 638 18691 525 18617 247 18492 78 18476 78" adj="10800">
            <v:path/>
            <v:fill on="t" color2="#FFFFFF" focussize="0,0"/>
            <v:stroke color="#FF0000"/>
            <v:imagedata o:title=""/>
            <o:lock v:ext="edit" aspectratio="f"/>
            <v:textpath on="t" fitshape="t" fitpath="t" trim="t" xscale="f" string="韶关市武江区卫生健康局" style="font-family:方正小标宋简体;font-size:36pt;v-rotate-letters:f;v-same-letter-heights:f;v-text-align:center;"/>
            <w10:wrap type="tight"/>
          </v:shape>
        </w:pict>
      </w:r>
    </w:p>
    <w:p>
      <w:pPr>
        <w:jc w:val="center"/>
        <w:rPr>
          <w:rFonts w:hint="eastAsia" w:ascii="方正小标宋简体" w:eastAsia="方正小标宋简体"/>
          <w:sz w:val="44"/>
          <w:szCs w:val="44"/>
          <w:lang w:eastAsia="zh-CN"/>
        </w:rPr>
      </w:pPr>
      <w:r>
        <w:rPr>
          <w:rFonts w:hint="eastAsia"/>
          <w:sz w:val="36"/>
          <w:szCs w:val="36"/>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170815</wp:posOffset>
                </wp:positionV>
                <wp:extent cx="5886450" cy="63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886450" cy="635"/>
                        </a:xfrm>
                        <a:prstGeom prst="straightConnector1">
                          <a:avLst/>
                        </a:prstGeom>
                        <a:ln w="952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9pt;margin-top:13.45pt;height:0.05pt;width:463.5pt;z-index:251662336;mso-width-relative:page;mso-height-relative:page;" filled="f" stroked="t" coordsize="21600,21600" o:gfxdata="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Q6Fp&#10;2gAAAAkBAAAPAAAAAAAAAAEAIAAAACIAAABkcnMvZG93bnJldi54bWxQSwECFAAUAAAACACHTuJA&#10;6WXvCuYBAACgAwAADgAAAAAAAAABACAAAAApAQAAZHJzL2Uyb0RvYy54bWxQSwUGAAAAAAYABgBZ&#10;AQAAgQUAAAAA&#10;">
                <v:fill on="f" focussize="0,0"/>
                <v:stroke color="#FF0000" joinstyle="round"/>
                <v:imagedata o:title=""/>
                <o:lock v:ext="edit" aspectratio="f"/>
              </v:shape>
            </w:pict>
          </mc:Fallback>
        </mc:AlternateContent>
      </w:r>
      <w:r>
        <w:rPr>
          <w:rFonts w:hint="eastAsia"/>
          <w:sz w:val="36"/>
          <w:szCs w:val="36"/>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104140</wp:posOffset>
                </wp:positionV>
                <wp:extent cx="5886450" cy="635"/>
                <wp:effectExtent l="0" t="19050" r="0" b="37465"/>
                <wp:wrapNone/>
                <wp:docPr id="1" name="直接箭头连接符 1"/>
                <wp:cNvGraphicFramePr/>
                <a:graphic xmlns:a="http://schemas.openxmlformats.org/drawingml/2006/main">
                  <a:graphicData uri="http://schemas.microsoft.com/office/word/2010/wordprocessingShape">
                    <wps:wsp>
                      <wps:cNvCnPr/>
                      <wps:spPr>
                        <a:xfrm>
                          <a:off x="0" y="0"/>
                          <a:ext cx="5886450" cy="63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65pt;margin-top:8.2pt;height:0.05pt;width:463.5pt;z-index:251661312;mso-width-relative:page;mso-height-relative:page;" filled="f" stroked="t" coordsize="21600,21600" o:gfxdata="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rGUjdkA&#10;AAAJAQAADwAAAAAAAAABACAAAAAiAAAAZHJzL2Rvd25yZXYueG1sUEsBAhQAFAAAAAgAh07iQJnd&#10;SULlAQAAoQMAAA4AAAAAAAAAAQAgAAAAKAEAAGRycy9lMm9Eb2MueG1sUEsFBgAAAAAGAAYAWQEA&#10;AH8FAAAAAA==&#10;">
                <v:fill on="f" focussize="0,0"/>
                <v:stroke weight="3pt" color="#FF0000" joinstyle="round"/>
                <v:imagedata o:title=""/>
                <o:lock v:ext="edit" aspectratio="f"/>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武江区卫生健康局</w:t>
      </w:r>
      <w:r>
        <w:rPr>
          <w:rFonts w:hint="eastAsia" w:ascii="方正小标宋简体" w:eastAsia="方正小标宋简体"/>
          <w:sz w:val="44"/>
          <w:szCs w:val="44"/>
          <w:lang w:val="en-US" w:eastAsia="zh-CN"/>
        </w:rPr>
        <w:t>2019年度</w:t>
      </w:r>
      <w:r>
        <w:rPr>
          <w:rFonts w:hint="eastAsia" w:ascii="方正小标宋简体" w:eastAsia="方正小标宋简体"/>
          <w:sz w:val="44"/>
          <w:szCs w:val="44"/>
        </w:rPr>
        <w:t>政府信息</w:t>
      </w:r>
    </w:p>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公开工作报告</w:t>
      </w:r>
    </w:p>
    <w:p>
      <w:pPr>
        <w:jc w:val="center"/>
        <w:rPr>
          <w:rFonts w:ascii="方正小标宋简体" w:eastAsia="方正小标宋简体"/>
          <w:sz w:val="44"/>
          <w:szCs w:val="44"/>
        </w:rPr>
      </w:pP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本年报是按照《中华人民共和国政府信息公开条例》</w:t>
      </w:r>
      <w:r>
        <w:rPr>
          <w:rFonts w:hint="eastAsia" w:ascii="仿宋_GB2312" w:hAnsi="黑体" w:eastAsia="仿宋_GB2312"/>
          <w:sz w:val="32"/>
          <w:szCs w:val="32"/>
          <w:lang w:eastAsia="zh-CN"/>
        </w:rPr>
        <w:t>要求</w:t>
      </w:r>
      <w:r>
        <w:rPr>
          <w:rFonts w:hint="eastAsia" w:ascii="仿宋_GB2312" w:hAnsi="黑体" w:eastAsia="仿宋_GB2312"/>
          <w:sz w:val="32"/>
          <w:szCs w:val="32"/>
        </w:rPr>
        <w:t>，特向社会公布201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度本机关信息公开年度报告。全文包括概述、政府信息主动公开情况、依申请公开政府信息情况、咨询处理情况、复议、诉讼和申诉的情况，以及存在的主要问题和改进措施，并附相关的情况统计表。本报告中报列出的数据的统计期限自20</w:t>
      </w:r>
      <w:r>
        <w:rPr>
          <w:rFonts w:hint="eastAsia" w:ascii="仿宋_GB2312" w:hAnsi="黑体" w:eastAsia="仿宋_GB2312"/>
          <w:sz w:val="32"/>
          <w:szCs w:val="32"/>
          <w:lang w:val="en-US" w:eastAsia="zh-CN"/>
        </w:rPr>
        <w:t>19</w:t>
      </w:r>
      <w:r>
        <w:rPr>
          <w:rFonts w:hint="eastAsia" w:ascii="仿宋_GB2312" w:hAnsi="黑体" w:eastAsia="仿宋_GB2312"/>
          <w:sz w:val="32"/>
          <w:szCs w:val="32"/>
        </w:rPr>
        <w:t>年1月1日起至201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年12月31日止。</w:t>
      </w:r>
    </w:p>
    <w:p>
      <w:pPr>
        <w:pStyle w:val="7"/>
        <w:numPr>
          <w:ilvl w:val="0"/>
          <w:numId w:val="0"/>
        </w:numPr>
        <w:ind w:leftChars="0" w:firstLine="640" w:firstLineChars="200"/>
        <w:rPr>
          <w:rFonts w:hint="eastAsia" w:ascii="仿宋_GB2312" w:hAnsi="黑体" w:eastAsia="仿宋_GB2312"/>
          <w:sz w:val="32"/>
          <w:szCs w:val="32"/>
        </w:rPr>
      </w:pPr>
      <w:r>
        <w:rPr>
          <w:rFonts w:hint="eastAsia" w:ascii="黑体" w:hAnsi="黑体" w:eastAsia="黑体"/>
          <w:sz w:val="32"/>
          <w:szCs w:val="32"/>
          <w:lang w:eastAsia="zh-CN"/>
        </w:rPr>
        <w:t>一、</w:t>
      </w:r>
      <w:r>
        <w:rPr>
          <w:rFonts w:ascii="黑体" w:hAnsi="黑体" w:eastAsia="黑体"/>
          <w:sz w:val="32"/>
          <w:szCs w:val="32"/>
        </w:rPr>
        <w:t>总体情况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今年以来，我机关积极贯彻执行《中华人民共和国政府信息公开条例》、《广东省政务公开条例》、《韶关市政府信息公开办法》，认真落实省、市、区关于政务、政府信息公开的部署和要求，落实责任，强化措施，突出重点，大力推进政务、政府信息公开工作深入开展。截至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年底，政府信息公开工作运行正常。</w:t>
      </w:r>
    </w:p>
    <w:p>
      <w:pPr>
        <w:numPr>
          <w:ilvl w:val="0"/>
          <w:numId w:val="1"/>
        </w:num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基本情况</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年度共主动公开政府信</w:t>
      </w:r>
      <w:r>
        <w:rPr>
          <w:rFonts w:hint="eastAsia" w:ascii="仿宋_GB2312" w:hAnsi="黑体" w:eastAsia="仿宋_GB2312"/>
          <w:sz w:val="32"/>
          <w:szCs w:val="32"/>
          <w:lang w:val="en-US" w:eastAsia="zh-CN"/>
        </w:rPr>
        <w:t>120</w:t>
      </w:r>
      <w:r>
        <w:rPr>
          <w:rFonts w:hint="eastAsia" w:ascii="仿宋_GB2312" w:hAnsi="黑体" w:eastAsia="仿宋_GB2312"/>
          <w:sz w:val="32"/>
          <w:szCs w:val="32"/>
        </w:rPr>
        <w:t>条，其中全文电子化达100%。在主动公开的信息中，</w:t>
      </w:r>
      <w:r>
        <w:rPr>
          <w:rFonts w:hint="eastAsia" w:ascii="仿宋_GB2312" w:hAnsi="黑体" w:eastAsia="仿宋_GB2312"/>
          <w:sz w:val="32"/>
          <w:szCs w:val="32"/>
          <w:lang w:eastAsia="zh-CN"/>
        </w:rPr>
        <w:t>规章、规范性文件</w:t>
      </w:r>
      <w:r>
        <w:rPr>
          <w:rFonts w:hint="eastAsia" w:ascii="仿宋_GB2312" w:hAnsi="黑体" w:eastAsia="仿宋_GB2312"/>
          <w:sz w:val="32"/>
          <w:szCs w:val="32"/>
          <w:lang w:val="en-US" w:eastAsia="zh-CN"/>
        </w:rPr>
        <w:t>49条，占40.83%；许可性信息28条，占23.33%；</w:t>
      </w:r>
      <w:r>
        <w:rPr>
          <w:rFonts w:hint="eastAsia" w:ascii="仿宋_GB2312" w:hAnsi="黑体" w:eastAsia="仿宋_GB2312"/>
          <w:sz w:val="32"/>
          <w:szCs w:val="32"/>
        </w:rPr>
        <w:t>组织机构类的信息</w:t>
      </w:r>
      <w:r>
        <w:rPr>
          <w:rFonts w:hint="eastAsia" w:ascii="仿宋_GB2312" w:hAnsi="黑体" w:eastAsia="仿宋_GB2312"/>
          <w:sz w:val="32"/>
          <w:szCs w:val="32"/>
          <w:lang w:val="en-US" w:eastAsia="zh-CN"/>
        </w:rPr>
        <w:t>3</w:t>
      </w:r>
      <w:r>
        <w:rPr>
          <w:rFonts w:hint="eastAsia" w:ascii="仿宋_GB2312" w:hAnsi="黑体" w:eastAsia="仿宋_GB2312"/>
          <w:sz w:val="32"/>
          <w:szCs w:val="32"/>
        </w:rPr>
        <w:t>条，占</w:t>
      </w:r>
      <w:r>
        <w:rPr>
          <w:rFonts w:hint="eastAsia" w:ascii="仿宋_GB2312" w:hAnsi="黑体" w:eastAsia="仿宋_GB2312"/>
          <w:sz w:val="32"/>
          <w:szCs w:val="32"/>
          <w:lang w:val="en-US" w:eastAsia="zh-CN"/>
        </w:rPr>
        <w:t>2.5</w:t>
      </w:r>
      <w:r>
        <w:rPr>
          <w:rFonts w:hint="eastAsia" w:ascii="仿宋_GB2312" w:hAnsi="黑体" w:eastAsia="仿宋_GB2312"/>
          <w:sz w:val="32"/>
          <w:szCs w:val="32"/>
        </w:rPr>
        <w:t>%；政务（工作）动态类信息</w:t>
      </w:r>
      <w:r>
        <w:rPr>
          <w:rFonts w:hint="eastAsia" w:ascii="仿宋_GB2312" w:hAnsi="黑体" w:eastAsia="仿宋_GB2312"/>
          <w:sz w:val="32"/>
          <w:szCs w:val="32"/>
          <w:lang w:val="en-US" w:eastAsia="zh-CN"/>
        </w:rPr>
        <w:t>30</w:t>
      </w:r>
      <w:r>
        <w:rPr>
          <w:rFonts w:hint="eastAsia" w:ascii="仿宋_GB2312" w:hAnsi="黑体" w:eastAsia="仿宋_GB2312"/>
          <w:sz w:val="32"/>
          <w:szCs w:val="32"/>
        </w:rPr>
        <w:t>条，占</w:t>
      </w:r>
      <w:r>
        <w:rPr>
          <w:rFonts w:hint="eastAsia" w:ascii="仿宋_GB2312" w:hAnsi="黑体" w:eastAsia="仿宋_GB2312"/>
          <w:sz w:val="32"/>
          <w:szCs w:val="32"/>
          <w:lang w:val="en-US" w:eastAsia="zh-CN"/>
        </w:rPr>
        <w:t>25</w:t>
      </w:r>
      <w:r>
        <w:rPr>
          <w:rFonts w:hint="eastAsia" w:ascii="仿宋_GB2312" w:hAnsi="黑体" w:eastAsia="仿宋_GB2312"/>
          <w:sz w:val="32"/>
          <w:szCs w:val="32"/>
        </w:rPr>
        <w:t>%；政府信息公开工作年度报告1条，占</w:t>
      </w:r>
      <w:r>
        <w:rPr>
          <w:rFonts w:hint="eastAsia" w:ascii="仿宋_GB2312" w:hAnsi="黑体" w:eastAsia="仿宋_GB2312"/>
          <w:sz w:val="32"/>
          <w:szCs w:val="32"/>
          <w:lang w:val="en-US" w:eastAsia="zh-CN"/>
        </w:rPr>
        <w:t>0.84</w:t>
      </w:r>
      <w:r>
        <w:rPr>
          <w:rFonts w:hint="eastAsia" w:ascii="仿宋_GB2312" w:hAnsi="黑体" w:eastAsia="仿宋_GB2312"/>
          <w:sz w:val="32"/>
          <w:szCs w:val="32"/>
        </w:rPr>
        <w:t>%；</w:t>
      </w:r>
      <w:r>
        <w:rPr>
          <w:rFonts w:hint="eastAsia" w:ascii="仿宋_GB2312" w:hAnsi="黑体" w:eastAsia="仿宋_GB2312"/>
          <w:sz w:val="32"/>
          <w:szCs w:val="32"/>
          <w:lang w:eastAsia="zh-CN"/>
        </w:rPr>
        <w:t>统计信息</w:t>
      </w:r>
      <w:r>
        <w:rPr>
          <w:rFonts w:hint="eastAsia" w:ascii="仿宋_GB2312" w:hAnsi="黑体" w:eastAsia="仿宋_GB2312"/>
          <w:sz w:val="32"/>
          <w:szCs w:val="32"/>
          <w:lang w:val="en-US" w:eastAsia="zh-CN"/>
        </w:rPr>
        <w:t>2条，占1.66%；决算信息1条，占0.84%；其他对外管理信息6条，占5%</w:t>
      </w:r>
      <w:r>
        <w:rPr>
          <w:rFonts w:hint="eastAsia" w:ascii="仿宋_GB2312" w:hAnsi="黑体"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（二）公开形式</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w:t>
      </w:r>
      <w:r>
        <w:rPr>
          <w:rFonts w:hint="eastAsia" w:ascii="仿宋_GB2312" w:hAnsi="黑体" w:eastAsia="仿宋_GB2312"/>
          <w:sz w:val="32"/>
          <w:szCs w:val="32"/>
        </w:rPr>
        <w:t>在主动公开信息工作中，为方便公众了解信息，我局采用主动公开政府信息的形式包括报纸、微信、网站、电视等公共媒体，其中微信是最常用的形式和最受欢迎的形式，市民可以查阅我局主动公开的政府信息。</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w:t>
      </w:r>
      <w:r>
        <w:rPr>
          <w:rFonts w:hint="eastAsia" w:ascii="仿宋_GB2312" w:hAnsi="黑体" w:eastAsia="仿宋_GB2312"/>
          <w:sz w:val="32"/>
          <w:szCs w:val="32"/>
        </w:rPr>
        <w:t>我局设立了信息公开查阅室。制定了统一受理、统一办理、规范服务的工作流程，为公众了解信息提供便利。</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sz w:val="32"/>
          <w:szCs w:val="32"/>
          <w:lang w:val="en-US" w:eastAsia="zh-CN"/>
        </w:rPr>
        <w:t>.</w:t>
      </w:r>
      <w:r>
        <w:rPr>
          <w:rFonts w:hint="eastAsia" w:ascii="仿宋_GB2312" w:hAnsi="黑体" w:eastAsia="仿宋_GB2312"/>
          <w:sz w:val="32"/>
          <w:szCs w:val="32"/>
        </w:rPr>
        <w:t>通过政府公报以及报纸、电视、广播、杂志等媒体发布部分主动公开的政府信息。</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在便民服务方面，按照规范统一的要求，</w:t>
      </w:r>
      <w:r>
        <w:rPr>
          <w:rFonts w:hint="eastAsia" w:ascii="仿宋_GB2312" w:hAnsi="黑体" w:eastAsia="仿宋_GB2312"/>
          <w:sz w:val="32"/>
          <w:szCs w:val="32"/>
          <w:lang w:eastAsia="zh-CN"/>
        </w:rPr>
        <w:t>印</w:t>
      </w:r>
      <w:r>
        <w:rPr>
          <w:rFonts w:hint="eastAsia" w:ascii="仿宋_GB2312" w:hAnsi="黑体" w:eastAsia="仿宋_GB2312"/>
          <w:sz w:val="32"/>
          <w:szCs w:val="32"/>
        </w:rPr>
        <w:t>制了《韶关市武江区卫生</w:t>
      </w:r>
      <w:r>
        <w:rPr>
          <w:rFonts w:hint="eastAsia" w:ascii="仿宋_GB2312" w:hAnsi="黑体" w:eastAsia="仿宋_GB2312"/>
          <w:sz w:val="32"/>
          <w:szCs w:val="32"/>
          <w:lang w:eastAsia="zh-CN"/>
        </w:rPr>
        <w:t>健康</w:t>
      </w:r>
      <w:r>
        <w:rPr>
          <w:rFonts w:hint="eastAsia" w:ascii="仿宋_GB2312" w:hAnsi="黑体" w:eastAsia="仿宋_GB2312"/>
          <w:sz w:val="32"/>
          <w:szCs w:val="32"/>
        </w:rPr>
        <w:t>局</w:t>
      </w:r>
      <w:r>
        <w:rPr>
          <w:rFonts w:hint="eastAsia" w:ascii="仿宋_GB2312" w:hAnsi="黑体" w:eastAsia="仿宋_GB2312"/>
          <w:sz w:val="32"/>
          <w:szCs w:val="32"/>
          <w:lang w:eastAsia="zh-CN"/>
        </w:rPr>
        <w:t>便民服务手册</w:t>
      </w:r>
      <w:r>
        <w:rPr>
          <w:rFonts w:hint="eastAsia" w:ascii="仿宋_GB2312" w:hAnsi="黑体" w:eastAsia="仿宋_GB2312"/>
          <w:sz w:val="32"/>
          <w:szCs w:val="32"/>
        </w:rPr>
        <w:t>》等相关</w:t>
      </w:r>
      <w:r>
        <w:rPr>
          <w:rFonts w:hint="eastAsia" w:ascii="仿宋_GB2312" w:hAnsi="黑体" w:eastAsia="仿宋_GB2312"/>
          <w:sz w:val="32"/>
          <w:szCs w:val="32"/>
          <w:lang w:eastAsia="zh-CN"/>
        </w:rPr>
        <w:t>资料</w:t>
      </w:r>
      <w:r>
        <w:rPr>
          <w:rFonts w:hint="eastAsia" w:ascii="仿宋_GB2312" w:hAnsi="黑体"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依申请公开政府信息情况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年度未收到任何形式的申请公开信息要求。</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咨询处理情况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年度未收到任何形式的有关信息公开方面的咨询。</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行政复议、诉讼和申诉情况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年度未接到有关政府信息公开方面的复议、诉讼和申诉。</w:t>
      </w:r>
    </w:p>
    <w:p>
      <w:pPr>
        <w:ind w:firstLine="640" w:firstLineChars="200"/>
        <w:rPr>
          <w:rFonts w:hint="eastAsia" w:ascii="仿宋_GB2312" w:hAnsi="黑体" w:eastAsia="仿宋_GB2312"/>
          <w:sz w:val="32"/>
          <w:szCs w:val="32"/>
        </w:rPr>
      </w:pPr>
    </w:p>
    <w:p>
      <w:pPr>
        <w:pStyle w:val="7"/>
        <w:numPr>
          <w:ilvl w:val="0"/>
          <w:numId w:val="0"/>
        </w:numPr>
        <w:ind w:leftChars="0" w:firstLine="640" w:firstLineChars="200"/>
        <w:rPr>
          <w:rFonts w:ascii="黑体" w:hAnsi="黑体" w:eastAsia="黑体"/>
          <w:sz w:val="32"/>
          <w:szCs w:val="32"/>
        </w:rPr>
      </w:pPr>
      <w:r>
        <w:rPr>
          <w:rFonts w:hint="eastAsia" w:ascii="黑体" w:hAnsi="黑体" w:eastAsia="黑体"/>
          <w:sz w:val="32"/>
          <w:szCs w:val="32"/>
          <w:lang w:eastAsia="zh-CN"/>
        </w:rPr>
        <w:t>二、</w:t>
      </w:r>
      <w:r>
        <w:rPr>
          <w:rFonts w:ascii="黑体" w:hAnsi="黑体" w:eastAsia="黑体"/>
          <w:sz w:val="32"/>
          <w:szCs w:val="32"/>
        </w:rPr>
        <w:t>主动公开政府信息情况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2208"/>
        <w:gridCol w:w="220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w:t>
            </w:r>
            <w:r>
              <w:rPr>
                <w:rFonts w:ascii="黑体" w:hAnsi="黑体" w:eastAsia="黑体"/>
                <w:sz w:val="28"/>
                <w:szCs w:val="28"/>
              </w:rPr>
              <w:t>年新制作</w:t>
            </w:r>
            <w:r>
              <w:rPr>
                <w:rFonts w:hint="eastAsia" w:ascii="黑体" w:hAnsi="黑体" w:eastAsia="黑体"/>
                <w:sz w:val="28"/>
                <w:szCs w:val="28"/>
              </w:rPr>
              <w:t>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本年</w:t>
            </w:r>
            <w:r>
              <w:rPr>
                <w:rFonts w:ascii="黑体" w:hAnsi="黑体" w:eastAsia="黑体"/>
                <w:sz w:val="28"/>
                <w:szCs w:val="28"/>
              </w:rPr>
              <w:t>新公开数量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对外</w:t>
            </w:r>
            <w:r>
              <w:rPr>
                <w:rFonts w:ascii="黑体" w:hAnsi="黑体" w:eastAsia="黑体"/>
                <w:sz w:val="28"/>
                <w:szCs w:val="28"/>
              </w:rPr>
              <w:t>公开总</w:t>
            </w:r>
            <w:r>
              <w:rPr>
                <w:rFonts w:hint="eastAsia" w:ascii="黑体" w:hAnsi="黑体"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规章</w:t>
            </w:r>
          </w:p>
        </w:tc>
        <w:tc>
          <w:tcPr>
            <w:tcW w:w="2208"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47</w:t>
            </w:r>
          </w:p>
        </w:tc>
        <w:tc>
          <w:tcPr>
            <w:tcW w:w="2209"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47</w:t>
            </w:r>
          </w:p>
        </w:tc>
        <w:tc>
          <w:tcPr>
            <w:tcW w:w="2209"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规范</w:t>
            </w:r>
            <w:r>
              <w:rPr>
                <w:rFonts w:ascii="黑体" w:hAnsi="黑体" w:eastAsia="黑体"/>
                <w:sz w:val="28"/>
                <w:szCs w:val="28"/>
              </w:rPr>
              <w:t>性文件</w:t>
            </w:r>
          </w:p>
        </w:tc>
        <w:tc>
          <w:tcPr>
            <w:tcW w:w="2208"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2</w:t>
            </w:r>
          </w:p>
        </w:tc>
        <w:tc>
          <w:tcPr>
            <w:tcW w:w="2209"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2</w:t>
            </w:r>
          </w:p>
        </w:tc>
        <w:tc>
          <w:tcPr>
            <w:tcW w:w="2209"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w:t>
            </w:r>
            <w:r>
              <w:rPr>
                <w:rFonts w:hint="eastAsia" w:ascii="黑体" w:hAnsi="黑体" w:eastAsia="黑体"/>
                <w:sz w:val="28"/>
                <w:szCs w:val="28"/>
                <w:lang w:eastAsia="zh-CN"/>
              </w:rPr>
              <w:t>十</w:t>
            </w:r>
            <w:r>
              <w:rPr>
                <w:rFonts w:ascii="黑体" w:hAnsi="黑体" w:eastAsia="黑体"/>
                <w:sz w:val="28"/>
                <w:szCs w:val="28"/>
              </w:rPr>
              <w:t>条第（</w:t>
            </w:r>
            <w:r>
              <w:rPr>
                <w:rFonts w:hint="eastAsia" w:ascii="黑体" w:hAnsi="黑体" w:eastAsia="黑体"/>
                <w:sz w:val="28"/>
                <w:szCs w:val="28"/>
              </w:rPr>
              <w:t>五</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上年</w:t>
            </w:r>
            <w:r>
              <w:rPr>
                <w:rFonts w:ascii="黑体" w:hAnsi="黑体" w:eastAsia="黑体"/>
                <w:sz w:val="28"/>
                <w:szCs w:val="28"/>
              </w:rPr>
              <w:t>项目</w:t>
            </w:r>
            <w:r>
              <w:rPr>
                <w:rFonts w:hint="eastAsia" w:ascii="黑体" w:hAnsi="黑体" w:eastAsia="黑体"/>
                <w:sz w:val="28"/>
                <w:szCs w:val="28"/>
              </w:rPr>
              <w:t>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本年增/减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处理</w:t>
            </w:r>
            <w:r>
              <w:rPr>
                <w:rFonts w:ascii="黑体" w:hAnsi="黑体" w:eastAsia="黑体"/>
                <w:sz w:val="28"/>
                <w:szCs w:val="28"/>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许可</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eastAsia="zh-CN"/>
              </w:rPr>
              <w:t>本年度增</w:t>
            </w:r>
            <w:r>
              <w:rPr>
                <w:rFonts w:hint="eastAsia" w:ascii="黑体" w:hAnsi="黑体" w:eastAsia="黑体"/>
                <w:sz w:val="28"/>
                <w:szCs w:val="28"/>
                <w:lang w:val="en-US" w:eastAsia="zh-CN"/>
              </w:rPr>
              <w:t>28</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其他</w:t>
            </w:r>
            <w:r>
              <w:rPr>
                <w:rFonts w:ascii="黑体" w:hAnsi="黑体" w:eastAsia="黑体"/>
                <w:sz w:val="28"/>
                <w:szCs w:val="28"/>
              </w:rPr>
              <w:t>对外管理服务事项</w:t>
            </w:r>
          </w:p>
        </w:tc>
        <w:tc>
          <w:tcPr>
            <w:tcW w:w="2208"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1</w:t>
            </w:r>
          </w:p>
        </w:tc>
        <w:tc>
          <w:tcPr>
            <w:tcW w:w="2209"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本年度增5</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上年</w:t>
            </w:r>
            <w:r>
              <w:rPr>
                <w:rFonts w:ascii="黑体" w:hAnsi="黑体" w:eastAsia="黑体"/>
                <w:sz w:val="28"/>
                <w:szCs w:val="28"/>
              </w:rPr>
              <w:t>项目</w:t>
            </w:r>
            <w:r>
              <w:rPr>
                <w:rFonts w:hint="eastAsia" w:ascii="黑体" w:hAnsi="黑体" w:eastAsia="黑体"/>
                <w:sz w:val="28"/>
                <w:szCs w:val="28"/>
              </w:rPr>
              <w:t>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本年增/减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处理</w:t>
            </w:r>
            <w:r>
              <w:rPr>
                <w:rFonts w:ascii="黑体" w:hAnsi="黑体" w:eastAsia="黑体"/>
                <w:sz w:val="28"/>
                <w:szCs w:val="28"/>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处罚</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default" w:ascii="黑体" w:hAnsi="黑体" w:eastAsia="黑体"/>
                <w:sz w:val="28"/>
                <w:szCs w:val="28"/>
                <w:lang w:val="en-US" w:eastAsia="zh-CN"/>
              </w:rPr>
            </w:pPr>
            <w:r>
              <w:rPr>
                <w:rFonts w:hint="eastAsia" w:ascii="黑体" w:hAnsi="黑体" w:eastAsia="黑体"/>
                <w:sz w:val="28"/>
                <w:szCs w:val="28"/>
                <w:lang w:val="en-US" w:eastAsia="zh-CN"/>
              </w:rPr>
              <w:t>本年度增22</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强制</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八</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信息内容</w:t>
            </w:r>
          </w:p>
        </w:tc>
        <w:tc>
          <w:tcPr>
            <w:tcW w:w="4417" w:type="dxa"/>
            <w:gridSpan w:val="2"/>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上</w:t>
            </w:r>
            <w:r>
              <w:rPr>
                <w:rFonts w:ascii="黑体" w:hAnsi="黑体" w:eastAsia="黑体"/>
                <w:sz w:val="28"/>
                <w:szCs w:val="28"/>
              </w:rPr>
              <w:t>一年项目数量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本年</w:t>
            </w:r>
            <w:r>
              <w:rPr>
                <w:rFonts w:ascii="黑体" w:hAnsi="黑体" w:eastAsia="黑体"/>
                <w:sz w:val="28"/>
                <w:szCs w:val="28"/>
              </w:rPr>
              <w:t>增</w:t>
            </w:r>
            <w:r>
              <w:rPr>
                <w:rFonts w:hint="eastAsia" w:ascii="黑体" w:hAnsi="黑体" w:eastAsia="黑体"/>
                <w:sz w:val="28"/>
                <w:szCs w:val="28"/>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事业性收费</w:t>
            </w:r>
          </w:p>
        </w:tc>
        <w:tc>
          <w:tcPr>
            <w:tcW w:w="4417" w:type="dxa"/>
            <w:gridSpan w:val="2"/>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九</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信息内容</w:t>
            </w:r>
          </w:p>
        </w:tc>
        <w:tc>
          <w:tcPr>
            <w:tcW w:w="4417" w:type="dxa"/>
            <w:gridSpan w:val="2"/>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采购</w:t>
            </w:r>
            <w:r>
              <w:rPr>
                <w:rFonts w:ascii="黑体" w:hAnsi="黑体" w:eastAsia="黑体"/>
                <w:sz w:val="28"/>
                <w:szCs w:val="28"/>
              </w:rPr>
              <w:t>项目数量</w:t>
            </w:r>
          </w:p>
        </w:tc>
        <w:tc>
          <w:tcPr>
            <w:tcW w:w="2209" w:type="dxa"/>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采购</w:t>
            </w:r>
            <w:r>
              <w:rPr>
                <w:rFonts w:ascii="黑体" w:hAnsi="黑体" w:eastAsia="黑体"/>
                <w:sz w:val="28"/>
                <w:szCs w:val="28"/>
              </w:rPr>
              <w:t>总</w:t>
            </w:r>
            <w:r>
              <w:rPr>
                <w:rFonts w:hint="eastAsia" w:ascii="黑体" w:hAnsi="黑体" w:eastAsia="黑体"/>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政府</w:t>
            </w:r>
            <w:r>
              <w:rPr>
                <w:rFonts w:ascii="黑体" w:hAnsi="黑体" w:eastAsia="黑体"/>
                <w:sz w:val="28"/>
                <w:szCs w:val="28"/>
              </w:rPr>
              <w:t>集中采购</w:t>
            </w:r>
          </w:p>
        </w:tc>
        <w:tc>
          <w:tcPr>
            <w:tcW w:w="4417" w:type="dxa"/>
            <w:gridSpan w:val="2"/>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bl>
    <w:p>
      <w:pPr>
        <w:pStyle w:val="7"/>
        <w:numPr>
          <w:ilvl w:val="0"/>
          <w:numId w:val="0"/>
        </w:numPr>
        <w:ind w:leftChars="0"/>
        <w:rPr>
          <w:rFonts w:ascii="黑体" w:hAnsi="黑体" w:eastAsia="黑体"/>
          <w:sz w:val="32"/>
          <w:szCs w:val="32"/>
        </w:rPr>
      </w:pPr>
    </w:p>
    <w:p>
      <w:pPr>
        <w:pStyle w:val="7"/>
        <w:numPr>
          <w:ilvl w:val="0"/>
          <w:numId w:val="0"/>
        </w:numPr>
        <w:ind w:leftChars="0" w:firstLine="320" w:firstLineChars="100"/>
        <w:rPr>
          <w:rFonts w:ascii="黑体" w:hAnsi="黑体" w:eastAsia="黑体"/>
          <w:sz w:val="32"/>
          <w:szCs w:val="32"/>
        </w:rPr>
      </w:pPr>
      <w:r>
        <w:rPr>
          <w:rFonts w:hint="eastAsia" w:ascii="黑体" w:hAnsi="黑体" w:eastAsia="黑体"/>
          <w:sz w:val="32"/>
          <w:szCs w:val="32"/>
          <w:lang w:eastAsia="zh-CN"/>
        </w:rPr>
        <w:t>三、</w:t>
      </w:r>
      <w:r>
        <w:rPr>
          <w:rFonts w:ascii="黑体" w:hAnsi="黑体" w:eastAsia="黑体"/>
          <w:sz w:val="32"/>
          <w:szCs w:val="32"/>
        </w:rPr>
        <w:t>收到和处理政府信息公开申请情况</w:t>
      </w:r>
    </w:p>
    <w:tbl>
      <w:tblPr>
        <w:tblStyle w:val="5"/>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846"/>
        <w:gridCol w:w="2637"/>
        <w:gridCol w:w="850"/>
        <w:gridCol w:w="709"/>
        <w:gridCol w:w="709"/>
        <w:gridCol w:w="850"/>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restart"/>
          </w:tcPr>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r>
              <w:rPr>
                <w:rFonts w:hint="eastAsia" w:ascii="黑体" w:hAnsi="黑体" w:eastAsia="黑体"/>
                <w:szCs w:val="21"/>
              </w:rPr>
              <w:t>本</w:t>
            </w:r>
            <w:r>
              <w:rPr>
                <w:rFonts w:ascii="黑体" w:hAnsi="黑体" w:eastAsia="黑体"/>
                <w:szCs w:val="21"/>
              </w:rPr>
              <w:t>列数据的勾稽关系为：第一项加第二项之和，等于第三项加第四项之和</w:t>
            </w:r>
          </w:p>
        </w:tc>
        <w:tc>
          <w:tcPr>
            <w:tcW w:w="5245" w:type="dxa"/>
            <w:gridSpan w:val="7"/>
          </w:tcPr>
          <w:p>
            <w:pPr>
              <w:pStyle w:val="7"/>
              <w:spacing w:line="240" w:lineRule="auto"/>
              <w:ind w:firstLine="0" w:firstLineChars="0"/>
              <w:jc w:val="center"/>
              <w:rPr>
                <w:rFonts w:ascii="黑体" w:hAnsi="黑体" w:eastAsia="黑体"/>
                <w:szCs w:val="21"/>
              </w:rPr>
            </w:pPr>
            <w:r>
              <w:rPr>
                <w:rFonts w:hint="eastAsia" w:ascii="黑体" w:hAnsi="黑体" w:eastAsia="黑体"/>
                <w:szCs w:val="21"/>
              </w:rPr>
              <w:t>申请</w:t>
            </w:r>
            <w:r>
              <w:rPr>
                <w:rFonts w:ascii="黑体" w:hAnsi="黑体" w:eastAsia="黑体"/>
                <w:szCs w:val="21"/>
              </w:rPr>
              <w:t>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continue"/>
          </w:tcPr>
          <w:p>
            <w:pPr>
              <w:pStyle w:val="7"/>
              <w:spacing w:line="240" w:lineRule="auto"/>
              <w:ind w:firstLine="0" w:firstLineChars="0"/>
              <w:rPr>
                <w:rFonts w:ascii="黑体" w:hAnsi="黑体" w:eastAsia="黑体"/>
                <w:sz w:val="32"/>
                <w:szCs w:val="32"/>
              </w:rPr>
            </w:pPr>
          </w:p>
        </w:tc>
        <w:tc>
          <w:tcPr>
            <w:tcW w:w="850" w:type="dxa"/>
            <w:vMerge w:val="restart"/>
          </w:tcPr>
          <w:p>
            <w:pPr>
              <w:pStyle w:val="7"/>
              <w:spacing w:line="240" w:lineRule="auto"/>
              <w:ind w:firstLine="0" w:firstLineChars="0"/>
              <w:rPr>
                <w:rFonts w:ascii="黑体" w:hAnsi="黑体" w:eastAsia="黑体"/>
                <w:szCs w:val="21"/>
              </w:rPr>
            </w:pPr>
            <w:r>
              <w:rPr>
                <w:rFonts w:hint="eastAsia" w:ascii="黑体" w:hAnsi="黑体" w:eastAsia="黑体"/>
                <w:szCs w:val="21"/>
              </w:rPr>
              <w:t>自然人</w:t>
            </w:r>
          </w:p>
        </w:tc>
        <w:tc>
          <w:tcPr>
            <w:tcW w:w="3686" w:type="dxa"/>
            <w:gridSpan w:val="5"/>
          </w:tcPr>
          <w:p>
            <w:pPr>
              <w:pStyle w:val="7"/>
              <w:spacing w:line="240" w:lineRule="auto"/>
              <w:ind w:firstLine="0" w:firstLineChars="0"/>
              <w:jc w:val="center"/>
              <w:rPr>
                <w:rFonts w:ascii="黑体" w:hAnsi="黑体" w:eastAsia="黑体"/>
                <w:szCs w:val="21"/>
              </w:rPr>
            </w:pPr>
            <w:r>
              <w:rPr>
                <w:rFonts w:hint="eastAsia" w:ascii="黑体" w:hAnsi="黑体" w:eastAsia="黑体"/>
                <w:szCs w:val="21"/>
              </w:rPr>
              <w:t>法人</w:t>
            </w:r>
            <w:r>
              <w:rPr>
                <w:rFonts w:ascii="黑体" w:hAnsi="黑体" w:eastAsia="黑体"/>
                <w:szCs w:val="21"/>
              </w:rPr>
              <w:t>或其它组织</w:t>
            </w:r>
          </w:p>
        </w:tc>
        <w:tc>
          <w:tcPr>
            <w:tcW w:w="709" w:type="dxa"/>
            <w:vMerge w:val="restart"/>
          </w:tcPr>
          <w:p>
            <w:pPr>
              <w:pStyle w:val="7"/>
              <w:spacing w:line="240" w:lineRule="auto"/>
              <w:ind w:firstLine="0" w:firstLineChars="0"/>
              <w:rPr>
                <w:rFonts w:ascii="黑体" w:hAnsi="黑体" w:eastAsia="黑体"/>
                <w:szCs w:val="21"/>
              </w:rPr>
            </w:pPr>
            <w:r>
              <w:rPr>
                <w:rFonts w:hint="eastAsia" w:ascii="黑体" w:hAnsi="黑体" w:eastAsia="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continue"/>
          </w:tcPr>
          <w:p>
            <w:pPr>
              <w:pStyle w:val="7"/>
              <w:spacing w:line="240" w:lineRule="auto"/>
              <w:ind w:firstLine="0" w:firstLineChars="0"/>
              <w:rPr>
                <w:rFonts w:ascii="黑体" w:hAnsi="黑体" w:eastAsia="黑体"/>
                <w:sz w:val="32"/>
                <w:szCs w:val="32"/>
              </w:rPr>
            </w:pPr>
          </w:p>
        </w:tc>
        <w:tc>
          <w:tcPr>
            <w:tcW w:w="850" w:type="dxa"/>
            <w:vMerge w:val="continue"/>
          </w:tcPr>
          <w:p>
            <w:pPr>
              <w:pStyle w:val="7"/>
              <w:spacing w:line="240" w:lineRule="auto"/>
              <w:ind w:firstLine="0" w:firstLineChars="0"/>
              <w:rPr>
                <w:rFonts w:ascii="黑体" w:hAnsi="黑体" w:eastAsia="黑体"/>
                <w:sz w:val="32"/>
                <w:szCs w:val="32"/>
              </w:rPr>
            </w:pPr>
          </w:p>
        </w:tc>
        <w:tc>
          <w:tcPr>
            <w:tcW w:w="709" w:type="dxa"/>
          </w:tcPr>
          <w:p>
            <w:pPr>
              <w:pStyle w:val="7"/>
              <w:spacing w:line="240" w:lineRule="auto"/>
              <w:ind w:firstLine="0" w:firstLineChars="0"/>
              <w:rPr>
                <w:rFonts w:ascii="黑体" w:hAnsi="黑体" w:eastAsia="黑体"/>
                <w:szCs w:val="21"/>
              </w:rPr>
            </w:pPr>
            <w:r>
              <w:rPr>
                <w:rFonts w:hint="eastAsia" w:ascii="黑体" w:hAnsi="黑体" w:eastAsia="黑体"/>
                <w:szCs w:val="21"/>
              </w:rPr>
              <w:t>商业</w:t>
            </w:r>
            <w:r>
              <w:rPr>
                <w:rFonts w:ascii="黑体" w:hAnsi="黑体" w:eastAsia="黑体"/>
                <w:szCs w:val="21"/>
              </w:rPr>
              <w:t>企业</w:t>
            </w:r>
          </w:p>
        </w:tc>
        <w:tc>
          <w:tcPr>
            <w:tcW w:w="709" w:type="dxa"/>
          </w:tcPr>
          <w:p>
            <w:pPr>
              <w:pStyle w:val="7"/>
              <w:spacing w:line="240" w:lineRule="auto"/>
              <w:ind w:firstLine="0" w:firstLineChars="0"/>
              <w:rPr>
                <w:rFonts w:ascii="黑体" w:hAnsi="黑体" w:eastAsia="黑体"/>
                <w:szCs w:val="21"/>
              </w:rPr>
            </w:pPr>
            <w:r>
              <w:rPr>
                <w:rFonts w:hint="eastAsia" w:ascii="黑体" w:hAnsi="黑体" w:eastAsia="黑体"/>
                <w:szCs w:val="21"/>
              </w:rPr>
              <w:t>科研</w:t>
            </w:r>
            <w:r>
              <w:rPr>
                <w:rFonts w:ascii="黑体" w:hAnsi="黑体" w:eastAsia="黑体"/>
                <w:szCs w:val="21"/>
              </w:rPr>
              <w:t>机构</w:t>
            </w:r>
          </w:p>
        </w:tc>
        <w:tc>
          <w:tcPr>
            <w:tcW w:w="850" w:type="dxa"/>
          </w:tcPr>
          <w:p>
            <w:pPr>
              <w:pStyle w:val="7"/>
              <w:spacing w:line="240" w:lineRule="auto"/>
              <w:ind w:firstLine="0" w:firstLineChars="0"/>
              <w:rPr>
                <w:rFonts w:ascii="黑体" w:hAnsi="黑体" w:eastAsia="黑体"/>
                <w:szCs w:val="21"/>
              </w:rPr>
            </w:pPr>
            <w:r>
              <w:rPr>
                <w:rFonts w:hint="eastAsia" w:ascii="黑体" w:hAnsi="黑体" w:eastAsia="黑体"/>
                <w:szCs w:val="21"/>
              </w:rPr>
              <w:t>社会</w:t>
            </w:r>
            <w:r>
              <w:rPr>
                <w:rFonts w:ascii="黑体" w:hAnsi="黑体" w:eastAsia="黑体"/>
                <w:szCs w:val="21"/>
              </w:rPr>
              <w:t>公益组织</w:t>
            </w:r>
          </w:p>
        </w:tc>
        <w:tc>
          <w:tcPr>
            <w:tcW w:w="851" w:type="dxa"/>
          </w:tcPr>
          <w:p>
            <w:pPr>
              <w:pStyle w:val="7"/>
              <w:spacing w:line="240" w:lineRule="auto"/>
              <w:ind w:firstLine="0" w:firstLineChars="0"/>
              <w:rPr>
                <w:rFonts w:ascii="黑体" w:hAnsi="黑体" w:eastAsia="黑体"/>
                <w:szCs w:val="21"/>
              </w:rPr>
            </w:pPr>
            <w:r>
              <w:rPr>
                <w:rFonts w:hint="eastAsia" w:ascii="黑体" w:hAnsi="黑体" w:eastAsia="黑体"/>
                <w:szCs w:val="21"/>
              </w:rPr>
              <w:t>法律</w:t>
            </w:r>
            <w:r>
              <w:rPr>
                <w:rFonts w:ascii="黑体" w:hAnsi="黑体" w:eastAsia="黑体"/>
                <w:szCs w:val="21"/>
              </w:rPr>
              <w:t>服务机构</w:t>
            </w:r>
          </w:p>
        </w:tc>
        <w:tc>
          <w:tcPr>
            <w:tcW w:w="567" w:type="dxa"/>
          </w:tcPr>
          <w:p>
            <w:pPr>
              <w:pStyle w:val="7"/>
              <w:spacing w:line="240" w:lineRule="auto"/>
              <w:ind w:firstLine="0" w:firstLineChars="0"/>
              <w:rPr>
                <w:rFonts w:ascii="黑体" w:hAnsi="黑体" w:eastAsia="黑体"/>
                <w:szCs w:val="21"/>
              </w:rPr>
            </w:pPr>
            <w:r>
              <w:rPr>
                <w:rFonts w:hint="eastAsia" w:ascii="黑体" w:hAnsi="黑体" w:eastAsia="黑体"/>
                <w:szCs w:val="21"/>
              </w:rPr>
              <w:t>其它</w:t>
            </w:r>
          </w:p>
        </w:tc>
        <w:tc>
          <w:tcPr>
            <w:tcW w:w="709" w:type="dxa"/>
            <w:vMerge w:val="continue"/>
          </w:tcPr>
          <w:p>
            <w:pPr>
              <w:pStyle w:val="7"/>
              <w:spacing w:line="240" w:lineRule="auto"/>
              <w:ind w:firstLine="0" w:firstLineChars="0"/>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7"/>
              <w:spacing w:line="240" w:lineRule="auto"/>
              <w:ind w:firstLine="0" w:firstLineChars="0"/>
              <w:rPr>
                <w:rFonts w:hint="eastAsia" w:ascii="黑体" w:hAnsi="黑体" w:eastAsia="黑体"/>
                <w:szCs w:val="21"/>
                <w:lang w:eastAsia="zh-CN"/>
              </w:rPr>
            </w:pPr>
            <w:r>
              <w:rPr>
                <w:rFonts w:hint="eastAsia" w:ascii="黑体" w:hAnsi="黑体" w:eastAsia="黑体"/>
                <w:szCs w:val="21"/>
              </w:rPr>
              <w:t>一</w:t>
            </w:r>
            <w:r>
              <w:rPr>
                <w:rFonts w:ascii="黑体" w:hAnsi="黑体" w:eastAsia="黑体"/>
                <w:szCs w:val="21"/>
              </w:rPr>
              <w:t>、</w:t>
            </w:r>
            <w:r>
              <w:rPr>
                <w:rFonts w:hint="eastAsia" w:ascii="黑体" w:hAnsi="黑体" w:eastAsia="黑体"/>
                <w:szCs w:val="21"/>
                <w:lang w:eastAsia="zh-CN"/>
              </w:rPr>
              <w:t>予以公开</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7"/>
              <w:spacing w:line="240" w:lineRule="auto"/>
              <w:ind w:firstLine="0" w:firstLineChars="0"/>
              <w:rPr>
                <w:rFonts w:hint="eastAsia" w:ascii="黑体" w:hAnsi="黑体" w:eastAsia="黑体"/>
                <w:szCs w:val="21"/>
                <w:lang w:eastAsia="zh-CN"/>
              </w:rPr>
            </w:pPr>
            <w:r>
              <w:rPr>
                <w:rFonts w:hint="eastAsia" w:ascii="黑体" w:hAnsi="黑体" w:eastAsia="黑体"/>
                <w:szCs w:val="21"/>
              </w:rPr>
              <w:t>二</w:t>
            </w:r>
            <w:r>
              <w:rPr>
                <w:rFonts w:ascii="黑体" w:hAnsi="黑体" w:eastAsia="黑体"/>
                <w:szCs w:val="21"/>
              </w:rPr>
              <w:t>、</w:t>
            </w:r>
            <w:r>
              <w:rPr>
                <w:rFonts w:hint="eastAsia" w:ascii="黑体" w:hAnsi="黑体" w:eastAsia="黑体"/>
                <w:szCs w:val="21"/>
                <w:lang w:eastAsia="zh-CN"/>
              </w:rPr>
              <w:t>部分公开（区分处理的，只计这一情形，不计其他情形）</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5" w:type="dxa"/>
            <w:vMerge w:val="restart"/>
          </w:tcPr>
          <w:p>
            <w:pPr>
              <w:pStyle w:val="7"/>
              <w:spacing w:line="240" w:lineRule="auto"/>
              <w:ind w:firstLine="0" w:firstLineChars="0"/>
              <w:rPr>
                <w:rFonts w:ascii="黑体" w:hAnsi="黑体" w:eastAsia="黑体"/>
                <w:sz w:val="32"/>
                <w:szCs w:val="32"/>
              </w:rPr>
            </w:pPr>
          </w:p>
          <w:p>
            <w:pPr>
              <w:pStyle w:val="7"/>
              <w:spacing w:line="240" w:lineRule="auto"/>
              <w:ind w:firstLine="0" w:firstLineChars="0"/>
              <w:rPr>
                <w:rFonts w:ascii="黑体" w:hAnsi="黑体" w:eastAsia="黑体"/>
                <w:sz w:val="32"/>
                <w:szCs w:val="32"/>
              </w:rPr>
            </w:pPr>
          </w:p>
          <w:p>
            <w:pPr>
              <w:pStyle w:val="7"/>
              <w:spacing w:line="240" w:lineRule="auto"/>
              <w:ind w:firstLine="0" w:firstLineChars="0"/>
              <w:rPr>
                <w:rFonts w:ascii="黑体" w:hAnsi="黑体" w:eastAsia="黑体"/>
                <w:sz w:val="24"/>
                <w:szCs w:val="24"/>
              </w:rPr>
            </w:pPr>
            <w:r>
              <w:rPr>
                <w:rFonts w:hint="eastAsia" w:ascii="黑体" w:hAnsi="黑体" w:eastAsia="黑体"/>
                <w:sz w:val="24"/>
                <w:szCs w:val="24"/>
              </w:rPr>
              <w:t>三</w:t>
            </w:r>
            <w:r>
              <w:rPr>
                <w:rFonts w:ascii="黑体" w:hAnsi="黑体" w:eastAsia="黑体"/>
                <w:sz w:val="24"/>
                <w:szCs w:val="24"/>
              </w:rPr>
              <w:t>、本</w:t>
            </w:r>
          </w:p>
          <w:p>
            <w:pPr>
              <w:pStyle w:val="7"/>
              <w:spacing w:line="240" w:lineRule="auto"/>
              <w:ind w:firstLine="0" w:firstLineChars="0"/>
              <w:rPr>
                <w:rFonts w:ascii="黑体" w:hAnsi="黑体" w:eastAsia="黑体"/>
                <w:sz w:val="24"/>
                <w:szCs w:val="24"/>
              </w:rPr>
            </w:pPr>
            <w:r>
              <w:rPr>
                <w:rFonts w:ascii="黑体" w:hAnsi="黑体" w:eastAsia="黑体"/>
                <w:sz w:val="24"/>
                <w:szCs w:val="24"/>
              </w:rPr>
              <w:t>年</w:t>
            </w:r>
          </w:p>
          <w:p>
            <w:pPr>
              <w:pStyle w:val="7"/>
              <w:spacing w:line="240" w:lineRule="auto"/>
              <w:ind w:firstLine="0" w:firstLineChars="0"/>
              <w:rPr>
                <w:rFonts w:ascii="黑体" w:hAnsi="黑体" w:eastAsia="黑体"/>
                <w:sz w:val="24"/>
                <w:szCs w:val="24"/>
              </w:rPr>
            </w:pPr>
            <w:r>
              <w:rPr>
                <w:rFonts w:ascii="黑体" w:hAnsi="黑体" w:eastAsia="黑体"/>
                <w:sz w:val="24"/>
                <w:szCs w:val="24"/>
              </w:rPr>
              <w:t>度</w:t>
            </w:r>
          </w:p>
          <w:p>
            <w:pPr>
              <w:pStyle w:val="7"/>
              <w:spacing w:line="240" w:lineRule="auto"/>
              <w:ind w:firstLine="0" w:firstLineChars="0"/>
              <w:rPr>
                <w:rFonts w:ascii="黑体" w:hAnsi="黑体" w:eastAsia="黑体"/>
                <w:sz w:val="24"/>
                <w:szCs w:val="24"/>
              </w:rPr>
            </w:pPr>
            <w:r>
              <w:rPr>
                <w:rFonts w:ascii="黑体" w:hAnsi="黑体" w:eastAsia="黑体"/>
                <w:sz w:val="24"/>
                <w:szCs w:val="24"/>
              </w:rPr>
              <w:t>办</w:t>
            </w:r>
          </w:p>
          <w:p>
            <w:pPr>
              <w:pStyle w:val="7"/>
              <w:spacing w:line="240" w:lineRule="auto"/>
              <w:ind w:firstLine="0" w:firstLineChars="0"/>
              <w:rPr>
                <w:rFonts w:ascii="黑体" w:hAnsi="黑体" w:eastAsia="黑体"/>
                <w:sz w:val="24"/>
                <w:szCs w:val="24"/>
              </w:rPr>
            </w:pPr>
            <w:r>
              <w:rPr>
                <w:rFonts w:ascii="黑体" w:hAnsi="黑体" w:eastAsia="黑体"/>
                <w:sz w:val="24"/>
                <w:szCs w:val="24"/>
              </w:rPr>
              <w:t>理</w:t>
            </w:r>
          </w:p>
          <w:p>
            <w:pPr>
              <w:pStyle w:val="7"/>
              <w:spacing w:line="240" w:lineRule="auto"/>
              <w:ind w:firstLine="0" w:firstLineChars="0"/>
              <w:rPr>
                <w:rFonts w:ascii="黑体" w:hAnsi="黑体" w:eastAsia="黑体"/>
                <w:sz w:val="24"/>
                <w:szCs w:val="24"/>
              </w:rPr>
            </w:pPr>
            <w:r>
              <w:rPr>
                <w:rFonts w:ascii="黑体" w:hAnsi="黑体" w:eastAsia="黑体"/>
                <w:sz w:val="24"/>
                <w:szCs w:val="24"/>
              </w:rPr>
              <w:t>结</w:t>
            </w:r>
          </w:p>
          <w:p>
            <w:pPr>
              <w:pStyle w:val="7"/>
              <w:spacing w:line="240" w:lineRule="auto"/>
              <w:ind w:firstLine="0" w:firstLineChars="0"/>
              <w:rPr>
                <w:rFonts w:ascii="黑体" w:hAnsi="黑体" w:eastAsia="黑体"/>
                <w:sz w:val="24"/>
                <w:szCs w:val="24"/>
              </w:rPr>
            </w:pPr>
            <w:r>
              <w:rPr>
                <w:rFonts w:ascii="黑体" w:hAnsi="黑体" w:eastAsia="黑体"/>
                <w:sz w:val="24"/>
                <w:szCs w:val="24"/>
              </w:rPr>
              <w:t>果</w:t>
            </w:r>
          </w:p>
        </w:tc>
        <w:tc>
          <w:tcPr>
            <w:tcW w:w="846" w:type="dxa"/>
            <w:vMerge w:val="restart"/>
          </w:tcPr>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r>
              <w:rPr>
                <w:rFonts w:hint="eastAsia" w:ascii="黑体" w:hAnsi="黑体" w:eastAsia="黑体"/>
                <w:szCs w:val="21"/>
              </w:rPr>
              <w:t>（三）</w:t>
            </w:r>
          </w:p>
          <w:p>
            <w:pPr>
              <w:pStyle w:val="7"/>
              <w:spacing w:line="240" w:lineRule="auto"/>
              <w:ind w:firstLine="0" w:firstLineChars="0"/>
              <w:rPr>
                <w:rFonts w:ascii="黑体" w:hAnsi="黑体" w:eastAsia="黑体"/>
                <w:szCs w:val="21"/>
              </w:rPr>
            </w:pPr>
            <w:r>
              <w:rPr>
                <w:rFonts w:hint="eastAsia" w:ascii="黑体" w:hAnsi="黑体" w:eastAsia="黑体"/>
                <w:szCs w:val="21"/>
              </w:rPr>
              <w:t>不予</w:t>
            </w:r>
            <w:r>
              <w:rPr>
                <w:rFonts w:ascii="黑体" w:hAnsi="黑体" w:eastAsia="黑体"/>
                <w:szCs w:val="21"/>
              </w:rPr>
              <w:t>公开</w:t>
            </w:r>
          </w:p>
        </w:tc>
        <w:tc>
          <w:tcPr>
            <w:tcW w:w="2637" w:type="dxa"/>
          </w:tcPr>
          <w:p>
            <w:pPr>
              <w:pStyle w:val="7"/>
              <w:numPr>
                <w:ilvl w:val="0"/>
                <w:numId w:val="2"/>
              </w:numPr>
              <w:spacing w:line="240" w:lineRule="auto"/>
              <w:ind w:firstLineChars="0"/>
              <w:rPr>
                <w:rFonts w:ascii="黑体" w:hAnsi="黑体" w:eastAsia="黑体"/>
                <w:szCs w:val="21"/>
              </w:rPr>
            </w:pPr>
            <w:r>
              <w:rPr>
                <w:rFonts w:hint="eastAsia" w:ascii="黑体" w:hAnsi="黑体" w:eastAsia="黑体"/>
                <w:szCs w:val="21"/>
              </w:rPr>
              <w:t>属于</w:t>
            </w:r>
            <w:r>
              <w:rPr>
                <w:rFonts w:ascii="黑体" w:hAnsi="黑体" w:eastAsia="黑体"/>
                <w:szCs w:val="21"/>
              </w:rPr>
              <w:t>国家秘密</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 w:val="32"/>
                <w:szCs w:val="32"/>
              </w:rPr>
            </w:pPr>
          </w:p>
        </w:tc>
        <w:tc>
          <w:tcPr>
            <w:tcW w:w="846" w:type="dxa"/>
            <w:vMerge w:val="continue"/>
          </w:tcPr>
          <w:p>
            <w:pPr>
              <w:pStyle w:val="7"/>
              <w:spacing w:line="240" w:lineRule="auto"/>
              <w:ind w:firstLine="0" w:firstLineChars="0"/>
              <w:rPr>
                <w:rFonts w:ascii="黑体" w:hAnsi="黑体" w:eastAsia="黑体"/>
                <w:sz w:val="32"/>
                <w:szCs w:val="32"/>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2.其它</w:t>
            </w:r>
            <w:r>
              <w:rPr>
                <w:rFonts w:ascii="黑体" w:hAnsi="黑体" w:eastAsia="黑体"/>
                <w:szCs w:val="21"/>
              </w:rPr>
              <w:t>法律行政法规禁止公开</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 w:val="32"/>
                <w:szCs w:val="32"/>
              </w:rPr>
            </w:pPr>
          </w:p>
        </w:tc>
        <w:tc>
          <w:tcPr>
            <w:tcW w:w="846" w:type="dxa"/>
            <w:vMerge w:val="continue"/>
          </w:tcPr>
          <w:p>
            <w:pPr>
              <w:pStyle w:val="7"/>
              <w:spacing w:line="240" w:lineRule="auto"/>
              <w:ind w:firstLine="0" w:firstLineChars="0"/>
              <w:rPr>
                <w:rFonts w:ascii="黑体" w:hAnsi="黑体" w:eastAsia="黑体"/>
                <w:sz w:val="32"/>
                <w:szCs w:val="32"/>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3.危及</w:t>
            </w:r>
            <w:r>
              <w:rPr>
                <w:rFonts w:ascii="黑体" w:hAnsi="黑体" w:eastAsia="黑体"/>
                <w:szCs w:val="21"/>
              </w:rPr>
              <w:t>“</w:t>
            </w:r>
            <w:r>
              <w:rPr>
                <w:rFonts w:hint="eastAsia" w:ascii="黑体" w:hAnsi="黑体" w:eastAsia="黑体"/>
                <w:szCs w:val="21"/>
              </w:rPr>
              <w:t>三安全一</w:t>
            </w:r>
            <w:r>
              <w:rPr>
                <w:rFonts w:ascii="黑体" w:hAnsi="黑体" w:eastAsia="黑体"/>
                <w:szCs w:val="21"/>
              </w:rPr>
              <w:t>稳定”</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4.保护</w:t>
            </w:r>
            <w:r>
              <w:rPr>
                <w:rFonts w:ascii="黑体" w:hAnsi="黑体" w:eastAsia="黑体"/>
                <w:szCs w:val="21"/>
              </w:rPr>
              <w:t>第三方合法权益</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5.属于</w:t>
            </w:r>
            <w:r>
              <w:rPr>
                <w:rFonts w:ascii="黑体" w:hAnsi="黑体" w:eastAsia="黑体"/>
                <w:szCs w:val="21"/>
              </w:rPr>
              <w:t>三类内部事务信息</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6.属于</w:t>
            </w:r>
            <w:r>
              <w:rPr>
                <w:rFonts w:ascii="黑体" w:hAnsi="黑体" w:eastAsia="黑体"/>
                <w:szCs w:val="21"/>
              </w:rPr>
              <w:t>四类过程性信息</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7.属于</w:t>
            </w:r>
            <w:r>
              <w:rPr>
                <w:rFonts w:ascii="黑体" w:hAnsi="黑体" w:eastAsia="黑体"/>
                <w:szCs w:val="21"/>
              </w:rPr>
              <w:t>行政执法</w:t>
            </w:r>
            <w:r>
              <w:rPr>
                <w:rFonts w:hint="eastAsia" w:ascii="黑体" w:hAnsi="黑体" w:eastAsia="黑体"/>
                <w:szCs w:val="21"/>
              </w:rPr>
              <w:t>案卷</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8.属于</w:t>
            </w:r>
            <w:r>
              <w:rPr>
                <w:rFonts w:ascii="黑体" w:hAnsi="黑体" w:eastAsia="黑体"/>
                <w:szCs w:val="21"/>
              </w:rPr>
              <w:t>行政查询事项</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restart"/>
          </w:tcPr>
          <w:p>
            <w:pPr>
              <w:pStyle w:val="7"/>
              <w:spacing w:line="240" w:lineRule="auto"/>
              <w:ind w:firstLine="0" w:firstLineChars="0"/>
              <w:rPr>
                <w:rFonts w:ascii="黑体" w:hAnsi="黑体" w:eastAsia="黑体"/>
                <w:szCs w:val="21"/>
              </w:rPr>
            </w:pPr>
            <w:r>
              <w:rPr>
                <w:rFonts w:hint="eastAsia" w:ascii="黑体" w:hAnsi="黑体" w:eastAsia="黑体"/>
                <w:szCs w:val="21"/>
              </w:rPr>
              <w:t>(四)</w:t>
            </w:r>
          </w:p>
          <w:p>
            <w:pPr>
              <w:pStyle w:val="7"/>
              <w:spacing w:line="240" w:lineRule="auto"/>
              <w:ind w:firstLine="0" w:firstLineChars="0"/>
              <w:rPr>
                <w:rFonts w:ascii="黑体" w:hAnsi="黑体" w:eastAsia="黑体"/>
                <w:szCs w:val="21"/>
              </w:rPr>
            </w:pPr>
            <w:r>
              <w:rPr>
                <w:rFonts w:hint="eastAsia" w:ascii="黑体" w:hAnsi="黑体" w:eastAsia="黑体"/>
                <w:szCs w:val="21"/>
              </w:rPr>
              <w:t>无法</w:t>
            </w:r>
            <w:r>
              <w:rPr>
                <w:rFonts w:ascii="黑体" w:hAnsi="黑体" w:eastAsia="黑体"/>
                <w:szCs w:val="21"/>
              </w:rPr>
              <w:t>提供</w:t>
            </w: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1.本</w:t>
            </w:r>
            <w:r>
              <w:rPr>
                <w:rFonts w:ascii="黑体" w:hAnsi="黑体" w:eastAsia="黑体"/>
                <w:szCs w:val="21"/>
              </w:rPr>
              <w:t>机关不</w:t>
            </w:r>
            <w:r>
              <w:rPr>
                <w:rFonts w:hint="eastAsia" w:ascii="黑体" w:hAnsi="黑体" w:eastAsia="黑体"/>
                <w:szCs w:val="21"/>
              </w:rPr>
              <w:t>掌握</w:t>
            </w:r>
            <w:r>
              <w:rPr>
                <w:rFonts w:ascii="黑体" w:hAnsi="黑体" w:eastAsia="黑体"/>
                <w:szCs w:val="21"/>
              </w:rPr>
              <w:t>相关政府信息</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2.没有</w:t>
            </w:r>
            <w:r>
              <w:rPr>
                <w:rFonts w:ascii="黑体" w:hAnsi="黑体" w:eastAsia="黑体"/>
                <w:szCs w:val="21"/>
              </w:rPr>
              <w:t>现成信息需要另行制作</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3.补正</w:t>
            </w:r>
            <w:r>
              <w:rPr>
                <w:rFonts w:ascii="黑体" w:hAnsi="黑体" w:eastAsia="黑体"/>
                <w:szCs w:val="21"/>
              </w:rPr>
              <w:t>后申请内容仍不明确</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restart"/>
          </w:tcPr>
          <w:p>
            <w:pPr>
              <w:pStyle w:val="7"/>
              <w:spacing w:line="240" w:lineRule="auto"/>
              <w:ind w:firstLine="0" w:firstLineChars="0"/>
              <w:rPr>
                <w:rFonts w:ascii="黑体" w:hAnsi="黑体" w:eastAsia="黑体"/>
                <w:szCs w:val="21"/>
              </w:rPr>
            </w:pPr>
            <w:r>
              <w:rPr>
                <w:rFonts w:hint="eastAsia" w:ascii="黑体" w:hAnsi="黑体" w:eastAsia="黑体"/>
                <w:szCs w:val="21"/>
              </w:rPr>
              <w:t>（五）</w:t>
            </w:r>
          </w:p>
          <w:p>
            <w:pPr>
              <w:pStyle w:val="7"/>
              <w:spacing w:line="240" w:lineRule="auto"/>
              <w:ind w:firstLine="0" w:firstLineChars="0"/>
              <w:rPr>
                <w:rFonts w:ascii="黑体" w:hAnsi="黑体" w:eastAsia="黑体"/>
                <w:szCs w:val="21"/>
              </w:rPr>
            </w:pPr>
            <w:r>
              <w:rPr>
                <w:rFonts w:hint="eastAsia" w:ascii="黑体" w:hAnsi="黑体" w:eastAsia="黑体"/>
                <w:szCs w:val="21"/>
              </w:rPr>
              <w:t>不予</w:t>
            </w:r>
            <w:r>
              <w:rPr>
                <w:rFonts w:ascii="黑体" w:hAnsi="黑体" w:eastAsia="黑体"/>
                <w:szCs w:val="21"/>
              </w:rPr>
              <w:t>处理</w:t>
            </w: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1.信</w:t>
            </w:r>
            <w:r>
              <w:rPr>
                <w:rFonts w:ascii="黑体" w:hAnsi="黑体" w:eastAsia="黑体"/>
                <w:szCs w:val="21"/>
              </w:rPr>
              <w:t>访举报投诉类申请</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2.重复</w:t>
            </w:r>
            <w:r>
              <w:rPr>
                <w:rFonts w:ascii="黑体" w:hAnsi="黑体" w:eastAsia="黑体"/>
                <w:szCs w:val="21"/>
              </w:rPr>
              <w:t>申请</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3.要求</w:t>
            </w:r>
            <w:r>
              <w:rPr>
                <w:rFonts w:ascii="黑体" w:hAnsi="黑体" w:eastAsia="黑体"/>
                <w:szCs w:val="21"/>
              </w:rPr>
              <w:t>提供公开出版物</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4.无</w:t>
            </w:r>
            <w:r>
              <w:rPr>
                <w:rFonts w:ascii="黑体" w:hAnsi="黑体" w:eastAsia="黑体"/>
                <w:szCs w:val="21"/>
              </w:rPr>
              <w:t>正当理由大量反复申请</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ascii="黑体" w:hAnsi="黑体" w:eastAsia="黑体"/>
                <w:szCs w:val="21"/>
              </w:rPr>
              <w:t>5.</w:t>
            </w:r>
            <w:r>
              <w:rPr>
                <w:rFonts w:hint="eastAsia" w:ascii="黑体" w:hAnsi="黑体" w:eastAsia="黑体"/>
                <w:szCs w:val="21"/>
              </w:rPr>
              <w:t>要求</w:t>
            </w:r>
            <w:r>
              <w:rPr>
                <w:rFonts w:ascii="黑体" w:hAnsi="黑体" w:eastAsia="黑体"/>
                <w:szCs w:val="21"/>
              </w:rPr>
              <w:t>行政机关确认或</w:t>
            </w:r>
            <w:r>
              <w:rPr>
                <w:rFonts w:hint="eastAsia" w:ascii="黑体" w:hAnsi="黑体" w:eastAsia="黑体"/>
                <w:szCs w:val="21"/>
              </w:rPr>
              <w:t>重新</w:t>
            </w:r>
            <w:r>
              <w:rPr>
                <w:rFonts w:ascii="黑体" w:hAnsi="黑体" w:eastAsia="黑体"/>
                <w:szCs w:val="21"/>
              </w:rPr>
              <w:t>出具已获取</w:t>
            </w:r>
            <w:r>
              <w:rPr>
                <w:rFonts w:hint="eastAsia" w:ascii="黑体" w:hAnsi="黑体" w:eastAsia="黑体"/>
                <w:szCs w:val="21"/>
              </w:rPr>
              <w:t>信息</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3483" w:type="dxa"/>
            <w:gridSpan w:val="2"/>
          </w:tcPr>
          <w:p>
            <w:pPr>
              <w:pStyle w:val="7"/>
              <w:spacing w:line="240" w:lineRule="auto"/>
              <w:ind w:firstLine="0" w:firstLineChars="0"/>
              <w:rPr>
                <w:rFonts w:ascii="黑体" w:hAnsi="黑体" w:eastAsia="黑体"/>
                <w:szCs w:val="21"/>
              </w:rPr>
            </w:pPr>
            <w:r>
              <w:rPr>
                <w:rFonts w:hint="eastAsia" w:ascii="黑体" w:hAnsi="黑体" w:eastAsia="黑体"/>
                <w:szCs w:val="21"/>
              </w:rPr>
              <w:t>（六）其他</w:t>
            </w:r>
            <w:r>
              <w:rPr>
                <w:rFonts w:ascii="黑体" w:hAnsi="黑体" w:eastAsia="黑体"/>
                <w:szCs w:val="21"/>
              </w:rPr>
              <w:t>处理</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3483" w:type="dxa"/>
            <w:gridSpan w:val="2"/>
          </w:tcPr>
          <w:p>
            <w:pPr>
              <w:pStyle w:val="7"/>
              <w:spacing w:line="240" w:lineRule="auto"/>
              <w:ind w:firstLine="0" w:firstLineChars="0"/>
              <w:rPr>
                <w:rFonts w:ascii="黑体" w:hAnsi="黑体" w:eastAsia="黑体"/>
                <w:szCs w:val="21"/>
              </w:rPr>
            </w:pPr>
            <w:r>
              <w:rPr>
                <w:rFonts w:hint="eastAsia" w:ascii="黑体" w:hAnsi="黑体" w:eastAsia="黑体"/>
                <w:szCs w:val="21"/>
              </w:rPr>
              <w:t>（七）总计</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7"/>
              <w:spacing w:line="240" w:lineRule="auto"/>
              <w:ind w:firstLine="0" w:firstLineChars="0"/>
              <w:rPr>
                <w:rFonts w:ascii="黑体" w:hAnsi="黑体" w:eastAsia="黑体"/>
                <w:szCs w:val="21"/>
              </w:rPr>
            </w:pPr>
            <w:r>
              <w:rPr>
                <w:rFonts w:hint="eastAsia" w:ascii="黑体" w:hAnsi="黑体" w:eastAsia="黑体"/>
                <w:szCs w:val="21"/>
              </w:rPr>
              <w:t>四</w:t>
            </w:r>
            <w:r>
              <w:rPr>
                <w:rFonts w:ascii="黑体" w:hAnsi="黑体" w:eastAsia="黑体"/>
                <w:szCs w:val="21"/>
              </w:rPr>
              <w:t>、</w:t>
            </w:r>
            <w:r>
              <w:rPr>
                <w:rFonts w:hint="eastAsia" w:ascii="黑体" w:hAnsi="黑体" w:eastAsia="黑体"/>
                <w:szCs w:val="21"/>
              </w:rPr>
              <w:t>结转</w:t>
            </w:r>
            <w:r>
              <w:rPr>
                <w:rFonts w:ascii="黑体" w:hAnsi="黑体" w:eastAsia="黑体"/>
                <w:szCs w:val="21"/>
              </w:rPr>
              <w:t>下年度继续办理</w:t>
            </w:r>
          </w:p>
        </w:tc>
        <w:tc>
          <w:tcPr>
            <w:tcW w:w="850"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ascii="黑体" w:hAnsi="黑体" w:eastAsia="黑体"/>
                <w:szCs w:val="21"/>
              </w:rPr>
            </w:pPr>
          </w:p>
        </w:tc>
        <w:tc>
          <w:tcPr>
            <w:tcW w:w="850" w:type="dxa"/>
          </w:tcPr>
          <w:p>
            <w:pPr>
              <w:pStyle w:val="7"/>
              <w:spacing w:line="240" w:lineRule="auto"/>
              <w:ind w:firstLine="0" w:firstLineChars="0"/>
              <w:rPr>
                <w:rFonts w:ascii="黑体" w:hAnsi="黑体" w:eastAsia="黑体"/>
                <w:szCs w:val="21"/>
              </w:rPr>
            </w:pPr>
          </w:p>
        </w:tc>
        <w:tc>
          <w:tcPr>
            <w:tcW w:w="851" w:type="dxa"/>
          </w:tcPr>
          <w:p>
            <w:pPr>
              <w:pStyle w:val="7"/>
              <w:spacing w:line="240" w:lineRule="auto"/>
              <w:ind w:firstLine="0" w:firstLineChars="0"/>
              <w:rPr>
                <w:rFonts w:ascii="黑体" w:hAnsi="黑体" w:eastAsia="黑体"/>
                <w:szCs w:val="21"/>
              </w:rPr>
            </w:pPr>
          </w:p>
        </w:tc>
        <w:tc>
          <w:tcPr>
            <w:tcW w:w="567" w:type="dxa"/>
          </w:tcPr>
          <w:p>
            <w:pPr>
              <w:pStyle w:val="7"/>
              <w:spacing w:line="240" w:lineRule="auto"/>
              <w:ind w:firstLine="0" w:firstLineChars="0"/>
              <w:rPr>
                <w:rFonts w:ascii="黑体" w:hAnsi="黑体" w:eastAsia="黑体"/>
                <w:szCs w:val="21"/>
              </w:rPr>
            </w:pP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bl>
    <w:p>
      <w:pPr>
        <w:pStyle w:val="7"/>
        <w:ind w:left="0" w:leftChars="0" w:firstLine="0" w:firstLineChars="0"/>
        <w:rPr>
          <w:rFonts w:ascii="黑体" w:hAnsi="黑体" w:eastAsia="黑体"/>
          <w:sz w:val="32"/>
          <w:szCs w:val="32"/>
        </w:rPr>
      </w:pPr>
    </w:p>
    <w:p>
      <w:pPr>
        <w:pStyle w:val="7"/>
        <w:numPr>
          <w:ilvl w:val="0"/>
          <w:numId w:val="0"/>
        </w:numPr>
        <w:ind w:leftChars="0" w:firstLine="320" w:firstLineChars="100"/>
        <w:rPr>
          <w:rFonts w:ascii="黑体" w:hAnsi="黑体" w:eastAsia="黑体"/>
          <w:sz w:val="32"/>
          <w:szCs w:val="32"/>
        </w:rPr>
      </w:pPr>
      <w:r>
        <w:rPr>
          <w:rFonts w:hint="eastAsia" w:ascii="黑体" w:hAnsi="黑体" w:eastAsia="黑体"/>
          <w:sz w:val="32"/>
          <w:szCs w:val="32"/>
          <w:lang w:eastAsia="zh-CN"/>
        </w:rPr>
        <w:t>四、</w:t>
      </w:r>
      <w:r>
        <w:rPr>
          <w:rFonts w:ascii="黑体" w:hAnsi="黑体" w:eastAsia="黑体"/>
          <w:sz w:val="32"/>
          <w:szCs w:val="32"/>
        </w:rPr>
        <w:t>政府信息公开</w:t>
      </w:r>
      <w:r>
        <w:rPr>
          <w:rFonts w:hint="eastAsia" w:ascii="黑体" w:hAnsi="黑体" w:eastAsia="黑体"/>
          <w:sz w:val="32"/>
          <w:szCs w:val="32"/>
        </w:rPr>
        <w:t>行政</w:t>
      </w:r>
      <w:r>
        <w:rPr>
          <w:rFonts w:ascii="黑体" w:hAnsi="黑体" w:eastAsia="黑体"/>
          <w:sz w:val="32"/>
          <w:szCs w:val="32"/>
        </w:rPr>
        <w:t>复议、行政诉讼情况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543"/>
        <w:gridCol w:w="542"/>
        <w:gridCol w:w="542"/>
        <w:gridCol w:w="660"/>
        <w:gridCol w:w="540"/>
        <w:gridCol w:w="453"/>
        <w:gridCol w:w="513"/>
        <w:gridCol w:w="540"/>
        <w:gridCol w:w="540"/>
        <w:gridCol w:w="540"/>
        <w:gridCol w:w="540"/>
        <w:gridCol w:w="540"/>
        <w:gridCol w:w="54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830" w:type="dxa"/>
            <w:gridSpan w:val="5"/>
            <w:vAlign w:val="center"/>
          </w:tcPr>
          <w:p>
            <w:pPr>
              <w:pStyle w:val="7"/>
              <w:spacing w:line="240" w:lineRule="auto"/>
              <w:ind w:firstLine="0" w:firstLineChars="0"/>
              <w:jc w:val="center"/>
              <w:rPr>
                <w:rFonts w:ascii="黑体" w:hAnsi="黑体" w:eastAsia="黑体"/>
                <w:szCs w:val="21"/>
              </w:rPr>
            </w:pPr>
            <w:r>
              <w:rPr>
                <w:rFonts w:hint="eastAsia" w:ascii="黑体" w:hAnsi="黑体" w:eastAsia="黑体"/>
                <w:szCs w:val="21"/>
              </w:rPr>
              <w:t>行政</w:t>
            </w:r>
            <w:r>
              <w:rPr>
                <w:rFonts w:ascii="黑体" w:hAnsi="黑体" w:eastAsia="黑体"/>
                <w:szCs w:val="21"/>
              </w:rPr>
              <w:t>复议</w:t>
            </w:r>
          </w:p>
        </w:tc>
        <w:tc>
          <w:tcPr>
            <w:tcW w:w="5387" w:type="dxa"/>
            <w:gridSpan w:val="10"/>
            <w:vAlign w:val="center"/>
          </w:tcPr>
          <w:p>
            <w:pPr>
              <w:pStyle w:val="7"/>
              <w:spacing w:line="240" w:lineRule="auto"/>
              <w:ind w:firstLine="0" w:firstLineChars="0"/>
              <w:jc w:val="center"/>
              <w:rPr>
                <w:rFonts w:ascii="黑体" w:hAnsi="黑体" w:eastAsia="黑体"/>
                <w:szCs w:val="21"/>
              </w:rPr>
            </w:pPr>
            <w:r>
              <w:rPr>
                <w:rFonts w:hint="eastAsia" w:ascii="黑体" w:hAnsi="黑体" w:eastAsia="黑体"/>
                <w:szCs w:val="21"/>
              </w:rPr>
              <w:t>行政</w:t>
            </w:r>
            <w:r>
              <w:rPr>
                <w:rFonts w:ascii="黑体" w:hAnsi="黑体" w:eastAsia="黑体"/>
                <w:szCs w:val="21"/>
              </w:rPr>
              <w:t>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3"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543"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42"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2"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尚未审</w:t>
            </w:r>
            <w:r>
              <w:rPr>
                <w:rFonts w:ascii="黑体" w:hAnsi="黑体" w:eastAsia="黑体"/>
                <w:szCs w:val="21"/>
              </w:rPr>
              <w:t>结</w:t>
            </w:r>
          </w:p>
        </w:tc>
        <w:tc>
          <w:tcPr>
            <w:tcW w:w="660"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总计</w:t>
            </w:r>
          </w:p>
        </w:tc>
        <w:tc>
          <w:tcPr>
            <w:tcW w:w="2586" w:type="dxa"/>
            <w:gridSpan w:val="5"/>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未经</w:t>
            </w:r>
            <w:r>
              <w:rPr>
                <w:rFonts w:ascii="黑体" w:hAnsi="黑体" w:eastAsia="黑体"/>
                <w:szCs w:val="21"/>
              </w:rPr>
              <w:t>复议直接起诉</w:t>
            </w:r>
          </w:p>
        </w:tc>
        <w:tc>
          <w:tcPr>
            <w:tcW w:w="2801" w:type="dxa"/>
            <w:gridSpan w:val="5"/>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复议</w:t>
            </w:r>
            <w:r>
              <w:rPr>
                <w:rFonts w:ascii="黑体" w:hAnsi="黑体" w:eastAsia="黑体"/>
                <w:szCs w:val="21"/>
              </w:rPr>
              <w:t>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Merge w:val="continue"/>
            <w:vAlign w:val="center"/>
          </w:tcPr>
          <w:p>
            <w:pPr>
              <w:pStyle w:val="7"/>
              <w:spacing w:line="240" w:lineRule="auto"/>
              <w:ind w:firstLine="0" w:firstLineChars="0"/>
              <w:rPr>
                <w:rFonts w:ascii="黑体" w:hAnsi="黑体" w:eastAsia="黑体"/>
                <w:szCs w:val="21"/>
              </w:rPr>
            </w:pPr>
          </w:p>
        </w:tc>
        <w:tc>
          <w:tcPr>
            <w:tcW w:w="543" w:type="dxa"/>
            <w:vMerge w:val="continue"/>
            <w:vAlign w:val="center"/>
          </w:tcPr>
          <w:p>
            <w:pPr>
              <w:pStyle w:val="7"/>
              <w:spacing w:line="240" w:lineRule="auto"/>
              <w:ind w:firstLine="0" w:firstLineChars="0"/>
              <w:rPr>
                <w:rFonts w:ascii="黑体" w:hAnsi="黑体" w:eastAsia="黑体"/>
                <w:szCs w:val="21"/>
              </w:rPr>
            </w:pPr>
          </w:p>
        </w:tc>
        <w:tc>
          <w:tcPr>
            <w:tcW w:w="542" w:type="dxa"/>
            <w:vMerge w:val="continue"/>
            <w:vAlign w:val="center"/>
          </w:tcPr>
          <w:p>
            <w:pPr>
              <w:pStyle w:val="7"/>
              <w:spacing w:line="240" w:lineRule="auto"/>
              <w:ind w:firstLine="0" w:firstLineChars="0"/>
              <w:rPr>
                <w:rFonts w:ascii="黑体" w:hAnsi="黑体" w:eastAsia="黑体"/>
                <w:szCs w:val="21"/>
              </w:rPr>
            </w:pPr>
          </w:p>
        </w:tc>
        <w:tc>
          <w:tcPr>
            <w:tcW w:w="542" w:type="dxa"/>
            <w:vMerge w:val="continue"/>
            <w:vAlign w:val="center"/>
          </w:tcPr>
          <w:p>
            <w:pPr>
              <w:pStyle w:val="7"/>
              <w:spacing w:line="240" w:lineRule="auto"/>
              <w:ind w:firstLine="0" w:firstLineChars="0"/>
              <w:rPr>
                <w:rFonts w:ascii="黑体" w:hAnsi="黑体" w:eastAsia="黑体"/>
                <w:szCs w:val="21"/>
              </w:rPr>
            </w:pPr>
          </w:p>
        </w:tc>
        <w:tc>
          <w:tcPr>
            <w:tcW w:w="660" w:type="dxa"/>
            <w:vMerge w:val="continue"/>
            <w:vAlign w:val="center"/>
          </w:tcPr>
          <w:p>
            <w:pPr>
              <w:pStyle w:val="7"/>
              <w:spacing w:line="240" w:lineRule="auto"/>
              <w:ind w:firstLine="0" w:firstLineChars="0"/>
              <w:rPr>
                <w:rFonts w:ascii="黑体" w:hAnsi="黑体" w:eastAsia="黑体"/>
                <w:szCs w:val="21"/>
              </w:rPr>
            </w:pP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453"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13"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尚未</w:t>
            </w:r>
            <w:r>
              <w:rPr>
                <w:rFonts w:ascii="黑体" w:hAnsi="黑体" w:eastAsia="黑体"/>
                <w:szCs w:val="21"/>
              </w:rPr>
              <w:t>审结</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总</w:t>
            </w:r>
            <w:r>
              <w:rPr>
                <w:rFonts w:ascii="黑体" w:hAnsi="黑体" w:eastAsia="黑体"/>
                <w:szCs w:val="21"/>
              </w:rPr>
              <w:t>计</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尚未</w:t>
            </w:r>
            <w:r>
              <w:rPr>
                <w:rFonts w:ascii="黑体" w:hAnsi="黑体" w:eastAsia="黑体"/>
                <w:szCs w:val="21"/>
              </w:rPr>
              <w:t>审结</w:t>
            </w:r>
          </w:p>
        </w:tc>
        <w:tc>
          <w:tcPr>
            <w:tcW w:w="641"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543"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3"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2"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2"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66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453"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13"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641"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bl>
    <w:p>
      <w:pPr>
        <w:pStyle w:val="7"/>
        <w:ind w:left="720" w:firstLine="0" w:firstLineChars="0"/>
        <w:rPr>
          <w:rFonts w:ascii="黑体" w:hAnsi="黑体" w:eastAsia="黑体"/>
          <w:sz w:val="32"/>
          <w:szCs w:val="32"/>
        </w:rPr>
      </w:pPr>
    </w:p>
    <w:p>
      <w:pPr>
        <w:pStyle w:val="7"/>
        <w:numPr>
          <w:ilvl w:val="0"/>
          <w:numId w:val="0"/>
        </w:numPr>
        <w:ind w:leftChars="0" w:firstLine="640" w:firstLineChars="200"/>
        <w:rPr>
          <w:rFonts w:ascii="黑体" w:hAnsi="黑体" w:eastAsia="黑体"/>
          <w:sz w:val="32"/>
          <w:szCs w:val="32"/>
        </w:rPr>
      </w:pPr>
      <w:r>
        <w:rPr>
          <w:rFonts w:hint="eastAsia" w:ascii="黑体" w:hAnsi="黑体" w:eastAsia="黑体"/>
          <w:sz w:val="32"/>
          <w:szCs w:val="32"/>
          <w:lang w:eastAsia="zh-CN"/>
        </w:rPr>
        <w:t>五、</w:t>
      </w:r>
      <w:r>
        <w:rPr>
          <w:rFonts w:ascii="黑体" w:hAnsi="黑体" w:eastAsia="黑体"/>
          <w:sz w:val="32"/>
          <w:szCs w:val="32"/>
        </w:rPr>
        <w:t>存在的主要问题及改进情况</w:t>
      </w:r>
    </w:p>
    <w:p>
      <w:pPr>
        <w:numPr>
          <w:ilvl w:val="0"/>
          <w:numId w:val="3"/>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存在问题</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19</w:t>
      </w:r>
      <w:r>
        <w:rPr>
          <w:rFonts w:hint="eastAsia" w:ascii="仿宋_GB2312" w:hAnsi="黑体" w:eastAsia="仿宋_GB2312"/>
          <w:sz w:val="32"/>
          <w:szCs w:val="32"/>
        </w:rPr>
        <w:t>年在政府信息公开工作方面主要存在以下问题：一是信息公开的内容有待进一步完善；二是信息更新还不够及时。</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（二）下一步</w:t>
      </w:r>
      <w:r>
        <w:rPr>
          <w:rFonts w:hint="eastAsia" w:ascii="仿宋_GB2312" w:hAnsi="黑体" w:eastAsia="仿宋_GB2312"/>
          <w:sz w:val="32"/>
          <w:szCs w:val="32"/>
        </w:rPr>
        <w:t>改进措施</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进一步健全政务、政府信息公开工作机制。首先，按照《中华人民共和国政府信息公开条例》、《韶关市政府信息公开办法》等的要求，全面落实好公开工作的人员、经费、场所。其次，认真执行我区实施《政府信息公开条例》的相关配套保障制度，既要做到阳光操作，又要切实运行好政府信息发布保密审查、依申请公开政府信息等工作机制。</w:t>
      </w:r>
    </w:p>
    <w:p>
      <w:pPr>
        <w:numPr>
          <w:ilvl w:val="0"/>
          <w:numId w:val="4"/>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认真梳理，逐步扩大公开内容。</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我局将进一步梳理政府信息，对原有的政府信息公开目录进行补充完善，保证公开信息的完整性和准确性。同时，进一步推进公开信息的电子化，降低公众查询成本。</w:t>
      </w:r>
    </w:p>
    <w:p>
      <w:pPr>
        <w:pStyle w:val="7"/>
        <w:numPr>
          <w:ilvl w:val="0"/>
          <w:numId w:val="0"/>
        </w:numPr>
        <w:ind w:leftChars="0" w:firstLine="640" w:firstLineChars="200"/>
        <w:rPr>
          <w:rFonts w:ascii="黑体" w:hAnsi="黑体" w:eastAsia="黑体"/>
          <w:sz w:val="32"/>
          <w:szCs w:val="32"/>
        </w:rPr>
      </w:pPr>
      <w:r>
        <w:rPr>
          <w:rFonts w:hint="eastAsia" w:ascii="黑体" w:hAnsi="黑体" w:eastAsia="黑体"/>
          <w:sz w:val="32"/>
          <w:szCs w:val="32"/>
          <w:lang w:eastAsia="zh-CN"/>
        </w:rPr>
        <w:t>六、</w:t>
      </w:r>
      <w:r>
        <w:rPr>
          <w:rFonts w:ascii="黑体" w:hAnsi="黑体" w:eastAsia="黑体"/>
          <w:sz w:val="32"/>
          <w:szCs w:val="32"/>
        </w:rPr>
        <w:t>其他需要报告的</w:t>
      </w:r>
      <w:r>
        <w:rPr>
          <w:rFonts w:hint="eastAsia" w:ascii="黑体" w:hAnsi="黑体" w:eastAsia="黑体"/>
          <w:sz w:val="32"/>
          <w:szCs w:val="32"/>
        </w:rPr>
        <w:t>事项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无</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numPr>
          <w:ilvl w:val="0"/>
          <w:numId w:val="0"/>
        </w:numPr>
        <w:ind w:firstLine="640" w:firstLineChars="200"/>
        <w:jc w:val="righ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ab/>
      </w:r>
      <w:r>
        <w:rPr>
          <w:rFonts w:hint="eastAsia" w:ascii="仿宋_GB2312" w:hAnsi="黑体" w:eastAsia="仿宋_GB2312"/>
          <w:sz w:val="32"/>
          <w:szCs w:val="32"/>
          <w:lang w:val="en-US" w:eastAsia="zh-CN"/>
        </w:rPr>
        <w:t>韶关市武江区卫生健康局</w:t>
      </w:r>
    </w:p>
    <w:p>
      <w:pPr>
        <w:numPr>
          <w:ilvl w:val="0"/>
          <w:numId w:val="0"/>
        </w:numPr>
        <w:ind w:firstLine="640" w:firstLineChars="200"/>
        <w:jc w:val="center"/>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2020年1月21日</w:t>
      </w:r>
    </w:p>
    <w:sectPr>
      <w:headerReference r:id="rId3" w:type="default"/>
      <w:footerReference r:id="rId5" w:type="default"/>
      <w:headerReference r:id="rId4" w:type="even"/>
      <w:pgSz w:w="11906" w:h="16838"/>
      <w:pgMar w:top="1417" w:right="1474" w:bottom="1417" w:left="1588"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tab w:relativeTo="margin" w:alignment="center"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5E205B"/>
    <w:multiLevelType w:val="singleLevel"/>
    <w:tmpl w:val="C15E205B"/>
    <w:lvl w:ilvl="0" w:tentative="0">
      <w:start w:val="1"/>
      <w:numFmt w:val="chineseCounting"/>
      <w:suff w:val="nothing"/>
      <w:lvlText w:val="（%1）"/>
      <w:lvlJc w:val="left"/>
      <w:rPr>
        <w:rFonts w:hint="eastAsia"/>
      </w:rPr>
    </w:lvl>
  </w:abstractNum>
  <w:abstractNum w:abstractNumId="1">
    <w:nsid w:val="290E99BE"/>
    <w:multiLevelType w:val="singleLevel"/>
    <w:tmpl w:val="290E99BE"/>
    <w:lvl w:ilvl="0" w:tentative="0">
      <w:start w:val="2"/>
      <w:numFmt w:val="decimal"/>
      <w:suff w:val="nothing"/>
      <w:lvlText w:val="%1、"/>
      <w:lvlJc w:val="left"/>
    </w:lvl>
  </w:abstractNum>
  <w:abstractNum w:abstractNumId="2">
    <w:nsid w:val="3921F9E0"/>
    <w:multiLevelType w:val="singleLevel"/>
    <w:tmpl w:val="3921F9E0"/>
    <w:lvl w:ilvl="0" w:tentative="0">
      <w:start w:val="1"/>
      <w:numFmt w:val="chineseCounting"/>
      <w:suff w:val="nothing"/>
      <w:lvlText w:val="（%1）"/>
      <w:lvlJc w:val="left"/>
      <w:rPr>
        <w:rFonts w:hint="eastAsia"/>
      </w:rPr>
    </w:lvl>
  </w:abstractNum>
  <w:abstractNum w:abstractNumId="3">
    <w:nsid w:val="4B720660"/>
    <w:multiLevelType w:val="multilevel"/>
    <w:tmpl w:val="4B7206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01"/>
    <w:rsid w:val="000528B6"/>
    <w:rsid w:val="0006643C"/>
    <w:rsid w:val="00077FA4"/>
    <w:rsid w:val="000B75E2"/>
    <w:rsid w:val="001618D4"/>
    <w:rsid w:val="001F3CB7"/>
    <w:rsid w:val="002275F2"/>
    <w:rsid w:val="002A0243"/>
    <w:rsid w:val="002E3635"/>
    <w:rsid w:val="002E4AFD"/>
    <w:rsid w:val="00312083"/>
    <w:rsid w:val="00353A83"/>
    <w:rsid w:val="003B12C3"/>
    <w:rsid w:val="003C5754"/>
    <w:rsid w:val="003F55CA"/>
    <w:rsid w:val="00426FCF"/>
    <w:rsid w:val="00434B6F"/>
    <w:rsid w:val="00483E6D"/>
    <w:rsid w:val="004D28A2"/>
    <w:rsid w:val="00511ADE"/>
    <w:rsid w:val="00540980"/>
    <w:rsid w:val="00581062"/>
    <w:rsid w:val="00594626"/>
    <w:rsid w:val="005C6227"/>
    <w:rsid w:val="0067321E"/>
    <w:rsid w:val="00692BE7"/>
    <w:rsid w:val="006D0E94"/>
    <w:rsid w:val="006E64DF"/>
    <w:rsid w:val="00740E78"/>
    <w:rsid w:val="0074208E"/>
    <w:rsid w:val="00763D75"/>
    <w:rsid w:val="007649C2"/>
    <w:rsid w:val="007A4D4B"/>
    <w:rsid w:val="00802D5E"/>
    <w:rsid w:val="0083396B"/>
    <w:rsid w:val="00846D3F"/>
    <w:rsid w:val="0088257B"/>
    <w:rsid w:val="008C258E"/>
    <w:rsid w:val="009151C2"/>
    <w:rsid w:val="00933E1C"/>
    <w:rsid w:val="0096167F"/>
    <w:rsid w:val="0097076B"/>
    <w:rsid w:val="00984F83"/>
    <w:rsid w:val="00A0487C"/>
    <w:rsid w:val="00A83EDA"/>
    <w:rsid w:val="00AD2155"/>
    <w:rsid w:val="00AD5821"/>
    <w:rsid w:val="00AE053C"/>
    <w:rsid w:val="00B848E5"/>
    <w:rsid w:val="00BA5127"/>
    <w:rsid w:val="00BB184E"/>
    <w:rsid w:val="00BD4E43"/>
    <w:rsid w:val="00C040D4"/>
    <w:rsid w:val="00C541BB"/>
    <w:rsid w:val="00C82901"/>
    <w:rsid w:val="00C83B67"/>
    <w:rsid w:val="00C860BC"/>
    <w:rsid w:val="00CB4C77"/>
    <w:rsid w:val="00CD6EF6"/>
    <w:rsid w:val="00CD7D00"/>
    <w:rsid w:val="00D239E3"/>
    <w:rsid w:val="00D50D99"/>
    <w:rsid w:val="00D62067"/>
    <w:rsid w:val="00D74940"/>
    <w:rsid w:val="00DD2466"/>
    <w:rsid w:val="00DD42CC"/>
    <w:rsid w:val="00E22B40"/>
    <w:rsid w:val="00E34A0B"/>
    <w:rsid w:val="00E43F98"/>
    <w:rsid w:val="00E515F8"/>
    <w:rsid w:val="00E9411C"/>
    <w:rsid w:val="00F02D7A"/>
    <w:rsid w:val="00F33401"/>
    <w:rsid w:val="00F72259"/>
    <w:rsid w:val="00F87DA5"/>
    <w:rsid w:val="00FA2013"/>
    <w:rsid w:val="00FD68F8"/>
    <w:rsid w:val="01E72B8C"/>
    <w:rsid w:val="02A87E3E"/>
    <w:rsid w:val="040D4939"/>
    <w:rsid w:val="04172C79"/>
    <w:rsid w:val="045F35BE"/>
    <w:rsid w:val="04B420CA"/>
    <w:rsid w:val="05651C10"/>
    <w:rsid w:val="061639C5"/>
    <w:rsid w:val="06200A45"/>
    <w:rsid w:val="090F05DF"/>
    <w:rsid w:val="0B286D42"/>
    <w:rsid w:val="0C144817"/>
    <w:rsid w:val="0CD37FEF"/>
    <w:rsid w:val="0D170967"/>
    <w:rsid w:val="0EC34A58"/>
    <w:rsid w:val="107879F0"/>
    <w:rsid w:val="109C50BB"/>
    <w:rsid w:val="11A40451"/>
    <w:rsid w:val="12AB1C3A"/>
    <w:rsid w:val="12C32358"/>
    <w:rsid w:val="13115F62"/>
    <w:rsid w:val="13C37BF0"/>
    <w:rsid w:val="13ED3AE2"/>
    <w:rsid w:val="13F33AB8"/>
    <w:rsid w:val="14735AEA"/>
    <w:rsid w:val="14F87B5B"/>
    <w:rsid w:val="15F90B41"/>
    <w:rsid w:val="16120A36"/>
    <w:rsid w:val="1728361C"/>
    <w:rsid w:val="17A02033"/>
    <w:rsid w:val="18AE7D8A"/>
    <w:rsid w:val="1C63402E"/>
    <w:rsid w:val="1F6B0FBE"/>
    <w:rsid w:val="20820A10"/>
    <w:rsid w:val="20C22F03"/>
    <w:rsid w:val="20DA795A"/>
    <w:rsid w:val="21EF3BD4"/>
    <w:rsid w:val="224108A8"/>
    <w:rsid w:val="234A48C1"/>
    <w:rsid w:val="23732A79"/>
    <w:rsid w:val="23CE0A77"/>
    <w:rsid w:val="24B26C30"/>
    <w:rsid w:val="26EA27A4"/>
    <w:rsid w:val="286E3118"/>
    <w:rsid w:val="28831E56"/>
    <w:rsid w:val="29844364"/>
    <w:rsid w:val="298677B9"/>
    <w:rsid w:val="2C090491"/>
    <w:rsid w:val="2C5C3676"/>
    <w:rsid w:val="2E825A41"/>
    <w:rsid w:val="303759E9"/>
    <w:rsid w:val="305B75E2"/>
    <w:rsid w:val="309D4C4A"/>
    <w:rsid w:val="30FE1E7D"/>
    <w:rsid w:val="31B81270"/>
    <w:rsid w:val="31C33F7C"/>
    <w:rsid w:val="31E87932"/>
    <w:rsid w:val="32BE0E36"/>
    <w:rsid w:val="39BC5131"/>
    <w:rsid w:val="3A7E5D36"/>
    <w:rsid w:val="3C3E49A3"/>
    <w:rsid w:val="3C7B7CBC"/>
    <w:rsid w:val="3D550D58"/>
    <w:rsid w:val="3D805ABD"/>
    <w:rsid w:val="3D9F714C"/>
    <w:rsid w:val="3DA15736"/>
    <w:rsid w:val="3E3C70D0"/>
    <w:rsid w:val="3E7C3117"/>
    <w:rsid w:val="3F411B10"/>
    <w:rsid w:val="40A22D6F"/>
    <w:rsid w:val="41796E9E"/>
    <w:rsid w:val="41E11DD3"/>
    <w:rsid w:val="431D2616"/>
    <w:rsid w:val="44A53CEB"/>
    <w:rsid w:val="44EF47B0"/>
    <w:rsid w:val="451B2691"/>
    <w:rsid w:val="453645D6"/>
    <w:rsid w:val="45615B8C"/>
    <w:rsid w:val="463D725B"/>
    <w:rsid w:val="46C64C42"/>
    <w:rsid w:val="47121244"/>
    <w:rsid w:val="472F1E83"/>
    <w:rsid w:val="47BD2AB9"/>
    <w:rsid w:val="47F47309"/>
    <w:rsid w:val="47F83CEB"/>
    <w:rsid w:val="498C7B8B"/>
    <w:rsid w:val="499E779D"/>
    <w:rsid w:val="4DAB6955"/>
    <w:rsid w:val="4E3564A6"/>
    <w:rsid w:val="4E507122"/>
    <w:rsid w:val="4F8850AA"/>
    <w:rsid w:val="4FF809AD"/>
    <w:rsid w:val="518D419F"/>
    <w:rsid w:val="51D32BB4"/>
    <w:rsid w:val="51E70DB6"/>
    <w:rsid w:val="52564634"/>
    <w:rsid w:val="53567ED3"/>
    <w:rsid w:val="535B0F52"/>
    <w:rsid w:val="536E574B"/>
    <w:rsid w:val="557534F2"/>
    <w:rsid w:val="56743741"/>
    <w:rsid w:val="56A9512A"/>
    <w:rsid w:val="5AFC476C"/>
    <w:rsid w:val="5C7B2B47"/>
    <w:rsid w:val="5C7D0789"/>
    <w:rsid w:val="5CA603BB"/>
    <w:rsid w:val="5CC9127D"/>
    <w:rsid w:val="5CFC6076"/>
    <w:rsid w:val="5D087792"/>
    <w:rsid w:val="5D6223A4"/>
    <w:rsid w:val="5DA222A2"/>
    <w:rsid w:val="5E641A9D"/>
    <w:rsid w:val="60362D57"/>
    <w:rsid w:val="608E4698"/>
    <w:rsid w:val="63F64583"/>
    <w:rsid w:val="6472347C"/>
    <w:rsid w:val="647E0658"/>
    <w:rsid w:val="64CA6BCB"/>
    <w:rsid w:val="661A55FB"/>
    <w:rsid w:val="66822462"/>
    <w:rsid w:val="67097BFB"/>
    <w:rsid w:val="67830B49"/>
    <w:rsid w:val="684C5F8F"/>
    <w:rsid w:val="69352479"/>
    <w:rsid w:val="699B1C96"/>
    <w:rsid w:val="699D326B"/>
    <w:rsid w:val="6C3914F3"/>
    <w:rsid w:val="6DB0532A"/>
    <w:rsid w:val="6EBD4A03"/>
    <w:rsid w:val="6F056728"/>
    <w:rsid w:val="70452B65"/>
    <w:rsid w:val="707F0A63"/>
    <w:rsid w:val="7171222C"/>
    <w:rsid w:val="71A5782A"/>
    <w:rsid w:val="71CB392E"/>
    <w:rsid w:val="747A26EC"/>
    <w:rsid w:val="757D1DD3"/>
    <w:rsid w:val="76EA316C"/>
    <w:rsid w:val="76F32300"/>
    <w:rsid w:val="77444880"/>
    <w:rsid w:val="776A381D"/>
    <w:rsid w:val="77E96072"/>
    <w:rsid w:val="783825FC"/>
    <w:rsid w:val="78541AD0"/>
    <w:rsid w:val="798F58E7"/>
    <w:rsid w:val="7B027820"/>
    <w:rsid w:val="7C9F2362"/>
    <w:rsid w:val="7D4651C8"/>
    <w:rsid w:val="7D7B5299"/>
    <w:rsid w:val="7DC351E9"/>
    <w:rsid w:val="7E3C57C5"/>
    <w:rsid w:val="7E5C57F4"/>
    <w:rsid w:val="7F053162"/>
    <w:rsid w:val="7F4B1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80" w:lineRule="exact"/>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165</Words>
  <Characters>947</Characters>
  <Lines>7</Lines>
  <Paragraphs>2</Paragraphs>
  <TotalTime>35</TotalTime>
  <ScaleCrop>false</ScaleCrop>
  <LinksUpToDate>false</LinksUpToDate>
  <CharactersWithSpaces>1110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2020-01-19T09:20:00Z</dcterms:created>
  <dc:creator>政务服务数据管理局收发员</dc:creator>
  <cp:lastModifiedBy>Administrator</cp:lastModifiedBy>
  <cp:lastPrinted>2020-01-21T04:54:00Z</cp:lastPrinted>
  <dcterms:modified xsi:type="dcterms:W3CDTF">2020-01-22T07:06:23Z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