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武江区审计局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2019年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政府信息公开工作年度报告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</w:rPr>
        <w:t>　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</w:rPr>
        <w:t>根据《中华人民共和国政府信息公开条例》规定，现公布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lang w:eastAsia="zh-CN"/>
        </w:rPr>
        <w:t>广东省韶关市武江区审计局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</w:rPr>
        <w:t>2019年政府信息公开工作年度报告。本报告由总体情况、主动公开政府信息情况、收到和处理政府信息公开申请情况、政府信息公开行政复议及行政诉讼情况、存在的主要问题及改进情况、其他需要报告的事项等六部分组成，涵盖2019年广东省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lang w:eastAsia="zh-CN"/>
        </w:rPr>
        <w:t>韶关武江区审计局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</w:rPr>
        <w:t>政府信息公开工作情况。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1134" w:firstLineChars="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总体情况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</w:rPr>
        <w:t>广东省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lang w:eastAsia="zh-CN"/>
        </w:rPr>
        <w:t>韶关市武江区审计局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</w:rPr>
        <w:t>全面贯彻党的十九大和十九届二中、三中、四中全会精神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lang w:eastAsia="zh-CN"/>
        </w:rPr>
        <w:t>、区委九次九届会议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</w:rPr>
        <w:t>，坚持以习近平新时代中国特色社会主义思想为指导，深入贯彻落实习近平总书记对广东重要讲话和重要指示批示精神，按照党中央、国务院关于全面推进政务公开工作的部署，认真学习贯彻《中华人民共和国政府信息公开条例》，紧紧围绕经济社会发展和群众关注关切，大力推进政务公开工作取得实效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_GB2312" w:hAnsi="仿宋" w:eastAsia="仿宋_GB2312"/>
          <w:color w:val="212121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color w:val="212121"/>
          <w:sz w:val="32"/>
          <w:szCs w:val="32"/>
          <w:shd w:val="clear" w:color="auto" w:fill="FFFFFF"/>
          <w:lang w:eastAsia="zh-CN"/>
        </w:rPr>
        <w:t>主动公开方面。韶关市武江区审计局</w:t>
      </w:r>
      <w:r>
        <w:rPr>
          <w:rFonts w:ascii="仿宋_GB2312" w:hAnsi="仿宋" w:eastAsia="仿宋_GB2312"/>
          <w:color w:val="212121"/>
          <w:sz w:val="32"/>
          <w:szCs w:val="32"/>
          <w:shd w:val="clear" w:color="auto" w:fill="FFFFFF"/>
        </w:rPr>
        <w:t>2019</w:t>
      </w:r>
      <w:r>
        <w:rPr>
          <w:rFonts w:hint="eastAsia" w:ascii="仿宋_GB2312" w:hAnsi="仿宋" w:eastAsia="仿宋_GB2312"/>
          <w:color w:val="212121"/>
          <w:sz w:val="32"/>
          <w:szCs w:val="32"/>
          <w:shd w:val="clear" w:color="auto" w:fill="FFFFFF"/>
        </w:rPr>
        <w:t>年度共主动公开政府信息</w:t>
      </w:r>
      <w:r>
        <w:rPr>
          <w:rFonts w:ascii="仿宋_GB2312" w:hAnsi="仿宋" w:eastAsia="仿宋_GB2312"/>
          <w:color w:val="212121"/>
          <w:sz w:val="32"/>
          <w:szCs w:val="32"/>
          <w:shd w:val="clear" w:color="auto" w:fill="FFFFFF"/>
        </w:rPr>
        <w:t>59</w:t>
      </w:r>
      <w:r>
        <w:rPr>
          <w:rFonts w:hint="eastAsia" w:ascii="仿宋_GB2312" w:hAnsi="仿宋" w:eastAsia="仿宋_GB2312"/>
          <w:color w:val="212121"/>
          <w:sz w:val="32"/>
          <w:szCs w:val="32"/>
          <w:shd w:val="clear" w:color="auto" w:fill="FFFFFF"/>
        </w:rPr>
        <w:t>条，其中全文电子化达</w:t>
      </w:r>
      <w:r>
        <w:rPr>
          <w:rFonts w:ascii="仿宋_GB2312" w:hAnsi="仿宋" w:eastAsia="仿宋_GB2312"/>
          <w:color w:val="212121"/>
          <w:sz w:val="32"/>
          <w:szCs w:val="32"/>
          <w:shd w:val="clear" w:color="auto" w:fill="FFFFFF"/>
        </w:rPr>
        <w:t>100%</w:t>
      </w:r>
      <w:r>
        <w:rPr>
          <w:rFonts w:hint="eastAsia" w:ascii="仿宋_GB2312" w:hAnsi="仿宋" w:eastAsia="仿宋_GB2312"/>
          <w:color w:val="212121"/>
          <w:sz w:val="32"/>
          <w:szCs w:val="32"/>
          <w:shd w:val="clear" w:color="auto" w:fill="FFFFFF"/>
        </w:rPr>
        <w:t>。在主动公开的信息中，机构职能类栏目公开</w:t>
      </w:r>
      <w:r>
        <w:rPr>
          <w:rFonts w:ascii="仿宋_GB2312" w:hAnsi="仿宋" w:eastAsia="仿宋_GB2312"/>
          <w:color w:val="212121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" w:eastAsia="仿宋_GB2312"/>
          <w:color w:val="212121"/>
          <w:sz w:val="32"/>
          <w:szCs w:val="32"/>
          <w:shd w:val="clear" w:color="auto" w:fill="FFFFFF"/>
        </w:rPr>
        <w:t>条信息，规章文件类栏目公开</w:t>
      </w:r>
      <w:r>
        <w:rPr>
          <w:rFonts w:ascii="仿宋_GB2312" w:hAnsi="仿宋" w:eastAsia="仿宋_GB2312"/>
          <w:color w:val="212121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" w:eastAsia="仿宋_GB2312"/>
          <w:color w:val="212121"/>
          <w:sz w:val="32"/>
          <w:szCs w:val="32"/>
          <w:shd w:val="clear" w:color="auto" w:fill="FFFFFF"/>
        </w:rPr>
        <w:t>条信息，规划计划类栏目公开</w:t>
      </w:r>
      <w:r>
        <w:rPr>
          <w:rFonts w:ascii="仿宋_GB2312" w:hAnsi="仿宋" w:eastAsia="仿宋_GB2312"/>
          <w:color w:val="212121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" w:eastAsia="仿宋_GB2312"/>
          <w:color w:val="212121"/>
          <w:sz w:val="32"/>
          <w:szCs w:val="32"/>
          <w:shd w:val="clear" w:color="auto" w:fill="FFFFFF"/>
        </w:rPr>
        <w:t>条信息，工作动态类栏目公开</w:t>
      </w:r>
      <w:r>
        <w:rPr>
          <w:rFonts w:ascii="仿宋_GB2312" w:hAnsi="仿宋" w:eastAsia="仿宋_GB2312"/>
          <w:color w:val="212121"/>
          <w:sz w:val="32"/>
          <w:szCs w:val="32"/>
          <w:shd w:val="clear" w:color="auto" w:fill="FFFFFF"/>
        </w:rPr>
        <w:t>36</w:t>
      </w:r>
      <w:r>
        <w:rPr>
          <w:rFonts w:hint="eastAsia" w:ascii="仿宋_GB2312" w:hAnsi="仿宋" w:eastAsia="仿宋_GB2312"/>
          <w:color w:val="212121"/>
          <w:sz w:val="32"/>
          <w:szCs w:val="32"/>
          <w:shd w:val="clear" w:color="auto" w:fill="FFFFFF"/>
        </w:rPr>
        <w:t>条信息，业务工作类栏目公开</w:t>
      </w:r>
      <w:r>
        <w:rPr>
          <w:rFonts w:ascii="仿宋_GB2312" w:hAnsi="仿宋" w:eastAsia="仿宋_GB2312"/>
          <w:color w:val="212121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" w:eastAsia="仿宋_GB2312"/>
          <w:color w:val="212121"/>
          <w:sz w:val="32"/>
          <w:szCs w:val="32"/>
          <w:shd w:val="clear" w:color="auto" w:fill="FFFFFF"/>
        </w:rPr>
        <w:t>条信息，统计信息类栏目公开</w:t>
      </w:r>
      <w:r>
        <w:rPr>
          <w:rFonts w:ascii="仿宋_GB2312" w:hAnsi="仿宋" w:eastAsia="仿宋_GB2312"/>
          <w:color w:val="212121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" w:eastAsia="仿宋_GB2312"/>
          <w:color w:val="212121"/>
          <w:sz w:val="32"/>
          <w:szCs w:val="32"/>
          <w:shd w:val="clear" w:color="auto" w:fill="FFFFFF"/>
        </w:rPr>
        <w:t>条信息，其他类栏目公开</w:t>
      </w:r>
      <w:r>
        <w:rPr>
          <w:rFonts w:ascii="仿宋_GB2312" w:hAnsi="仿宋" w:eastAsia="仿宋_GB2312"/>
          <w:color w:val="212121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" w:eastAsia="仿宋_GB2312"/>
          <w:color w:val="212121"/>
          <w:sz w:val="32"/>
          <w:szCs w:val="32"/>
          <w:shd w:val="clear" w:color="auto" w:fill="FFFFFF"/>
        </w:rPr>
        <w:t>条信息，财政预决算和“三公经费”类栏目公开</w:t>
      </w:r>
      <w:r>
        <w:rPr>
          <w:rFonts w:ascii="仿宋_GB2312" w:hAnsi="仿宋" w:eastAsia="仿宋_GB2312"/>
          <w:color w:val="212121"/>
          <w:sz w:val="32"/>
          <w:szCs w:val="32"/>
          <w:shd w:val="clear" w:color="auto" w:fill="FFFFFF"/>
        </w:rPr>
        <w:t>10</w:t>
      </w:r>
      <w:r>
        <w:rPr>
          <w:rFonts w:hint="eastAsia" w:ascii="仿宋_GB2312" w:hAnsi="仿宋" w:eastAsia="仿宋_GB2312"/>
          <w:color w:val="212121"/>
          <w:sz w:val="32"/>
          <w:szCs w:val="32"/>
          <w:shd w:val="clear" w:color="auto" w:fill="FFFFFF"/>
        </w:rPr>
        <w:t>条信息，审计结果类栏目公开</w:t>
      </w:r>
      <w:r>
        <w:rPr>
          <w:rFonts w:ascii="仿宋_GB2312" w:hAnsi="仿宋" w:eastAsia="仿宋_GB2312"/>
          <w:color w:val="212121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" w:eastAsia="仿宋_GB2312"/>
          <w:color w:val="212121"/>
          <w:sz w:val="32"/>
          <w:szCs w:val="32"/>
          <w:shd w:val="clear" w:color="auto" w:fill="FFFFFF"/>
        </w:rPr>
        <w:t>条信息。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_GB2312" w:hAnsi="仿宋" w:eastAsia="仿宋_GB2312"/>
          <w:color w:val="212121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/>
          <w:color w:val="212121"/>
          <w:sz w:val="32"/>
          <w:szCs w:val="32"/>
          <w:shd w:val="clear" w:color="auto" w:fill="FFFFFF"/>
          <w:lang w:eastAsia="zh-CN"/>
        </w:rPr>
        <w:t>依法申请公开方面。</w:t>
      </w:r>
      <w:r>
        <w:rPr>
          <w:rFonts w:hint="eastAsia" w:ascii="仿宋_GB2312" w:hAnsi="仿宋" w:eastAsia="仿宋_GB2312"/>
          <w:color w:val="212121"/>
          <w:sz w:val="32"/>
          <w:szCs w:val="32"/>
          <w:shd w:val="clear" w:color="auto" w:fill="FFFFFF"/>
          <w:lang w:val="en-US" w:eastAsia="zh-CN"/>
        </w:rPr>
        <w:t>2019年未收到依法申请公开方面的事项。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_GB2312" w:hAnsi="仿宋" w:eastAsia="仿宋_GB2312"/>
          <w:color w:val="212121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/>
          <w:color w:val="212121"/>
          <w:sz w:val="32"/>
          <w:szCs w:val="32"/>
          <w:shd w:val="clear" w:color="auto" w:fill="FFFFFF"/>
          <w:lang w:eastAsia="zh-CN"/>
        </w:rPr>
        <w:t>政府信息管理方面。加强和规范政府信息管理，分类细化政务公开事项，主要包括审计方面的规范性文件、区审计局办公室制作的政务动态类信息等。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_GB2312" w:hAnsi="仿宋" w:eastAsia="仿宋_GB2312"/>
          <w:color w:val="212121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/>
          <w:color w:val="212121"/>
          <w:sz w:val="32"/>
          <w:szCs w:val="32"/>
          <w:shd w:val="clear" w:color="auto" w:fill="FFFFFF"/>
          <w:lang w:eastAsia="zh-CN"/>
        </w:rPr>
        <w:t>平台建设方面。根据</w:t>
      </w:r>
      <w:r>
        <w:rPr>
          <w:rFonts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</w:rPr>
        <w:t>《中华人民共和国政府信息公开条例》</w:t>
      </w:r>
      <w:r>
        <w:rPr>
          <w:rFonts w:hint="eastAsia" w:ascii="仿宋_GB2312" w:hAnsi="仿宋" w:eastAsia="仿宋_GB2312"/>
          <w:color w:val="212121"/>
          <w:sz w:val="32"/>
          <w:szCs w:val="32"/>
          <w:shd w:val="clear" w:color="auto" w:fill="FFFFFF"/>
          <w:lang w:eastAsia="zh-CN"/>
        </w:rPr>
        <w:t>《政府网站发展指引》统一标准规范进行发布信息，依照区政府网站要求进行运维监管，实现网站规范化。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_GB2312" w:hAnsi="仿宋" w:eastAsia="仿宋_GB2312"/>
          <w:color w:val="212121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/>
          <w:color w:val="212121"/>
          <w:sz w:val="32"/>
          <w:szCs w:val="32"/>
          <w:shd w:val="clear" w:color="auto" w:fill="FFFFFF"/>
          <w:lang w:eastAsia="zh-CN"/>
        </w:rPr>
        <w:t>解读回应方面。认真落实《广东省政府系统政策解读工作细则》，公开规章文件类、业务工作栏目类共</w:t>
      </w:r>
      <w:r>
        <w:rPr>
          <w:rFonts w:hint="eastAsia" w:ascii="仿宋_GB2312" w:hAnsi="仿宋" w:eastAsia="仿宋_GB2312"/>
          <w:color w:val="212121"/>
          <w:sz w:val="32"/>
          <w:szCs w:val="32"/>
          <w:shd w:val="clear" w:color="auto" w:fill="FFFFFF"/>
          <w:lang w:val="en-US" w:eastAsia="zh-CN"/>
        </w:rPr>
        <w:t>5条，切实做好规范性文件的发布。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_GB2312" w:hAnsi="仿宋" w:eastAsia="仿宋_GB2312"/>
          <w:color w:val="212121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/>
          <w:color w:val="212121"/>
          <w:sz w:val="32"/>
          <w:szCs w:val="32"/>
          <w:shd w:val="clear" w:color="auto" w:fill="FFFFFF"/>
          <w:lang w:eastAsia="zh-CN"/>
        </w:rPr>
        <w:t>监督保障方面。将政务公开工作纳入绩效考核，绩效考核小组对区审计局政府信息公开内容、发布数量等事项进行考核。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主动公开政府信息情况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2208"/>
        <w:gridCol w:w="2209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4" w:type="dxa"/>
            <w:gridSpan w:val="4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信息内容</w:t>
            </w:r>
          </w:p>
        </w:tc>
        <w:tc>
          <w:tcPr>
            <w:tcW w:w="2208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本年新制作数量</w:t>
            </w:r>
          </w:p>
        </w:tc>
        <w:tc>
          <w:tcPr>
            <w:tcW w:w="22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本年新公开数量</w:t>
            </w:r>
          </w:p>
        </w:tc>
        <w:tc>
          <w:tcPr>
            <w:tcW w:w="22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规章</w:t>
            </w:r>
          </w:p>
        </w:tc>
        <w:tc>
          <w:tcPr>
            <w:tcW w:w="2208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2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2</w:t>
            </w:r>
          </w:p>
        </w:tc>
        <w:tc>
          <w:tcPr>
            <w:tcW w:w="22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规范性文件</w:t>
            </w:r>
          </w:p>
        </w:tc>
        <w:tc>
          <w:tcPr>
            <w:tcW w:w="2208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2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0</w:t>
            </w:r>
          </w:p>
        </w:tc>
        <w:tc>
          <w:tcPr>
            <w:tcW w:w="22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4" w:type="dxa"/>
            <w:gridSpan w:val="4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第二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十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信息内容</w:t>
            </w:r>
          </w:p>
        </w:tc>
        <w:tc>
          <w:tcPr>
            <w:tcW w:w="2208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上年项目数量</w:t>
            </w:r>
          </w:p>
        </w:tc>
        <w:tc>
          <w:tcPr>
            <w:tcW w:w="22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本年增</w:t>
            </w:r>
            <w:r>
              <w:rPr>
                <w:rFonts w:ascii="黑体" w:hAnsi="黑体" w:eastAsia="黑体"/>
                <w:sz w:val="28"/>
                <w:szCs w:val="28"/>
              </w:rPr>
              <w:t>/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减</w:t>
            </w:r>
          </w:p>
        </w:tc>
        <w:tc>
          <w:tcPr>
            <w:tcW w:w="22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行政许可</w:t>
            </w:r>
          </w:p>
        </w:tc>
        <w:tc>
          <w:tcPr>
            <w:tcW w:w="2208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无</w:t>
            </w:r>
          </w:p>
        </w:tc>
        <w:tc>
          <w:tcPr>
            <w:tcW w:w="22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无</w:t>
            </w:r>
          </w:p>
        </w:tc>
        <w:tc>
          <w:tcPr>
            <w:tcW w:w="22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其他对外管理服务事项</w:t>
            </w:r>
          </w:p>
        </w:tc>
        <w:tc>
          <w:tcPr>
            <w:tcW w:w="2208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无</w:t>
            </w:r>
          </w:p>
        </w:tc>
        <w:tc>
          <w:tcPr>
            <w:tcW w:w="22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无</w:t>
            </w:r>
          </w:p>
        </w:tc>
        <w:tc>
          <w:tcPr>
            <w:tcW w:w="22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4" w:type="dxa"/>
            <w:gridSpan w:val="4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信息内容</w:t>
            </w:r>
          </w:p>
        </w:tc>
        <w:tc>
          <w:tcPr>
            <w:tcW w:w="2208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上年项目数量</w:t>
            </w:r>
          </w:p>
        </w:tc>
        <w:tc>
          <w:tcPr>
            <w:tcW w:w="22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本年增</w:t>
            </w:r>
            <w:r>
              <w:rPr>
                <w:rFonts w:ascii="黑体" w:hAnsi="黑体" w:eastAsia="黑体"/>
                <w:sz w:val="28"/>
                <w:szCs w:val="28"/>
              </w:rPr>
              <w:t>/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减</w:t>
            </w:r>
          </w:p>
        </w:tc>
        <w:tc>
          <w:tcPr>
            <w:tcW w:w="22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行政处罚</w:t>
            </w:r>
          </w:p>
        </w:tc>
        <w:tc>
          <w:tcPr>
            <w:tcW w:w="2208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无</w:t>
            </w:r>
          </w:p>
        </w:tc>
        <w:tc>
          <w:tcPr>
            <w:tcW w:w="22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无</w:t>
            </w:r>
          </w:p>
        </w:tc>
        <w:tc>
          <w:tcPr>
            <w:tcW w:w="22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行政强制</w:t>
            </w:r>
          </w:p>
        </w:tc>
        <w:tc>
          <w:tcPr>
            <w:tcW w:w="2208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无</w:t>
            </w:r>
          </w:p>
        </w:tc>
        <w:tc>
          <w:tcPr>
            <w:tcW w:w="22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无</w:t>
            </w:r>
          </w:p>
        </w:tc>
        <w:tc>
          <w:tcPr>
            <w:tcW w:w="22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4" w:type="dxa"/>
            <w:gridSpan w:val="4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信息内容</w:t>
            </w:r>
          </w:p>
        </w:tc>
        <w:tc>
          <w:tcPr>
            <w:tcW w:w="4417" w:type="dxa"/>
            <w:gridSpan w:val="2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上一年项目数量</w:t>
            </w:r>
          </w:p>
        </w:tc>
        <w:tc>
          <w:tcPr>
            <w:tcW w:w="22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本年增</w:t>
            </w:r>
            <w:r>
              <w:rPr>
                <w:rFonts w:ascii="黑体" w:hAnsi="黑体" w:eastAsia="黑体"/>
                <w:sz w:val="28"/>
                <w:szCs w:val="28"/>
              </w:rPr>
              <w:t>/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行政事业性收费</w:t>
            </w:r>
          </w:p>
        </w:tc>
        <w:tc>
          <w:tcPr>
            <w:tcW w:w="4417" w:type="dxa"/>
            <w:gridSpan w:val="2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无</w:t>
            </w:r>
          </w:p>
        </w:tc>
        <w:tc>
          <w:tcPr>
            <w:tcW w:w="22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4" w:type="dxa"/>
            <w:gridSpan w:val="4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信息内容</w:t>
            </w:r>
          </w:p>
        </w:tc>
        <w:tc>
          <w:tcPr>
            <w:tcW w:w="4417" w:type="dxa"/>
            <w:gridSpan w:val="2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采购项目数量</w:t>
            </w:r>
          </w:p>
        </w:tc>
        <w:tc>
          <w:tcPr>
            <w:tcW w:w="2209" w:type="dxa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政府集中采购</w:t>
            </w:r>
          </w:p>
        </w:tc>
        <w:tc>
          <w:tcPr>
            <w:tcW w:w="4417" w:type="dxa"/>
            <w:gridSpan w:val="2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60</w:t>
            </w:r>
          </w:p>
        </w:tc>
        <w:tc>
          <w:tcPr>
            <w:tcW w:w="22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5.34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万元</w:t>
            </w:r>
          </w:p>
        </w:tc>
      </w:tr>
    </w:tbl>
    <w:p>
      <w:pPr>
        <w:pStyle w:val="9"/>
        <w:numPr>
          <w:ilvl w:val="0"/>
          <w:numId w:val="0"/>
        </w:numPr>
        <w:ind w:leftChars="0"/>
        <w:rPr>
          <w:rFonts w:hint="eastAsia" w:ascii="黑体" w:hAnsi="黑体" w:eastAsia="黑体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收到和处理政府信息公开申请情况</w:t>
      </w:r>
    </w:p>
    <w:tbl>
      <w:tblPr>
        <w:tblStyle w:val="5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846"/>
        <w:gridCol w:w="2637"/>
        <w:gridCol w:w="850"/>
        <w:gridCol w:w="709"/>
        <w:gridCol w:w="709"/>
        <w:gridCol w:w="850"/>
        <w:gridCol w:w="851"/>
        <w:gridCol w:w="56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3"/>
            <w:vMerge w:val="restart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</w:t>
            </w:r>
            <w:r>
              <w:rPr>
                <w:rFonts w:ascii="黑体" w:hAnsi="黑体" w:eastAsia="黑体"/>
                <w:szCs w:val="21"/>
              </w:rPr>
              <w:t>列数据的勾稽关系为：第一项加第二项之和，等于第三项加第四项之和</w:t>
            </w:r>
          </w:p>
        </w:tc>
        <w:tc>
          <w:tcPr>
            <w:tcW w:w="5245" w:type="dxa"/>
            <w:gridSpan w:val="7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申请</w:t>
            </w:r>
            <w:r>
              <w:rPr>
                <w:rFonts w:ascii="黑体" w:hAnsi="黑体" w:eastAsia="黑体"/>
                <w:szCs w:val="21"/>
              </w:rPr>
              <w:t>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3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50" w:type="dxa"/>
            <w:vMerge w:val="restart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自然人</w:t>
            </w:r>
          </w:p>
        </w:tc>
        <w:tc>
          <w:tcPr>
            <w:tcW w:w="3686" w:type="dxa"/>
            <w:gridSpan w:val="5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法人</w:t>
            </w:r>
            <w:r>
              <w:rPr>
                <w:rFonts w:ascii="黑体" w:hAnsi="黑体" w:eastAsia="黑体"/>
                <w:szCs w:val="21"/>
              </w:rPr>
              <w:t>或其它组织</w:t>
            </w:r>
          </w:p>
        </w:tc>
        <w:tc>
          <w:tcPr>
            <w:tcW w:w="709" w:type="dxa"/>
            <w:vMerge w:val="restart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3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50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商业</w:t>
            </w:r>
            <w:r>
              <w:rPr>
                <w:rFonts w:ascii="黑体" w:hAnsi="黑体" w:eastAsia="黑体"/>
                <w:szCs w:val="21"/>
              </w:rPr>
              <w:t>企业</w:t>
            </w: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科研</w:t>
            </w:r>
            <w:r>
              <w:rPr>
                <w:rFonts w:ascii="黑体" w:hAnsi="黑体" w:eastAsia="黑体"/>
                <w:szCs w:val="21"/>
              </w:rPr>
              <w:t>机构</w:t>
            </w: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社会</w:t>
            </w:r>
            <w:r>
              <w:rPr>
                <w:rFonts w:ascii="黑体" w:hAnsi="黑体" w:eastAsia="黑体"/>
                <w:szCs w:val="21"/>
              </w:rPr>
              <w:t>公益组织</w:t>
            </w:r>
          </w:p>
        </w:tc>
        <w:tc>
          <w:tcPr>
            <w:tcW w:w="851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法律</w:t>
            </w:r>
            <w:r>
              <w:rPr>
                <w:rFonts w:ascii="黑体" w:hAnsi="黑体" w:eastAsia="黑体"/>
                <w:szCs w:val="21"/>
              </w:rPr>
              <w:t>服务机构</w:t>
            </w:r>
          </w:p>
        </w:tc>
        <w:tc>
          <w:tcPr>
            <w:tcW w:w="56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其它</w:t>
            </w:r>
          </w:p>
        </w:tc>
        <w:tc>
          <w:tcPr>
            <w:tcW w:w="709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3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一</w:t>
            </w:r>
            <w:r>
              <w:rPr>
                <w:rFonts w:ascii="黑体" w:hAnsi="黑体" w:eastAsia="黑体"/>
                <w:szCs w:val="21"/>
              </w:rPr>
              <w:t>、本年新收</w:t>
            </w:r>
            <w:r>
              <w:rPr>
                <w:rFonts w:hint="eastAsia" w:ascii="黑体" w:hAnsi="黑体" w:eastAsia="黑体"/>
                <w:szCs w:val="21"/>
              </w:rPr>
              <w:t>政府</w:t>
            </w:r>
            <w:r>
              <w:rPr>
                <w:rFonts w:ascii="黑体" w:hAnsi="黑体" w:eastAsia="黑体"/>
                <w:szCs w:val="21"/>
              </w:rPr>
              <w:t>信息公开申请</w:t>
            </w:r>
            <w:r>
              <w:rPr>
                <w:rFonts w:hint="eastAsia" w:ascii="黑体" w:hAnsi="黑体" w:eastAsia="黑体"/>
                <w:szCs w:val="21"/>
              </w:rPr>
              <w:t>数量</w:t>
            </w: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3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二</w:t>
            </w:r>
            <w:r>
              <w:rPr>
                <w:rFonts w:ascii="黑体" w:hAnsi="黑体" w:eastAsia="黑体"/>
                <w:szCs w:val="21"/>
              </w:rPr>
              <w:t>、上年结转政府信息公开申请数量</w:t>
            </w: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65" w:type="dxa"/>
            <w:vMerge w:val="restart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三</w:t>
            </w:r>
            <w:r>
              <w:rPr>
                <w:rFonts w:ascii="黑体" w:hAnsi="黑体" w:eastAsia="黑体"/>
                <w:sz w:val="24"/>
                <w:szCs w:val="24"/>
              </w:rPr>
              <w:t>、本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年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度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办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理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结</w:t>
            </w:r>
          </w:p>
          <w:p>
            <w:pPr>
              <w:spacing w:line="240" w:lineRule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果</w:t>
            </w:r>
          </w:p>
        </w:tc>
        <w:tc>
          <w:tcPr>
            <w:tcW w:w="3483" w:type="dxa"/>
            <w:gridSpan w:val="2"/>
          </w:tcPr>
          <w:p>
            <w:pPr>
              <w:spacing w:line="24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(一)予以</w:t>
            </w:r>
            <w:r>
              <w:rPr>
                <w:rFonts w:ascii="黑体" w:hAnsi="黑体" w:eastAsia="黑体"/>
                <w:szCs w:val="21"/>
              </w:rPr>
              <w:t>公开</w:t>
            </w: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65" w:type="dxa"/>
            <w:vMerge w:val="continue"/>
          </w:tcPr>
          <w:p>
            <w:pPr>
              <w:pStyle w:val="9"/>
              <w:spacing w:line="240" w:lineRule="auto"/>
              <w:ind w:firstLine="64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483" w:type="dxa"/>
            <w:gridSpan w:val="2"/>
          </w:tcPr>
          <w:p>
            <w:pPr>
              <w:spacing w:line="24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（二）部分</w:t>
            </w:r>
            <w:r>
              <w:rPr>
                <w:rFonts w:ascii="黑体" w:hAnsi="黑体" w:eastAsia="黑体"/>
                <w:szCs w:val="21"/>
              </w:rPr>
              <w:t>公开（</w:t>
            </w:r>
            <w:r>
              <w:rPr>
                <w:rFonts w:hint="eastAsia" w:ascii="黑体" w:hAnsi="黑体" w:eastAsia="黑体"/>
                <w:szCs w:val="21"/>
              </w:rPr>
              <w:t>区分</w:t>
            </w:r>
            <w:r>
              <w:rPr>
                <w:rFonts w:ascii="黑体" w:hAnsi="黑体" w:eastAsia="黑体"/>
                <w:szCs w:val="21"/>
              </w:rPr>
              <w:t>处理的，只计这一情形，</w:t>
            </w:r>
            <w:r>
              <w:rPr>
                <w:rFonts w:hint="eastAsia" w:ascii="黑体" w:hAnsi="黑体" w:eastAsia="黑体"/>
                <w:szCs w:val="21"/>
              </w:rPr>
              <w:t>不</w:t>
            </w:r>
            <w:r>
              <w:rPr>
                <w:rFonts w:ascii="黑体" w:hAnsi="黑体" w:eastAsia="黑体"/>
                <w:szCs w:val="21"/>
              </w:rPr>
              <w:t>计其他情形）</w:t>
            </w: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65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（三）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不予</w:t>
            </w:r>
            <w:r>
              <w:rPr>
                <w:rFonts w:ascii="黑体" w:hAnsi="黑体" w:eastAsia="黑体"/>
                <w:szCs w:val="21"/>
              </w:rPr>
              <w:t>公开</w:t>
            </w:r>
          </w:p>
        </w:tc>
        <w:tc>
          <w:tcPr>
            <w:tcW w:w="2637" w:type="dxa"/>
          </w:tcPr>
          <w:p>
            <w:pPr>
              <w:pStyle w:val="9"/>
              <w:numPr>
                <w:ilvl w:val="0"/>
                <w:numId w:val="3"/>
              </w:numPr>
              <w:spacing w:line="240" w:lineRule="auto"/>
              <w:ind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属于</w:t>
            </w:r>
            <w:r>
              <w:rPr>
                <w:rFonts w:ascii="黑体" w:hAnsi="黑体" w:eastAsia="黑体"/>
                <w:szCs w:val="21"/>
              </w:rPr>
              <w:t>国家秘密</w:t>
            </w: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63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2.其它</w:t>
            </w:r>
            <w:r>
              <w:rPr>
                <w:rFonts w:ascii="黑体" w:hAnsi="黑体" w:eastAsia="黑体"/>
                <w:szCs w:val="21"/>
              </w:rPr>
              <w:t>法律行政法规禁止公开</w:t>
            </w: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63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3.危及</w:t>
            </w:r>
            <w:r>
              <w:rPr>
                <w:rFonts w:ascii="黑体" w:hAnsi="黑体" w:eastAsia="黑体"/>
                <w:szCs w:val="21"/>
              </w:rPr>
              <w:t>“</w:t>
            </w:r>
            <w:r>
              <w:rPr>
                <w:rFonts w:hint="eastAsia" w:ascii="黑体" w:hAnsi="黑体" w:eastAsia="黑体"/>
                <w:szCs w:val="21"/>
              </w:rPr>
              <w:t>三安全一</w:t>
            </w:r>
            <w:r>
              <w:rPr>
                <w:rFonts w:ascii="黑体" w:hAnsi="黑体" w:eastAsia="黑体"/>
                <w:szCs w:val="21"/>
              </w:rPr>
              <w:t>稳定”</w:t>
            </w: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4.保护</w:t>
            </w:r>
            <w:r>
              <w:rPr>
                <w:rFonts w:ascii="黑体" w:hAnsi="黑体" w:eastAsia="黑体"/>
                <w:szCs w:val="21"/>
              </w:rPr>
              <w:t>第三方合法权益</w:t>
            </w: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5.属于</w:t>
            </w:r>
            <w:r>
              <w:rPr>
                <w:rFonts w:ascii="黑体" w:hAnsi="黑体" w:eastAsia="黑体"/>
                <w:szCs w:val="21"/>
              </w:rPr>
              <w:t>三类内部事务信息</w:t>
            </w: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6.属于</w:t>
            </w:r>
            <w:r>
              <w:rPr>
                <w:rFonts w:ascii="黑体" w:hAnsi="黑体" w:eastAsia="黑体"/>
                <w:szCs w:val="21"/>
              </w:rPr>
              <w:t>四类过程性信息</w:t>
            </w: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7.属于</w:t>
            </w:r>
            <w:r>
              <w:rPr>
                <w:rFonts w:ascii="黑体" w:hAnsi="黑体" w:eastAsia="黑体"/>
                <w:szCs w:val="21"/>
              </w:rPr>
              <w:t>行政执法</w:t>
            </w:r>
            <w:r>
              <w:rPr>
                <w:rFonts w:hint="eastAsia" w:ascii="黑体" w:hAnsi="黑体" w:eastAsia="黑体"/>
                <w:szCs w:val="21"/>
              </w:rPr>
              <w:t>案卷</w:t>
            </w: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8.属于</w:t>
            </w:r>
            <w:r>
              <w:rPr>
                <w:rFonts w:ascii="黑体" w:hAnsi="黑体" w:eastAsia="黑体"/>
                <w:szCs w:val="21"/>
              </w:rPr>
              <w:t>行政查询事项</w:t>
            </w: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65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restart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(四)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无法</w:t>
            </w:r>
            <w:r>
              <w:rPr>
                <w:rFonts w:ascii="黑体" w:hAnsi="黑体" w:eastAsia="黑体"/>
                <w:szCs w:val="21"/>
              </w:rPr>
              <w:t>提供</w:t>
            </w:r>
          </w:p>
        </w:tc>
        <w:tc>
          <w:tcPr>
            <w:tcW w:w="263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1.本</w:t>
            </w:r>
            <w:r>
              <w:rPr>
                <w:rFonts w:ascii="黑体" w:hAnsi="黑体" w:eastAsia="黑体"/>
                <w:szCs w:val="21"/>
              </w:rPr>
              <w:t>机关不</w:t>
            </w:r>
            <w:r>
              <w:rPr>
                <w:rFonts w:hint="eastAsia" w:ascii="黑体" w:hAnsi="黑体" w:eastAsia="黑体"/>
                <w:szCs w:val="21"/>
              </w:rPr>
              <w:t>掌握</w:t>
            </w:r>
            <w:r>
              <w:rPr>
                <w:rFonts w:ascii="黑体" w:hAnsi="黑体" w:eastAsia="黑体"/>
                <w:szCs w:val="21"/>
              </w:rPr>
              <w:t>相关政府信息</w:t>
            </w: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2.没有</w:t>
            </w:r>
            <w:r>
              <w:rPr>
                <w:rFonts w:ascii="黑体" w:hAnsi="黑体" w:eastAsia="黑体"/>
                <w:szCs w:val="21"/>
              </w:rPr>
              <w:t>现成信息需要另行制作</w:t>
            </w: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3.补正</w:t>
            </w:r>
            <w:r>
              <w:rPr>
                <w:rFonts w:ascii="黑体" w:hAnsi="黑体" w:eastAsia="黑体"/>
                <w:szCs w:val="21"/>
              </w:rPr>
              <w:t>后申请内容仍不明确</w:t>
            </w: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restart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（五）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不予</w:t>
            </w:r>
            <w:r>
              <w:rPr>
                <w:rFonts w:ascii="黑体" w:hAnsi="黑体" w:eastAsia="黑体"/>
                <w:szCs w:val="21"/>
              </w:rPr>
              <w:t>处理</w:t>
            </w:r>
          </w:p>
        </w:tc>
        <w:tc>
          <w:tcPr>
            <w:tcW w:w="263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1.信</w:t>
            </w:r>
            <w:r>
              <w:rPr>
                <w:rFonts w:ascii="黑体" w:hAnsi="黑体" w:eastAsia="黑体"/>
                <w:szCs w:val="21"/>
              </w:rPr>
              <w:t>访举报投诉类申请</w:t>
            </w: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2.重复</w:t>
            </w:r>
            <w:r>
              <w:rPr>
                <w:rFonts w:ascii="黑体" w:hAnsi="黑体" w:eastAsia="黑体"/>
                <w:szCs w:val="21"/>
              </w:rPr>
              <w:t>申请</w:t>
            </w: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3.要求</w:t>
            </w:r>
            <w:r>
              <w:rPr>
                <w:rFonts w:ascii="黑体" w:hAnsi="黑体" w:eastAsia="黑体"/>
                <w:szCs w:val="21"/>
              </w:rPr>
              <w:t>提供公开出版物</w:t>
            </w: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4.无</w:t>
            </w:r>
            <w:r>
              <w:rPr>
                <w:rFonts w:ascii="黑体" w:hAnsi="黑体" w:eastAsia="黑体"/>
                <w:szCs w:val="21"/>
              </w:rPr>
              <w:t>正当理由大量反复申请</w:t>
            </w: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5.</w:t>
            </w:r>
            <w:r>
              <w:rPr>
                <w:rFonts w:hint="eastAsia" w:ascii="黑体" w:hAnsi="黑体" w:eastAsia="黑体"/>
                <w:szCs w:val="21"/>
              </w:rPr>
              <w:t>要求</w:t>
            </w:r>
            <w:r>
              <w:rPr>
                <w:rFonts w:ascii="黑体" w:hAnsi="黑体" w:eastAsia="黑体"/>
                <w:szCs w:val="21"/>
              </w:rPr>
              <w:t>行政机关确认或</w:t>
            </w:r>
            <w:r>
              <w:rPr>
                <w:rFonts w:hint="eastAsia" w:ascii="黑体" w:hAnsi="黑体" w:eastAsia="黑体"/>
                <w:szCs w:val="21"/>
              </w:rPr>
              <w:t>重新</w:t>
            </w:r>
            <w:r>
              <w:rPr>
                <w:rFonts w:ascii="黑体" w:hAnsi="黑体" w:eastAsia="黑体"/>
                <w:szCs w:val="21"/>
              </w:rPr>
              <w:t>出具已获取</w:t>
            </w:r>
            <w:r>
              <w:rPr>
                <w:rFonts w:hint="eastAsia" w:ascii="黑体" w:hAnsi="黑体" w:eastAsia="黑体"/>
                <w:szCs w:val="21"/>
              </w:rPr>
              <w:t>信息</w:t>
            </w: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483" w:type="dxa"/>
            <w:gridSpan w:val="2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（六）其他</w:t>
            </w:r>
            <w:r>
              <w:rPr>
                <w:rFonts w:ascii="黑体" w:hAnsi="黑体" w:eastAsia="黑体"/>
                <w:szCs w:val="21"/>
              </w:rPr>
              <w:t>处理</w:t>
            </w: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483" w:type="dxa"/>
            <w:gridSpan w:val="2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（七）总计</w:t>
            </w: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3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四</w:t>
            </w:r>
            <w:r>
              <w:rPr>
                <w:rFonts w:ascii="黑体" w:hAnsi="黑体" w:eastAsia="黑体"/>
                <w:szCs w:val="21"/>
              </w:rPr>
              <w:t>、</w:t>
            </w:r>
            <w:r>
              <w:rPr>
                <w:rFonts w:hint="eastAsia" w:ascii="黑体" w:hAnsi="黑体" w:eastAsia="黑体"/>
                <w:szCs w:val="21"/>
              </w:rPr>
              <w:t>结转</w:t>
            </w:r>
            <w:r>
              <w:rPr>
                <w:rFonts w:ascii="黑体" w:hAnsi="黑体" w:eastAsia="黑体"/>
                <w:szCs w:val="21"/>
              </w:rPr>
              <w:t>下年度继续办理</w:t>
            </w: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</w:tr>
    </w:tbl>
    <w:tbl>
      <w:tblPr>
        <w:tblStyle w:val="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846"/>
        <w:gridCol w:w="2637"/>
        <w:gridCol w:w="850"/>
        <w:gridCol w:w="709"/>
        <w:gridCol w:w="709"/>
        <w:gridCol w:w="850"/>
        <w:gridCol w:w="851"/>
        <w:gridCol w:w="56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3"/>
            <w:vMerge w:val="restart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本列数据的勾稽关系为：第一项加第二项之和，等于第三项加第四项之和</w:t>
            </w:r>
          </w:p>
        </w:tc>
        <w:tc>
          <w:tcPr>
            <w:tcW w:w="5245" w:type="dxa"/>
            <w:gridSpan w:val="7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3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50" w:type="dxa"/>
            <w:vMerge w:val="restart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自然人</w:t>
            </w:r>
          </w:p>
        </w:tc>
        <w:tc>
          <w:tcPr>
            <w:tcW w:w="3686" w:type="dxa"/>
            <w:gridSpan w:val="5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法人或其它组织</w:t>
            </w:r>
          </w:p>
        </w:tc>
        <w:tc>
          <w:tcPr>
            <w:tcW w:w="709" w:type="dxa"/>
            <w:vMerge w:val="restart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3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50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商业企业</w:t>
            </w: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科研机构</w:t>
            </w: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社会公益组织</w:t>
            </w:r>
          </w:p>
        </w:tc>
        <w:tc>
          <w:tcPr>
            <w:tcW w:w="851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法律服务机构</w:t>
            </w:r>
          </w:p>
        </w:tc>
        <w:tc>
          <w:tcPr>
            <w:tcW w:w="56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其它</w:t>
            </w:r>
          </w:p>
        </w:tc>
        <w:tc>
          <w:tcPr>
            <w:tcW w:w="709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3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一、本年新收政府信息公开申请数量</w:t>
            </w: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</w:t>
            </w: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</w:t>
            </w: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</w:t>
            </w: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</w:t>
            </w:r>
          </w:p>
        </w:tc>
        <w:tc>
          <w:tcPr>
            <w:tcW w:w="851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</w:t>
            </w:r>
          </w:p>
        </w:tc>
        <w:tc>
          <w:tcPr>
            <w:tcW w:w="56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</w:t>
            </w: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3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二、上年结转政府信息公开申请数量</w:t>
            </w: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</w:t>
            </w: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</w:t>
            </w: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</w:t>
            </w: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</w:t>
            </w:r>
          </w:p>
        </w:tc>
        <w:tc>
          <w:tcPr>
            <w:tcW w:w="851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</w:t>
            </w:r>
          </w:p>
        </w:tc>
        <w:tc>
          <w:tcPr>
            <w:tcW w:w="56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</w:t>
            </w: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3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（一）予以公开</w:t>
            </w: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3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（二）部分公开（区分处理的只记这一情形，不计其他情形）</w:t>
            </w: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65" w:type="dxa"/>
            <w:vMerge w:val="restart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三、本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度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办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理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结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果</w:t>
            </w:r>
          </w:p>
        </w:tc>
        <w:tc>
          <w:tcPr>
            <w:tcW w:w="846" w:type="dxa"/>
            <w:vMerge w:val="restart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（三）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不予公开</w:t>
            </w:r>
          </w:p>
        </w:tc>
        <w:tc>
          <w:tcPr>
            <w:tcW w:w="2637" w:type="dxa"/>
          </w:tcPr>
          <w:p>
            <w:pPr>
              <w:pStyle w:val="9"/>
              <w:numPr>
                <w:ilvl w:val="0"/>
                <w:numId w:val="3"/>
              </w:numPr>
              <w:spacing w:line="240" w:lineRule="auto"/>
              <w:ind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属于国家秘密</w:t>
            </w: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63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2.</w:t>
            </w:r>
            <w:r>
              <w:rPr>
                <w:rFonts w:hint="eastAsia" w:ascii="黑体" w:hAnsi="黑体" w:eastAsia="黑体"/>
                <w:szCs w:val="21"/>
              </w:rPr>
              <w:t>其它法律行政法规禁止公开</w:t>
            </w: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63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3.</w:t>
            </w:r>
            <w:r>
              <w:rPr>
                <w:rFonts w:hint="eastAsia" w:ascii="黑体" w:hAnsi="黑体" w:eastAsia="黑体"/>
                <w:szCs w:val="21"/>
              </w:rPr>
              <w:t>危及“三安全一稳定”</w:t>
            </w: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4.</w:t>
            </w:r>
            <w:r>
              <w:rPr>
                <w:rFonts w:hint="eastAsia" w:ascii="黑体" w:hAnsi="黑体" w:eastAsia="黑体"/>
                <w:szCs w:val="21"/>
              </w:rPr>
              <w:t>保护第三方合法权益</w:t>
            </w: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5.</w:t>
            </w:r>
            <w:r>
              <w:rPr>
                <w:rFonts w:hint="eastAsia" w:ascii="黑体" w:hAnsi="黑体" w:eastAsia="黑体"/>
                <w:szCs w:val="21"/>
              </w:rPr>
              <w:t>属于三类内部事务信息</w:t>
            </w: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6.</w:t>
            </w:r>
            <w:r>
              <w:rPr>
                <w:rFonts w:hint="eastAsia" w:ascii="黑体" w:hAnsi="黑体" w:eastAsia="黑体"/>
                <w:szCs w:val="21"/>
              </w:rPr>
              <w:t>属于四类过程性信息</w:t>
            </w: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7.</w:t>
            </w:r>
            <w:r>
              <w:rPr>
                <w:rFonts w:hint="eastAsia" w:ascii="黑体" w:hAnsi="黑体" w:eastAsia="黑体"/>
                <w:szCs w:val="21"/>
              </w:rPr>
              <w:t>属于行政执法案卷</w:t>
            </w: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8.</w:t>
            </w:r>
            <w:r>
              <w:rPr>
                <w:rFonts w:hint="eastAsia" w:ascii="黑体" w:hAnsi="黑体" w:eastAsia="黑体"/>
                <w:szCs w:val="21"/>
              </w:rPr>
              <w:t>属于行政查询事项</w:t>
            </w: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65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restart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(</w:t>
            </w:r>
            <w:r>
              <w:rPr>
                <w:rFonts w:hint="eastAsia" w:ascii="黑体" w:hAnsi="黑体" w:eastAsia="黑体"/>
                <w:szCs w:val="21"/>
              </w:rPr>
              <w:t>四</w:t>
            </w:r>
            <w:r>
              <w:rPr>
                <w:rFonts w:ascii="黑体" w:hAnsi="黑体" w:eastAsia="黑体"/>
                <w:szCs w:val="21"/>
              </w:rPr>
              <w:t>)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无法提供</w:t>
            </w:r>
          </w:p>
        </w:tc>
        <w:tc>
          <w:tcPr>
            <w:tcW w:w="263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1.</w:t>
            </w:r>
            <w:r>
              <w:rPr>
                <w:rFonts w:hint="eastAsia" w:ascii="黑体" w:hAnsi="黑体" w:eastAsia="黑体"/>
                <w:szCs w:val="21"/>
              </w:rPr>
              <w:t>本机关不掌握相关政府信息</w:t>
            </w: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2.</w:t>
            </w:r>
            <w:r>
              <w:rPr>
                <w:rFonts w:hint="eastAsia" w:ascii="黑体" w:hAnsi="黑体" w:eastAsia="黑体"/>
                <w:szCs w:val="21"/>
              </w:rPr>
              <w:t>没有现成信息需要另行制作</w:t>
            </w: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3.</w:t>
            </w:r>
            <w:r>
              <w:rPr>
                <w:rFonts w:hint="eastAsia" w:ascii="黑体" w:hAnsi="黑体" w:eastAsia="黑体"/>
                <w:szCs w:val="21"/>
              </w:rPr>
              <w:t>补正后申请内容仍不明确</w:t>
            </w: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restart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（五）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不予处理</w:t>
            </w:r>
          </w:p>
        </w:tc>
        <w:tc>
          <w:tcPr>
            <w:tcW w:w="263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1.</w:t>
            </w:r>
            <w:r>
              <w:rPr>
                <w:rFonts w:hint="eastAsia" w:ascii="黑体" w:hAnsi="黑体" w:eastAsia="黑体"/>
                <w:szCs w:val="21"/>
              </w:rPr>
              <w:t>信访举报投诉类申请</w:t>
            </w: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2.</w:t>
            </w:r>
            <w:r>
              <w:rPr>
                <w:rFonts w:hint="eastAsia" w:ascii="黑体" w:hAnsi="黑体" w:eastAsia="黑体"/>
                <w:szCs w:val="21"/>
              </w:rPr>
              <w:t>重复申请</w:t>
            </w: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3.</w:t>
            </w:r>
            <w:r>
              <w:rPr>
                <w:rFonts w:hint="eastAsia" w:ascii="黑体" w:hAnsi="黑体" w:eastAsia="黑体"/>
                <w:szCs w:val="21"/>
              </w:rPr>
              <w:t>要求提供公开出版物</w:t>
            </w: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4.</w:t>
            </w:r>
            <w:r>
              <w:rPr>
                <w:rFonts w:hint="eastAsia" w:ascii="黑体" w:hAnsi="黑体" w:eastAsia="黑体"/>
                <w:szCs w:val="21"/>
              </w:rPr>
              <w:t>无正当理由大量反复申请</w:t>
            </w: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5.</w:t>
            </w:r>
            <w:r>
              <w:rPr>
                <w:rFonts w:hint="eastAsia" w:ascii="黑体" w:hAnsi="黑体" w:eastAsia="黑体"/>
                <w:szCs w:val="21"/>
              </w:rPr>
              <w:t>要求行政机关确认或重新出具已获取信息</w:t>
            </w: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483" w:type="dxa"/>
            <w:gridSpan w:val="2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（六）其他处理</w:t>
            </w: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483" w:type="dxa"/>
            <w:gridSpan w:val="2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（七）总计</w:t>
            </w: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3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四、结转下年度继续办理</w:t>
            </w: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ind w:leftChars="0"/>
        <w:rPr>
          <w:rFonts w:hint="eastAsia" w:ascii="黑体" w:hAnsi="黑体" w:eastAsia="黑体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政府信息公开行政复议、行政诉讼情况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543"/>
        <w:gridCol w:w="542"/>
        <w:gridCol w:w="542"/>
        <w:gridCol w:w="660"/>
        <w:gridCol w:w="540"/>
        <w:gridCol w:w="453"/>
        <w:gridCol w:w="513"/>
        <w:gridCol w:w="540"/>
        <w:gridCol w:w="540"/>
        <w:gridCol w:w="540"/>
        <w:gridCol w:w="540"/>
        <w:gridCol w:w="540"/>
        <w:gridCol w:w="540"/>
        <w:gridCol w:w="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830" w:type="dxa"/>
            <w:gridSpan w:val="5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行政复议</w:t>
            </w:r>
          </w:p>
        </w:tc>
        <w:tc>
          <w:tcPr>
            <w:tcW w:w="5387" w:type="dxa"/>
            <w:gridSpan w:val="1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3" w:type="dxa"/>
            <w:vMerge w:val="restart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结果维持</w:t>
            </w:r>
          </w:p>
        </w:tc>
        <w:tc>
          <w:tcPr>
            <w:tcW w:w="543" w:type="dxa"/>
            <w:vMerge w:val="restart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结果纠正</w:t>
            </w:r>
          </w:p>
        </w:tc>
        <w:tc>
          <w:tcPr>
            <w:tcW w:w="542" w:type="dxa"/>
            <w:vMerge w:val="restart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其他结果</w:t>
            </w:r>
          </w:p>
        </w:tc>
        <w:tc>
          <w:tcPr>
            <w:tcW w:w="542" w:type="dxa"/>
            <w:vMerge w:val="restart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尚未审结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总计</w:t>
            </w:r>
          </w:p>
        </w:tc>
        <w:tc>
          <w:tcPr>
            <w:tcW w:w="2586" w:type="dxa"/>
            <w:gridSpan w:val="5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未经复议直接起诉</w:t>
            </w:r>
          </w:p>
        </w:tc>
        <w:tc>
          <w:tcPr>
            <w:tcW w:w="2801" w:type="dxa"/>
            <w:gridSpan w:val="5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3" w:type="dxa"/>
            <w:vMerge w:val="continue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2" w:type="dxa"/>
            <w:vMerge w:val="continue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2" w:type="dxa"/>
            <w:vMerge w:val="continue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结果维持</w:t>
            </w:r>
          </w:p>
        </w:tc>
        <w:tc>
          <w:tcPr>
            <w:tcW w:w="453" w:type="dxa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结果纠正</w:t>
            </w:r>
          </w:p>
        </w:tc>
        <w:tc>
          <w:tcPr>
            <w:tcW w:w="513" w:type="dxa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其他结果</w:t>
            </w:r>
          </w:p>
        </w:tc>
        <w:tc>
          <w:tcPr>
            <w:tcW w:w="540" w:type="dxa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尚未审结</w:t>
            </w:r>
          </w:p>
        </w:tc>
        <w:tc>
          <w:tcPr>
            <w:tcW w:w="540" w:type="dxa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总计</w:t>
            </w:r>
          </w:p>
        </w:tc>
        <w:tc>
          <w:tcPr>
            <w:tcW w:w="540" w:type="dxa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结果维持</w:t>
            </w:r>
          </w:p>
        </w:tc>
        <w:tc>
          <w:tcPr>
            <w:tcW w:w="540" w:type="dxa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结果纠正</w:t>
            </w:r>
          </w:p>
        </w:tc>
        <w:tc>
          <w:tcPr>
            <w:tcW w:w="540" w:type="dxa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其他结果</w:t>
            </w:r>
          </w:p>
        </w:tc>
        <w:tc>
          <w:tcPr>
            <w:tcW w:w="540" w:type="dxa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尚未审结</w:t>
            </w:r>
          </w:p>
        </w:tc>
        <w:tc>
          <w:tcPr>
            <w:tcW w:w="641" w:type="dxa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543" w:type="dxa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</w:t>
            </w:r>
          </w:p>
        </w:tc>
        <w:tc>
          <w:tcPr>
            <w:tcW w:w="543" w:type="dxa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</w:t>
            </w:r>
          </w:p>
        </w:tc>
        <w:tc>
          <w:tcPr>
            <w:tcW w:w="542" w:type="dxa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</w:t>
            </w:r>
          </w:p>
        </w:tc>
        <w:tc>
          <w:tcPr>
            <w:tcW w:w="542" w:type="dxa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</w:t>
            </w:r>
          </w:p>
        </w:tc>
        <w:tc>
          <w:tcPr>
            <w:tcW w:w="660" w:type="dxa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</w:t>
            </w:r>
          </w:p>
        </w:tc>
        <w:tc>
          <w:tcPr>
            <w:tcW w:w="540" w:type="dxa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</w:t>
            </w:r>
          </w:p>
        </w:tc>
        <w:tc>
          <w:tcPr>
            <w:tcW w:w="453" w:type="dxa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</w:t>
            </w:r>
          </w:p>
        </w:tc>
        <w:tc>
          <w:tcPr>
            <w:tcW w:w="513" w:type="dxa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</w:t>
            </w:r>
          </w:p>
        </w:tc>
        <w:tc>
          <w:tcPr>
            <w:tcW w:w="540" w:type="dxa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</w:t>
            </w:r>
          </w:p>
        </w:tc>
        <w:tc>
          <w:tcPr>
            <w:tcW w:w="540" w:type="dxa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</w:t>
            </w:r>
          </w:p>
        </w:tc>
        <w:tc>
          <w:tcPr>
            <w:tcW w:w="540" w:type="dxa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</w:t>
            </w:r>
          </w:p>
        </w:tc>
        <w:tc>
          <w:tcPr>
            <w:tcW w:w="540" w:type="dxa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</w:t>
            </w:r>
          </w:p>
        </w:tc>
        <w:tc>
          <w:tcPr>
            <w:tcW w:w="540" w:type="dxa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</w:t>
            </w:r>
          </w:p>
        </w:tc>
        <w:tc>
          <w:tcPr>
            <w:tcW w:w="540" w:type="dxa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</w:t>
            </w:r>
          </w:p>
        </w:tc>
        <w:tc>
          <w:tcPr>
            <w:tcW w:w="641" w:type="dxa"/>
            <w:vAlign w:val="center"/>
          </w:tcPr>
          <w:p>
            <w:pPr>
              <w:pStyle w:val="9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</w:t>
            </w:r>
          </w:p>
        </w:tc>
      </w:tr>
    </w:tbl>
    <w:p>
      <w:pPr>
        <w:pStyle w:val="9"/>
        <w:numPr>
          <w:ilvl w:val="0"/>
          <w:numId w:val="0"/>
        </w:numPr>
        <w:ind w:leftChars="0"/>
        <w:rPr>
          <w:rFonts w:hint="eastAsia" w:ascii="黑体" w:hAnsi="黑体" w:eastAsia="黑体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/>
          <w:sz w:val="32"/>
          <w:szCs w:val="32"/>
        </w:rPr>
        <w:t>存在的主要问题及改进情况</w:t>
      </w:r>
    </w:p>
    <w:p>
      <w:pPr>
        <w:ind w:firstLine="800" w:firstLineChars="2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212121"/>
          <w:sz w:val="32"/>
          <w:szCs w:val="32"/>
          <w:shd w:val="clear" w:color="auto" w:fill="FFFFFF"/>
        </w:rPr>
        <w:t>区审计局政府信息公开工作虽然取得了一定的成绩，但也存在一些问题和不足，主要是主动公开的意识还有待进一步加强；信息公开的内容有待进一步完善，信息更新还不够及时。为了进一步做好我局信息公开工作，区审计局在今后的信息公开工作中将采取以下措施：</w:t>
      </w:r>
      <w:r>
        <w:rPr>
          <w:rStyle w:val="7"/>
          <w:rFonts w:hint="eastAsia" w:ascii="仿宋_GB2312" w:hAnsi="仿宋" w:eastAsia="仿宋_GB2312"/>
          <w:color w:val="212121"/>
          <w:sz w:val="32"/>
          <w:szCs w:val="32"/>
          <w:shd w:val="clear" w:color="auto" w:fill="FFFFFF"/>
        </w:rPr>
        <w:t>一是</w:t>
      </w:r>
      <w:r>
        <w:rPr>
          <w:rFonts w:hint="eastAsia" w:ascii="仿宋_GB2312" w:hAnsi="仿宋" w:eastAsia="仿宋_GB2312"/>
          <w:color w:val="212121"/>
          <w:sz w:val="32"/>
          <w:szCs w:val="32"/>
          <w:shd w:val="clear" w:color="auto" w:fill="FFFFFF"/>
        </w:rPr>
        <w:t>统一认识，努力规范工作流程。区审计局将按照《中华人民共和国政府信息公开条例》要求，进一步梳理局机关所掌握的政府信息，及时提供，确保政府信息公开工作能按照既定的工作流程有效运作，方便公众查询。</w:t>
      </w:r>
      <w:r>
        <w:rPr>
          <w:rStyle w:val="7"/>
          <w:rFonts w:hint="eastAsia" w:ascii="仿宋_GB2312" w:hAnsi="仿宋" w:eastAsia="仿宋_GB2312"/>
          <w:color w:val="212121"/>
          <w:sz w:val="32"/>
          <w:szCs w:val="32"/>
          <w:shd w:val="clear" w:color="auto" w:fill="FFFFFF"/>
        </w:rPr>
        <w:t>二是</w:t>
      </w:r>
      <w:r>
        <w:rPr>
          <w:rFonts w:hint="eastAsia" w:ascii="仿宋_GB2312" w:hAnsi="仿宋" w:eastAsia="仿宋_GB2312"/>
          <w:color w:val="212121"/>
          <w:sz w:val="32"/>
          <w:szCs w:val="32"/>
          <w:shd w:val="clear" w:color="auto" w:fill="FFFFFF"/>
        </w:rPr>
        <w:t>加强信息及时公开工作。区审计局将进一步梳理政府信息，对政府信息公开目录进行补充完善，保证公开信息的完整性、准确性和及时性。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/>
          <w:sz w:val="32"/>
          <w:szCs w:val="32"/>
        </w:rPr>
        <w:t>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无</w:t>
      </w:r>
    </w:p>
    <w:p>
      <w:pPr>
        <w:rPr>
          <w:rFonts w:ascii="仿宋_GB2312" w:hAnsi="黑体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74" w:bottom="1985" w:left="1588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2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E21"/>
    <w:multiLevelType w:val="multilevel"/>
    <w:tmpl w:val="07417E2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8AA3328"/>
    <w:multiLevelType w:val="singleLevel"/>
    <w:tmpl w:val="18AA332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B720660"/>
    <w:multiLevelType w:val="multilevel"/>
    <w:tmpl w:val="4B72066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401"/>
    <w:rsid w:val="000528B6"/>
    <w:rsid w:val="0006643C"/>
    <w:rsid w:val="00077FA4"/>
    <w:rsid w:val="000B75E2"/>
    <w:rsid w:val="000D2914"/>
    <w:rsid w:val="001618D4"/>
    <w:rsid w:val="00184117"/>
    <w:rsid w:val="001F3CB7"/>
    <w:rsid w:val="002275F2"/>
    <w:rsid w:val="002767DD"/>
    <w:rsid w:val="002A0243"/>
    <w:rsid w:val="002E3635"/>
    <w:rsid w:val="002E4AFD"/>
    <w:rsid w:val="00312083"/>
    <w:rsid w:val="00353A83"/>
    <w:rsid w:val="003743A0"/>
    <w:rsid w:val="00382BEF"/>
    <w:rsid w:val="003B12C3"/>
    <w:rsid w:val="003C5754"/>
    <w:rsid w:val="003F55CA"/>
    <w:rsid w:val="00426FCF"/>
    <w:rsid w:val="00434B6F"/>
    <w:rsid w:val="00483E6D"/>
    <w:rsid w:val="004D28A2"/>
    <w:rsid w:val="00511ADE"/>
    <w:rsid w:val="005201B0"/>
    <w:rsid w:val="00540980"/>
    <w:rsid w:val="00547A29"/>
    <w:rsid w:val="00581062"/>
    <w:rsid w:val="00594626"/>
    <w:rsid w:val="005C6227"/>
    <w:rsid w:val="0067321E"/>
    <w:rsid w:val="00692BE7"/>
    <w:rsid w:val="006D0E94"/>
    <w:rsid w:val="006E64DF"/>
    <w:rsid w:val="006F66ED"/>
    <w:rsid w:val="00710E64"/>
    <w:rsid w:val="00740E78"/>
    <w:rsid w:val="0074208E"/>
    <w:rsid w:val="00763D75"/>
    <w:rsid w:val="007649C2"/>
    <w:rsid w:val="007A4D4B"/>
    <w:rsid w:val="00802D5E"/>
    <w:rsid w:val="0083396B"/>
    <w:rsid w:val="00846D3F"/>
    <w:rsid w:val="008749F3"/>
    <w:rsid w:val="00874B90"/>
    <w:rsid w:val="0088257B"/>
    <w:rsid w:val="00890D27"/>
    <w:rsid w:val="008C258E"/>
    <w:rsid w:val="009151C2"/>
    <w:rsid w:val="00933E1C"/>
    <w:rsid w:val="0096167F"/>
    <w:rsid w:val="0097076B"/>
    <w:rsid w:val="00984F83"/>
    <w:rsid w:val="00A0487C"/>
    <w:rsid w:val="00A13F0C"/>
    <w:rsid w:val="00A65C31"/>
    <w:rsid w:val="00A66A3C"/>
    <w:rsid w:val="00A83EDA"/>
    <w:rsid w:val="00AD2155"/>
    <w:rsid w:val="00AD5821"/>
    <w:rsid w:val="00AE053C"/>
    <w:rsid w:val="00B742D1"/>
    <w:rsid w:val="00B848E5"/>
    <w:rsid w:val="00B942AE"/>
    <w:rsid w:val="00BA5127"/>
    <w:rsid w:val="00BB184E"/>
    <w:rsid w:val="00BD4E43"/>
    <w:rsid w:val="00C040D4"/>
    <w:rsid w:val="00C541BB"/>
    <w:rsid w:val="00C70F10"/>
    <w:rsid w:val="00C82901"/>
    <w:rsid w:val="00C83B67"/>
    <w:rsid w:val="00C860BC"/>
    <w:rsid w:val="00CB1473"/>
    <w:rsid w:val="00CB4C77"/>
    <w:rsid w:val="00CD6EF6"/>
    <w:rsid w:val="00D239E3"/>
    <w:rsid w:val="00D50D99"/>
    <w:rsid w:val="00D62067"/>
    <w:rsid w:val="00D74940"/>
    <w:rsid w:val="00DD2466"/>
    <w:rsid w:val="00DD42CC"/>
    <w:rsid w:val="00E22B40"/>
    <w:rsid w:val="00E34A0B"/>
    <w:rsid w:val="00E43F98"/>
    <w:rsid w:val="00E515F8"/>
    <w:rsid w:val="00E9411C"/>
    <w:rsid w:val="00EB6F8D"/>
    <w:rsid w:val="00F02D7A"/>
    <w:rsid w:val="00F33401"/>
    <w:rsid w:val="00F54145"/>
    <w:rsid w:val="00F72259"/>
    <w:rsid w:val="00F87DA5"/>
    <w:rsid w:val="00FA2013"/>
    <w:rsid w:val="00FD68F8"/>
    <w:rsid w:val="1DA61034"/>
    <w:rsid w:val="316D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80" w:lineRule="exact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locked/>
    <w:uiPriority w:val="99"/>
    <w:rPr>
      <w:rFonts w:cs="Times New Roman"/>
      <w:b/>
      <w:bCs/>
    </w:rPr>
  </w:style>
  <w:style w:type="character" w:styleId="8">
    <w:name w:val="page number"/>
    <w:basedOn w:val="6"/>
    <w:qFormat/>
    <w:uiPriority w:val="99"/>
    <w:rPr>
      <w:rFonts w:cs="Times New Roman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Head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Footer Char"/>
    <w:basedOn w:val="6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4</Pages>
  <Words>246</Words>
  <Characters>1407</Characters>
  <Lines>0</Lines>
  <Paragraphs>0</Paragraphs>
  <TotalTime>12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2020-01-19T09:20:00Z</dcterms:created>
  <dc:creator>政务服务数据管理局收发员</dc:creator>
  <cp:lastModifiedBy>Administrator</cp:lastModifiedBy>
  <cp:lastPrinted>2020-01-21T02:42:00Z</cp:lastPrinted>
  <dcterms:modified xsi:type="dcterms:W3CDTF">2020-01-23T03:43:41Z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