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60" w:lineRule="exact"/>
        <w:jc w:val="center"/>
        <w:rPr>
          <w:rFonts w:ascii="方正小标宋简体" w:hAnsi="微软雅黑" w:eastAsia="方正小标宋简体"/>
          <w:color w:val="2B2B2B"/>
          <w:sz w:val="44"/>
          <w:szCs w:val="44"/>
        </w:rPr>
      </w:pPr>
      <w:r>
        <w:rPr>
          <w:rFonts w:hint="eastAsia" w:ascii="方正小标宋简体" w:hAnsi="微软雅黑" w:eastAsia="方正小标宋简体"/>
          <w:color w:val="2B2B2B"/>
          <w:sz w:val="44"/>
          <w:szCs w:val="44"/>
        </w:rPr>
        <w:t>武江区自然资源局2019年法治政府建设</w:t>
      </w:r>
    </w:p>
    <w:p>
      <w:pPr>
        <w:pStyle w:val="4"/>
        <w:shd w:val="clear" w:color="auto" w:fill="FFFFFF"/>
        <w:spacing w:before="0" w:beforeAutospacing="0" w:after="0" w:afterAutospacing="0" w:line="560" w:lineRule="exact"/>
        <w:jc w:val="center"/>
        <w:rPr>
          <w:rFonts w:ascii="微软雅黑" w:hAnsi="微软雅黑" w:eastAsia="微软雅黑"/>
          <w:color w:val="2B2B2B"/>
          <w:sz w:val="44"/>
          <w:szCs w:val="44"/>
        </w:rPr>
      </w:pPr>
      <w:r>
        <w:rPr>
          <w:rFonts w:hint="eastAsia" w:ascii="方正小标宋简体" w:hAnsi="微软雅黑" w:eastAsia="方正小标宋简体"/>
          <w:color w:val="2B2B2B"/>
          <w:sz w:val="44"/>
          <w:szCs w:val="44"/>
        </w:rPr>
        <w:t>工作报告</w:t>
      </w:r>
    </w:p>
    <w:p>
      <w:pPr>
        <w:pStyle w:val="4"/>
        <w:shd w:val="clear" w:color="auto" w:fill="FFFFFF"/>
        <w:spacing w:before="0" w:beforeAutospacing="0" w:after="0" w:afterAutospacing="0" w:line="560" w:lineRule="exact"/>
        <w:jc w:val="center"/>
        <w:rPr>
          <w:rFonts w:ascii="微软雅黑" w:hAnsi="微软雅黑" w:eastAsia="微软雅黑"/>
          <w:color w:val="2B2B2B"/>
          <w:sz w:val="32"/>
          <w:szCs w:val="32"/>
        </w:rPr>
      </w:pP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2019年，为深入推进依法行政，加快法治政府建设，我局紧密围绕《武江区2019年依法行政工作要点》的通知，突出重点，扎实推进，通过加强法制培训、规范执法行为、落实行政执法责任制、健全完善行政执法制度等一系列措施，不断提高依法行政水平，法治政府建设工作取得明显的成效。现将具体工作情况总结如下：</w:t>
      </w:r>
    </w:p>
    <w:p>
      <w:pPr>
        <w:pStyle w:val="4"/>
        <w:shd w:val="clear" w:color="auto" w:fill="FFFFFF"/>
        <w:spacing w:before="0" w:beforeAutospacing="0" w:after="0" w:afterAutospacing="0" w:line="560" w:lineRule="exact"/>
        <w:ind w:firstLine="640"/>
        <w:jc w:val="both"/>
        <w:rPr>
          <w:rFonts w:ascii="仿宋_GB2312" w:eastAsia="仿宋_GB2312" w:hAnsiTheme="majorEastAsia"/>
          <w:b/>
          <w:color w:val="2B2B2B"/>
          <w:sz w:val="32"/>
          <w:szCs w:val="32"/>
        </w:rPr>
      </w:pPr>
      <w:r>
        <w:rPr>
          <w:rFonts w:hint="eastAsia" w:ascii="仿宋_GB2312" w:eastAsia="仿宋_GB2312" w:hAnsiTheme="majorEastAsia"/>
          <w:b/>
          <w:color w:val="2B2B2B"/>
          <w:sz w:val="32"/>
          <w:szCs w:val="32"/>
        </w:rPr>
        <w:t>一、强化领导，健全机构，统筹部署法治政府建设工作</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在工作中，我们始终把贯彻法治政府建设理念，当作衡量自然资源工作质量好坏的标准之一。成立了以局长为组长，其他班子成员为副组长，各所和局各股室负责人为成员的法治政府建设工作领导小组。确立了主要领导负总责，分管领导专门抓，稳步推进法治政府建设和依法行政的运行机制；确定了工作目标、主要任务和具体措施，并纳入局年度目标考核内容；实行目标责任制。将行政执法责任层层分解到每个股室和局属各单位，做到执法目标任务明确，责任分工具体，各司其职。通过严格的执法目标责任制分工，进一步增强全系统人员的责任感和紧迫感。</w:t>
      </w:r>
    </w:p>
    <w:p>
      <w:pPr>
        <w:pStyle w:val="4"/>
        <w:shd w:val="clear" w:color="auto" w:fill="FFFFFF"/>
        <w:spacing w:before="0" w:beforeAutospacing="0" w:after="0" w:afterAutospacing="0" w:line="560" w:lineRule="exact"/>
        <w:ind w:firstLine="640"/>
        <w:jc w:val="both"/>
        <w:rPr>
          <w:rFonts w:ascii="仿宋_GB2312" w:eastAsia="仿宋_GB2312" w:hAnsiTheme="majorEastAsia"/>
          <w:b/>
          <w:color w:val="2B2B2B"/>
          <w:sz w:val="32"/>
          <w:szCs w:val="32"/>
        </w:rPr>
      </w:pPr>
      <w:r>
        <w:rPr>
          <w:rFonts w:hint="eastAsia" w:ascii="仿宋_GB2312" w:eastAsia="仿宋_GB2312" w:hAnsiTheme="majorEastAsia"/>
          <w:b/>
          <w:color w:val="2B2B2B"/>
          <w:sz w:val="32"/>
          <w:szCs w:val="32"/>
        </w:rPr>
        <w:t>二、完善制度，规范流程，有序开展法治政府建设活动</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（一）健全完善管理制度，建立规范流程。为规范依法行政，提高行政效率，制定了一系列相关行政管理制度。</w:t>
      </w:r>
      <w:r>
        <w:rPr>
          <w:rFonts w:hint="eastAsia" w:ascii="仿宋_GB2312" w:eastAsia="仿宋_GB2312" w:hAnsiTheme="majorEastAsia"/>
          <w:b/>
          <w:bCs/>
          <w:color w:val="2B2B2B"/>
          <w:sz w:val="32"/>
          <w:szCs w:val="32"/>
        </w:rPr>
        <w:t>一是</w:t>
      </w:r>
      <w:r>
        <w:rPr>
          <w:rFonts w:hint="eastAsia" w:ascii="仿宋_GB2312" w:eastAsia="仿宋_GB2312" w:hAnsiTheme="majorEastAsia"/>
          <w:color w:val="2B2B2B"/>
          <w:sz w:val="32"/>
          <w:szCs w:val="32"/>
        </w:rPr>
        <w:t>制定了《首问负责制度》、《服务承诺制度》、《限时办结制度》以及《领导干部学法用法制度》、《三重一大事项决策制度》、《财务管理制度》等行政管理制度，对行政执法人员的着装礼仪、言语举止、举报受理、廉洁自律、日常学习等方面做出了详细的要求；</w:t>
      </w:r>
      <w:r>
        <w:rPr>
          <w:rFonts w:hint="eastAsia" w:ascii="仿宋_GB2312" w:eastAsia="仿宋_GB2312" w:hAnsiTheme="majorEastAsia"/>
          <w:b/>
          <w:bCs/>
          <w:color w:val="2B2B2B"/>
          <w:sz w:val="32"/>
          <w:szCs w:val="32"/>
        </w:rPr>
        <w:t>二是</w:t>
      </w:r>
      <w:r>
        <w:rPr>
          <w:rFonts w:hint="eastAsia" w:ascii="仿宋_GB2312" w:eastAsia="仿宋_GB2312" w:hAnsiTheme="majorEastAsia"/>
          <w:color w:val="2B2B2B"/>
          <w:sz w:val="32"/>
          <w:szCs w:val="32"/>
        </w:rPr>
        <w:t>严格执行《广东省国土资源行政处罚自由裁量权适用标准（试行）》以及《省林业行政处罚自由裁量权适用标准》，防止滥用自由裁量权，杜绝行政执法随意性；</w:t>
      </w:r>
      <w:r>
        <w:rPr>
          <w:rFonts w:hint="eastAsia" w:ascii="仿宋_GB2312" w:eastAsia="仿宋_GB2312" w:hAnsiTheme="majorEastAsia"/>
          <w:b/>
          <w:bCs/>
          <w:color w:val="2B2B2B"/>
          <w:sz w:val="32"/>
          <w:szCs w:val="32"/>
        </w:rPr>
        <w:t>三是</w:t>
      </w:r>
      <w:r>
        <w:rPr>
          <w:rFonts w:hint="eastAsia" w:ascii="仿宋_GB2312" w:eastAsia="仿宋_GB2312" w:hAnsiTheme="majorEastAsia"/>
          <w:color w:val="2B2B2B"/>
          <w:sz w:val="32"/>
          <w:szCs w:val="32"/>
        </w:rPr>
        <w:t>加强执法工作的效能监督检查。认真落实行政执法案件追究制度，完善行政执法职责，采取领导班子成员不定期对执法行为进行明查暗访、重点回访等有效措施，不断提高依法行政、廉洁勤政的水平，为依法行政营造了良好的约束机制。</w:t>
      </w:r>
    </w:p>
    <w:p>
      <w:pPr>
        <w:pStyle w:val="4"/>
        <w:shd w:val="clear" w:color="auto" w:fill="FFFFFF"/>
        <w:spacing w:before="0" w:beforeAutospacing="0" w:after="0" w:afterAutospacing="0" w:line="560" w:lineRule="exact"/>
        <w:ind w:firstLine="640"/>
        <w:jc w:val="both"/>
        <w:rPr>
          <w:rFonts w:ascii="仿宋_GB2312" w:eastAsia="仿宋_GB2312" w:hAnsiTheme="majorEastAsia"/>
          <w:b/>
          <w:bCs/>
          <w:color w:val="2B2B2B"/>
          <w:sz w:val="32"/>
          <w:szCs w:val="32"/>
        </w:rPr>
      </w:pPr>
      <w:r>
        <w:rPr>
          <w:rFonts w:hint="eastAsia" w:ascii="仿宋_GB2312" w:eastAsia="仿宋_GB2312" w:hAnsiTheme="majorEastAsia"/>
          <w:color w:val="2B2B2B"/>
          <w:sz w:val="32"/>
          <w:szCs w:val="32"/>
        </w:rPr>
        <w:t>（二）规范依法行政工作流程，全面推进政务公开。对凡涉及自然资源征地信息和自然执法的职能职责、法律法规、审批事项、办事程序、制度规范、收费标准及依据，及时全面地向社会公开，接受群众监督。</w:t>
      </w:r>
    </w:p>
    <w:p>
      <w:pPr>
        <w:pStyle w:val="4"/>
        <w:shd w:val="clear" w:color="auto" w:fill="FFFFFF"/>
        <w:spacing w:before="0" w:beforeAutospacing="0" w:after="0" w:afterAutospacing="0" w:line="560" w:lineRule="exact"/>
        <w:ind w:firstLine="640"/>
        <w:jc w:val="both"/>
        <w:rPr>
          <w:rFonts w:ascii="仿宋_GB2312" w:eastAsia="仿宋_GB2312" w:hAnsiTheme="majorEastAsia"/>
          <w:b/>
          <w:color w:val="2B2B2B"/>
          <w:sz w:val="32"/>
          <w:szCs w:val="32"/>
        </w:rPr>
      </w:pPr>
      <w:r>
        <w:rPr>
          <w:rFonts w:hint="eastAsia" w:ascii="仿宋_GB2312" w:eastAsia="仿宋_GB2312" w:hAnsiTheme="majorEastAsia"/>
          <w:b/>
          <w:color w:val="2B2B2B"/>
          <w:sz w:val="32"/>
          <w:szCs w:val="32"/>
        </w:rPr>
        <w:t>三、履职尽责，严格执法，努力提升依法行政工作水平</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一）健全动态执法巡查制度，购置（采购执行中）执法记录仪等硬件设施，及时发现问题，及时处理，从源头上遏制违法违规用地行为的发生。2019年我们共组织土地、矿产巡回监察750余次，通过巡查共发现违法行为278起，立案190宗，做到了早发现早制止，并予以行政立案查处，有效地打击资源违法行为。</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（二）全面开展年度土地卫片执法监督检查和各类专项整治行动。通过卫星遥感监测积极开展年度卫片执法检查工作，评估检验自然资源日常执法监管情况，近年来我</w:t>
      </w:r>
      <w:r>
        <w:rPr>
          <w:rFonts w:hint="eastAsia" w:ascii="仿宋_GB2312" w:eastAsia="仿宋_GB2312" w:hAnsiTheme="majorEastAsia"/>
          <w:sz w:val="32"/>
          <w:szCs w:val="32"/>
        </w:rPr>
        <w:t>区</w:t>
      </w:r>
      <w:r>
        <w:rPr>
          <w:rFonts w:hint="eastAsia" w:ascii="仿宋_GB2312" w:eastAsia="仿宋_GB2312" w:hAnsiTheme="majorEastAsia"/>
          <w:color w:val="2B2B2B"/>
          <w:sz w:val="32"/>
          <w:szCs w:val="32"/>
        </w:rPr>
        <w:t>违法占用耕地面积占新增建设用地占用耕地总面积的比例始终保持在15%以下；同时开展各项整治行动，切实实现了违法行为“发现在初始、解决在萌芽”。</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000000"/>
          <w:sz w:val="32"/>
          <w:szCs w:val="32"/>
        </w:rPr>
      </w:pPr>
      <w:r>
        <w:rPr>
          <w:rFonts w:hint="eastAsia" w:ascii="仿宋_GB2312" w:eastAsia="仿宋_GB2312" w:hAnsiTheme="majorEastAsia"/>
          <w:color w:val="000000"/>
          <w:sz w:val="32"/>
          <w:szCs w:val="32"/>
        </w:rPr>
        <w:t>（三）严格法制审核制度</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000000"/>
          <w:sz w:val="32"/>
          <w:szCs w:val="32"/>
        </w:rPr>
        <w:t>严格执行重大行政决策公众参与、专家论证、风险评估、法制审核、集体讨论决定程序。依据《韶关市自然资源局重大行政执法决定法制审核目录清单》严格落实重大行政执法决定法制审核制度，审核行政执法案件80余宗。</w:t>
      </w:r>
      <w:r>
        <w:rPr>
          <w:rFonts w:hint="eastAsia" w:ascii="仿宋_GB2312" w:eastAsia="仿宋_GB2312" w:hAnsiTheme="majorEastAsia"/>
          <w:color w:val="2B2B2B"/>
          <w:sz w:val="32"/>
          <w:szCs w:val="32"/>
        </w:rPr>
        <w:t xml:space="preserve"> </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四）深入开展土地执法专项活动。按省市要求，相继开展了以“排查违建别墅整治、大棚房整治”为主，“绿盾、绿肺、和风、清零”为辅的六大土地执法专项整治行动，全面查各类自然保护区违法违规用地，严厉打击农用地非农化现象，坚守耕地红线，确保粮食安全底线。</w:t>
      </w:r>
    </w:p>
    <w:p>
      <w:pPr>
        <w:pStyle w:val="4"/>
        <w:shd w:val="clear" w:color="auto" w:fill="FFFFFF"/>
        <w:spacing w:before="0" w:beforeAutospacing="0" w:after="0" w:afterAutospacing="0" w:line="560" w:lineRule="exact"/>
        <w:ind w:firstLine="640"/>
        <w:jc w:val="both"/>
        <w:rPr>
          <w:rFonts w:ascii="仿宋_GB2312" w:eastAsia="仿宋_GB2312" w:hAnsiTheme="majorEastAsia"/>
          <w:b/>
          <w:color w:val="2B2B2B"/>
          <w:sz w:val="32"/>
          <w:szCs w:val="32"/>
        </w:rPr>
      </w:pPr>
      <w:r>
        <w:rPr>
          <w:rFonts w:hint="eastAsia" w:ascii="仿宋_GB2312" w:eastAsia="仿宋_GB2312" w:hAnsiTheme="majorEastAsia"/>
          <w:b/>
          <w:color w:val="2B2B2B"/>
          <w:sz w:val="32"/>
          <w:szCs w:val="32"/>
        </w:rPr>
        <w:t>四、加强宣传，落实制度，着力提高执法队伍综合素质</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（一）注重普法宣传，营造法治氛围。</w:t>
      </w:r>
      <w:r>
        <w:rPr>
          <w:rFonts w:hint="eastAsia" w:ascii="仿宋_GB2312" w:eastAsia="仿宋_GB2312" w:hAnsiTheme="majorEastAsia"/>
          <w:b/>
          <w:bCs/>
          <w:color w:val="2B2B2B"/>
          <w:sz w:val="32"/>
          <w:szCs w:val="32"/>
        </w:rPr>
        <w:t>一是</w:t>
      </w:r>
      <w:r>
        <w:rPr>
          <w:rFonts w:hint="eastAsia" w:ascii="仿宋_GB2312" w:eastAsia="仿宋_GB2312" w:hAnsiTheme="majorEastAsia"/>
          <w:color w:val="2B2B2B"/>
          <w:sz w:val="32"/>
          <w:szCs w:val="32"/>
        </w:rPr>
        <w:t>做好日常宣传。开展多渠道、多形式的宣传，运用传单、微信、标语、宣传车、电子显示屏等多种手段宣传自然资源相关法律法规，宣传我区自然资源领域工作的新亮点、新成就。</w:t>
      </w:r>
      <w:r>
        <w:rPr>
          <w:rFonts w:hint="eastAsia" w:ascii="仿宋_GB2312" w:eastAsia="仿宋_GB2312" w:hAnsiTheme="majorEastAsia"/>
          <w:b/>
          <w:bCs/>
          <w:color w:val="2B2B2B"/>
          <w:sz w:val="32"/>
          <w:szCs w:val="32"/>
        </w:rPr>
        <w:t>二是</w:t>
      </w:r>
      <w:r>
        <w:rPr>
          <w:rFonts w:hint="eastAsia" w:ascii="仿宋_GB2312" w:eastAsia="仿宋_GB2312" w:hAnsiTheme="majorEastAsia"/>
          <w:color w:val="2B2B2B"/>
          <w:sz w:val="32"/>
          <w:szCs w:val="32"/>
        </w:rPr>
        <w:t>重视节日宣传。组织开展有特色有针对性的法治宣传，精心组织了“4.22”世界地球日、“6.25土地日”、“8.29测绘法宣传日”系列宣传活动，抓住中心，凸显特色；</w:t>
      </w:r>
      <w:r>
        <w:rPr>
          <w:rFonts w:hint="eastAsia" w:ascii="仿宋_GB2312" w:eastAsia="仿宋_GB2312" w:hAnsiTheme="majorEastAsia"/>
          <w:b/>
          <w:bCs/>
          <w:color w:val="2B2B2B"/>
          <w:sz w:val="32"/>
          <w:szCs w:val="32"/>
        </w:rPr>
        <w:t>三是</w:t>
      </w:r>
      <w:r>
        <w:rPr>
          <w:rFonts w:hint="eastAsia" w:ascii="仿宋_GB2312" w:eastAsia="仿宋_GB2312" w:hAnsiTheme="majorEastAsia"/>
          <w:color w:val="2B2B2B"/>
          <w:sz w:val="32"/>
          <w:szCs w:val="32"/>
        </w:rPr>
        <w:t>加强重点宣传。实施“送法宣传活动”，将自然资源法律法规知识手册、地质灾害防治知识手册和不动产登记宣传册等送到群众手中，达到了很好的效果。</w:t>
      </w:r>
      <w:r>
        <w:rPr>
          <w:rFonts w:hint="eastAsia" w:ascii="仿宋_GB2312" w:eastAsia="仿宋_GB2312" w:hAnsiTheme="majorEastAsia"/>
          <w:b/>
          <w:bCs/>
          <w:color w:val="2B2B2B"/>
          <w:sz w:val="32"/>
          <w:szCs w:val="32"/>
        </w:rPr>
        <w:t>四是</w:t>
      </w:r>
      <w:r>
        <w:rPr>
          <w:rFonts w:hint="eastAsia" w:ascii="仿宋_GB2312" w:eastAsia="仿宋_GB2312" w:hAnsiTheme="majorEastAsia"/>
          <w:color w:val="2B2B2B"/>
          <w:sz w:val="32"/>
          <w:szCs w:val="32"/>
        </w:rPr>
        <w:t>充分利用LED显示屏、展板、微信等平台大力宣传自然系统普法工作动态和亮点做法，实现了普法工作全覆盖、无漏洞、无盲区。</w:t>
      </w:r>
    </w:p>
    <w:p>
      <w:pPr>
        <w:pStyle w:val="4"/>
        <w:shd w:val="clear" w:color="auto" w:fill="FFFFFF"/>
        <w:spacing w:before="0" w:beforeAutospacing="0" w:after="0" w:afterAutospacing="0" w:line="560" w:lineRule="exact"/>
        <w:ind w:firstLine="640"/>
        <w:jc w:val="both"/>
        <w:rPr>
          <w:rFonts w:hint="eastAsia" w:ascii="仿宋_GB2312" w:eastAsia="仿宋_GB2312" w:hAnsiTheme="majorEastAsia"/>
          <w:color w:val="2B2B2B"/>
          <w:sz w:val="32"/>
          <w:szCs w:val="32"/>
        </w:rPr>
      </w:pPr>
      <w:r>
        <w:rPr>
          <w:rFonts w:hint="eastAsia" w:ascii="仿宋_GB2312" w:eastAsia="仿宋_GB2312" w:hAnsiTheme="majorEastAsia"/>
          <w:color w:val="2B2B2B"/>
          <w:sz w:val="32"/>
          <w:szCs w:val="32"/>
        </w:rPr>
        <w:t>（二）落实学法制度，提高法治素质。</w:t>
      </w:r>
      <w:r>
        <w:rPr>
          <w:rFonts w:hint="eastAsia" w:ascii="仿宋_GB2312" w:eastAsia="仿宋_GB2312" w:hAnsiTheme="majorEastAsia"/>
          <w:b/>
          <w:bCs/>
          <w:color w:val="2B2B2B"/>
          <w:sz w:val="32"/>
          <w:szCs w:val="32"/>
        </w:rPr>
        <w:t>一是</w:t>
      </w:r>
      <w:r>
        <w:rPr>
          <w:rFonts w:hint="eastAsia" w:ascii="仿宋_GB2312" w:eastAsia="仿宋_GB2312" w:hAnsiTheme="majorEastAsia"/>
          <w:color w:val="2B2B2B"/>
          <w:sz w:val="32"/>
          <w:szCs w:val="32"/>
        </w:rPr>
        <w:t>领导干部“领”学。局党组成员注重加强自身示范引领作用，率先垂范，坚持带头营造“多学”、“勤学”、善学”、“用学”的良好氛围；</w:t>
      </w:r>
      <w:r>
        <w:rPr>
          <w:rFonts w:hint="eastAsia" w:ascii="仿宋_GB2312" w:eastAsia="仿宋_GB2312" w:hAnsiTheme="majorEastAsia"/>
          <w:b/>
          <w:bCs/>
          <w:color w:val="2B2B2B"/>
          <w:sz w:val="32"/>
          <w:szCs w:val="32"/>
        </w:rPr>
        <w:t>二是</w:t>
      </w:r>
      <w:r>
        <w:rPr>
          <w:rFonts w:hint="eastAsia" w:ascii="仿宋_GB2312" w:eastAsia="仿宋_GB2312" w:hAnsiTheme="majorEastAsia"/>
          <w:color w:val="2B2B2B"/>
          <w:sz w:val="32"/>
          <w:szCs w:val="32"/>
        </w:rPr>
        <w:t>中层干部“互”学。今年以来，我局持续抓业务学习，对学习时间、学习内容等进行统筹安排。严格落实“学习日”制度，机关干部、业务骨干互帮互学。</w:t>
      </w:r>
      <w:r>
        <w:rPr>
          <w:rFonts w:hint="eastAsia" w:ascii="仿宋_GB2312" w:eastAsia="仿宋_GB2312" w:hAnsiTheme="majorEastAsia"/>
          <w:b/>
          <w:bCs/>
          <w:color w:val="2B2B2B"/>
          <w:sz w:val="32"/>
          <w:szCs w:val="32"/>
        </w:rPr>
        <w:t>三是</w:t>
      </w:r>
      <w:r>
        <w:rPr>
          <w:rFonts w:hint="eastAsia" w:ascii="仿宋_GB2312" w:eastAsia="仿宋_GB2312" w:hAnsiTheme="majorEastAsia"/>
          <w:color w:val="2B2B2B"/>
          <w:sz w:val="32"/>
          <w:szCs w:val="32"/>
        </w:rPr>
        <w:t>充分利用下乡开展业务工作的时机，深入田间地头，面对面为服务对象宣讲宪法和自然资源法律法规知识，热情耐心解答群众咨询。</w:t>
      </w:r>
    </w:p>
    <w:p>
      <w:pPr>
        <w:pStyle w:val="4"/>
        <w:shd w:val="clear" w:color="auto" w:fill="FFFFFF"/>
        <w:spacing w:before="0" w:beforeAutospacing="0" w:after="0" w:afterAutospacing="0" w:line="560" w:lineRule="exact"/>
        <w:ind w:firstLine="640"/>
        <w:rPr>
          <w:rFonts w:hint="eastAsia" w:ascii="仿宋_GB2312" w:eastAsia="仿宋_GB2312" w:hAnsiTheme="majorEastAsia"/>
          <w:b/>
          <w:color w:val="2B2B2B"/>
          <w:sz w:val="32"/>
          <w:szCs w:val="32"/>
        </w:rPr>
      </w:pPr>
      <w:r>
        <w:rPr>
          <w:rFonts w:hint="eastAsia" w:ascii="仿宋_GB2312" w:eastAsia="仿宋_GB2312" w:hAnsiTheme="majorEastAsia"/>
          <w:b/>
          <w:color w:val="2B2B2B"/>
          <w:sz w:val="32"/>
          <w:szCs w:val="32"/>
        </w:rPr>
        <w:t>五、做好“两法衔接”工作，全面落实我局行政执法和刑事司法衔接机制</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我局树立全局观念，分工负责、互相配合，完善我局与区公安、区检察院信息共享、案情通报、案件移送制度，认真做好“两法衔接”工作，杜绝有案不移、有案不立和以罚代刑现象。一是组织人员参加全区“两法衔接”学习培训，规范使用行政执法与刑事司法衔接信息共享平台。二是建立全区“两法衔接”工作机制，参加联席会议，通报衔接工作情况，研究问题，协调解决涉自然资源环保领域执法问题。三是对涉自然资源、环境保护犯罪易发、高发领域和环节，重大案件联合督办，共同研究对策。发现符合刑事追诉标准的能提前介入调查，做到互相通报“双向案件”案情，开展联合打击行动。四是规范我局向公安机关移送涉自然资源犯罪案件线索模式，采用“处罚后移送、线索移送、调查中移送”三种移送模式，逐步实现涉自然资源犯罪案件的网上移送、网上受理、网上监督。</w:t>
      </w:r>
    </w:p>
    <w:p>
      <w:pPr>
        <w:pStyle w:val="4"/>
        <w:shd w:val="clear" w:color="auto" w:fill="FFFFFF"/>
        <w:spacing w:before="0" w:beforeAutospacing="0" w:after="0" w:afterAutospacing="0" w:line="560" w:lineRule="exact"/>
        <w:ind w:firstLine="640"/>
        <w:jc w:val="both"/>
        <w:rPr>
          <w:rFonts w:ascii="仿宋_GB2312" w:eastAsia="仿宋_GB2312" w:hAnsiTheme="majorEastAsia"/>
          <w:b/>
          <w:color w:val="2B2B2B"/>
          <w:sz w:val="32"/>
          <w:szCs w:val="32"/>
        </w:rPr>
      </w:pPr>
      <w:r>
        <w:rPr>
          <w:rFonts w:hint="eastAsia" w:ascii="仿宋_GB2312" w:eastAsia="仿宋_GB2312" w:hAnsiTheme="majorEastAsia"/>
          <w:b/>
          <w:color w:val="2B2B2B"/>
          <w:sz w:val="32"/>
          <w:szCs w:val="32"/>
        </w:rPr>
        <w:t>六、依法有效化解社会矛盾</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为了有效从源头上解决问题，把矛盾化解在基层，化解在萌芽状态，我局多措并举，认真开展矛盾纠纷排查化解工作。</w:t>
      </w:r>
      <w:r>
        <w:rPr>
          <w:rFonts w:hint="eastAsia" w:ascii="仿宋_GB2312" w:eastAsia="仿宋_GB2312" w:hAnsiTheme="majorEastAsia"/>
          <w:b/>
          <w:bCs/>
          <w:color w:val="2B2B2B"/>
          <w:sz w:val="32"/>
          <w:szCs w:val="32"/>
        </w:rPr>
        <w:t>一是</w:t>
      </w:r>
      <w:r>
        <w:rPr>
          <w:rFonts w:hint="eastAsia" w:ascii="仿宋_GB2312" w:eastAsia="仿宋_GB2312" w:hAnsiTheme="majorEastAsia"/>
          <w:color w:val="2B2B2B"/>
          <w:sz w:val="32"/>
          <w:szCs w:val="32"/>
        </w:rPr>
        <w:t>积极推行专人负责和科室责任制，分门别类落实责任和化解措施。</w:t>
      </w:r>
      <w:r>
        <w:rPr>
          <w:rFonts w:hint="eastAsia" w:ascii="仿宋_GB2312" w:eastAsia="仿宋_GB2312" w:hAnsiTheme="majorEastAsia"/>
          <w:b/>
          <w:bCs/>
          <w:color w:val="2B2B2B"/>
          <w:sz w:val="32"/>
          <w:szCs w:val="32"/>
        </w:rPr>
        <w:t>二是</w:t>
      </w:r>
      <w:r>
        <w:rPr>
          <w:rFonts w:hint="eastAsia" w:ascii="仿宋_GB2312" w:eastAsia="仿宋_GB2312" w:hAnsiTheme="majorEastAsia"/>
          <w:color w:val="2B2B2B"/>
          <w:sz w:val="32"/>
          <w:szCs w:val="32"/>
        </w:rPr>
        <w:t>利用定期召开部门负责人会议，针对收集、排查出来的问题，进行认真分析、查找原因，制定对策，责任到人。</w:t>
      </w:r>
      <w:r>
        <w:rPr>
          <w:rFonts w:hint="eastAsia" w:ascii="仿宋_GB2312" w:eastAsia="仿宋_GB2312" w:hAnsiTheme="majorEastAsia"/>
          <w:b/>
          <w:bCs/>
          <w:color w:val="2B2B2B"/>
          <w:sz w:val="32"/>
          <w:szCs w:val="32"/>
        </w:rPr>
        <w:t>三是</w:t>
      </w:r>
      <w:r>
        <w:rPr>
          <w:rFonts w:hint="eastAsia" w:ascii="仿宋_GB2312" w:eastAsia="仿宋_GB2312" w:hAnsiTheme="majorEastAsia"/>
          <w:color w:val="2B2B2B"/>
          <w:sz w:val="32"/>
          <w:szCs w:val="32"/>
        </w:rPr>
        <w:t>实行“属地管理、分级负责”原则，要求各股室、各所认真落实工作职责。对辖区发生的信访问题，做好法制宣传和政策疏导，及时解决；对批转处理的信访问题，限期将办结情况反馈上报，并认真做好上访人的思想工作。今年我局共收到各类信访投诉93件，接待来访群众117人次，均已按时办结。</w:t>
      </w:r>
    </w:p>
    <w:p>
      <w:pPr>
        <w:pStyle w:val="4"/>
        <w:shd w:val="clear" w:color="auto" w:fill="FFFFFF"/>
        <w:spacing w:before="0" w:beforeAutospacing="0" w:after="0" w:afterAutospacing="0" w:line="560" w:lineRule="exact"/>
        <w:ind w:firstLine="640"/>
        <w:jc w:val="both"/>
        <w:rPr>
          <w:rFonts w:ascii="仿宋_GB2312" w:eastAsia="仿宋_GB2312" w:hAnsiTheme="majorEastAsia"/>
          <w:color w:val="2B2B2B"/>
          <w:sz w:val="32"/>
          <w:szCs w:val="32"/>
        </w:rPr>
      </w:pPr>
      <w:r>
        <w:rPr>
          <w:rFonts w:hint="eastAsia" w:ascii="仿宋_GB2312" w:eastAsia="仿宋_GB2312" w:hAnsiTheme="majorEastAsia"/>
          <w:color w:val="2F2F2F"/>
          <w:sz w:val="32"/>
          <w:szCs w:val="32"/>
        </w:rPr>
        <w:t>强化行政复议和行政应诉工作。认真做好行政复议、行政诉讼案件的办理，对上级部门受理的行政复议、人民法院受理的行政诉讼案件，严格按照“谁主管、谁应诉，谁主办、谁出庭”原则，做好案件的审查、答复、答辩、应诉工作。2019年因本级行为引发行政复议案件27件。2019年因本级行政行为引发的行政诉讼5件，目前案件仍在审理中。</w:t>
      </w:r>
    </w:p>
    <w:p>
      <w:pPr>
        <w:pStyle w:val="4"/>
        <w:shd w:val="clear" w:color="auto" w:fill="FFFFFF"/>
        <w:spacing w:before="0" w:beforeAutospacing="0" w:after="0" w:afterAutospacing="0" w:line="560" w:lineRule="exact"/>
        <w:ind w:firstLine="640"/>
        <w:rPr>
          <w:rFonts w:ascii="仿宋_GB2312" w:eastAsia="仿宋_GB2312" w:hAnsiTheme="majorEastAsia"/>
          <w:color w:val="2B2B2B"/>
          <w:sz w:val="32"/>
          <w:szCs w:val="32"/>
        </w:rPr>
      </w:pPr>
      <w:r>
        <w:rPr>
          <w:rFonts w:hint="eastAsia" w:ascii="仿宋_GB2312" w:eastAsia="仿宋_GB2312" w:hAnsiTheme="majorEastAsia"/>
          <w:color w:val="2B2B2B"/>
          <w:sz w:val="32"/>
          <w:szCs w:val="32"/>
        </w:rPr>
        <w:t>2019年我局在工作中，按照法治政府建设要求标准，我局在积极有效营造法治自然的良好环境，创建依法行政示范单位工作工作中取得明显的成效，当然对照标准也还有不足之处，如对创新自然资源管理思考不深入、对个别重点环节工作落实还不到位。在今后的工作中我们将继续强化学习、规范执法、全面推进法治自然和廉洁自然建设，主动作为，切实增强服务，提高法制政府建设大局的自觉性和主动性，为经济持续健康发展和社会和谐稳定提供有力支撑和保障。</w:t>
      </w:r>
    </w:p>
    <w:p>
      <w:pPr>
        <w:pStyle w:val="4"/>
        <w:spacing w:before="0" w:beforeAutospacing="0" w:after="0" w:afterAutospacing="0" w:line="560" w:lineRule="exact"/>
        <w:ind w:firstLine="420"/>
        <w:rPr>
          <w:rFonts w:ascii="仿宋_GB2312" w:hAnsi="微软雅黑" w:eastAsia="仿宋_GB2312"/>
          <w:color w:val="2B2B2B"/>
          <w:sz w:val="32"/>
          <w:szCs w:val="32"/>
        </w:rPr>
      </w:pPr>
      <w:r>
        <w:rPr>
          <w:rFonts w:hint="eastAsia" w:ascii="微软雅黑" w:hAnsi="微软雅黑" w:eastAsia="仿宋_GB2312"/>
          <w:color w:val="2B2B2B"/>
          <w:sz w:val="32"/>
          <w:szCs w:val="32"/>
        </w:rPr>
        <w:t> </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rPr>
          <w:rFonts w:ascii="仿宋_GB2312" w:eastAsia="仿宋_GB2312"/>
          <w:sz w:val="32"/>
          <w:szCs w:val="32"/>
        </w:rPr>
      </w:pPr>
      <w:r>
        <w:rPr>
          <w:rFonts w:hint="eastAsia" w:ascii="仿宋_GB2312" w:eastAsia="仿宋_GB2312"/>
          <w:sz w:val="32"/>
          <w:szCs w:val="32"/>
        </w:rPr>
        <w:t xml:space="preserve">                             韶关市武江区自然资源局</w:t>
      </w:r>
    </w:p>
    <w:p>
      <w:pPr>
        <w:spacing w:line="560" w:lineRule="exact"/>
        <w:ind w:firstLine="5280" w:firstLineChars="1650"/>
        <w:rPr>
          <w:rFonts w:ascii="仿宋_GB2312" w:eastAsia="仿宋_GB2312"/>
          <w:sz w:val="32"/>
          <w:szCs w:val="32"/>
        </w:rPr>
      </w:pPr>
      <w:r>
        <w:rPr>
          <w:rFonts w:hint="eastAsia" w:ascii="仿宋_GB2312" w:eastAsia="仿宋_GB2312"/>
          <w:sz w:val="32"/>
          <w:szCs w:val="32"/>
        </w:rPr>
        <w:t>2020年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26</w:t>
      </w:r>
      <w:bookmarkStart w:id="0" w:name="_GoBack"/>
      <w:bookmarkEnd w:id="0"/>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67902"/>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7D6D"/>
    <w:rsid w:val="00077D6D"/>
    <w:rsid w:val="00083DEB"/>
    <w:rsid w:val="0009289B"/>
    <w:rsid w:val="000E2324"/>
    <w:rsid w:val="00147B54"/>
    <w:rsid w:val="0016411C"/>
    <w:rsid w:val="001D3ACB"/>
    <w:rsid w:val="00245559"/>
    <w:rsid w:val="004002AB"/>
    <w:rsid w:val="00403A9B"/>
    <w:rsid w:val="004808EE"/>
    <w:rsid w:val="004F3BCE"/>
    <w:rsid w:val="00516375"/>
    <w:rsid w:val="005815A0"/>
    <w:rsid w:val="005D23BA"/>
    <w:rsid w:val="00601B74"/>
    <w:rsid w:val="00626E65"/>
    <w:rsid w:val="006F11B9"/>
    <w:rsid w:val="0074002C"/>
    <w:rsid w:val="00784777"/>
    <w:rsid w:val="00817506"/>
    <w:rsid w:val="008A3B11"/>
    <w:rsid w:val="009106AD"/>
    <w:rsid w:val="00917DD4"/>
    <w:rsid w:val="00995D1E"/>
    <w:rsid w:val="009C42D5"/>
    <w:rsid w:val="00A6158A"/>
    <w:rsid w:val="00B23DDD"/>
    <w:rsid w:val="00B71012"/>
    <w:rsid w:val="00C7660D"/>
    <w:rsid w:val="00C919D9"/>
    <w:rsid w:val="00CA1748"/>
    <w:rsid w:val="00CC676E"/>
    <w:rsid w:val="00CC78B7"/>
    <w:rsid w:val="00CE2312"/>
    <w:rsid w:val="00DA1043"/>
    <w:rsid w:val="00DD082C"/>
    <w:rsid w:val="00E9327B"/>
    <w:rsid w:val="00F4435D"/>
    <w:rsid w:val="00FD59C3"/>
    <w:rsid w:val="16B54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470</Words>
  <Characters>2680</Characters>
  <Lines>22</Lines>
  <Paragraphs>6</Paragraphs>
  <TotalTime>102</TotalTime>
  <ScaleCrop>false</ScaleCrop>
  <LinksUpToDate>false</LinksUpToDate>
  <CharactersWithSpaces>3144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2020-04-09T01:34:00Z</dcterms:created>
  <dc:creator>user5</dc:creator>
  <cp:lastModifiedBy>韶关市武江区司法局收发员</cp:lastModifiedBy>
  <dcterms:modified xsi:type="dcterms:W3CDTF">2020-04-10T03:04:00Z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